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6005</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17</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2905</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江源区机关事务管理局车载智能监控终端</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val="en-US" w:eastAsia="zh-CN"/>
              </w:rPr>
              <w:t>83</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江源区机关事务管理局车载智能监控终端服务费</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台</w:t>
            </w:r>
            <w:r>
              <w:rPr>
                <w:rFonts w:hint="eastAsia" w:ascii="宋体" w:hAnsi="宋体" w:eastAsia="宋体" w:cs="宋体"/>
                <w:color w:val="000000"/>
                <w:spacing w:val="0"/>
                <w:position w:val="0"/>
                <w:sz w:val="24"/>
                <w:shd w:val="clear" w:fill="auto"/>
                <w:lang w:val="en-US" w:eastAsia="zh-CN"/>
              </w:rPr>
              <w:t>/年</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83</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应用软件开发及经营，计算机软硬件开发信息系统集成服务，计算机数据处理及存储服务，综合布线工程、网络工程，软件及辅助设备销售</w:t>
      </w:r>
      <w:bookmarkStart w:id="0" w:name="_GoBack"/>
      <w:bookmarkEnd w:id="0"/>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ascii="仿宋" w:hAnsi="仿宋" w:eastAsia="仿宋" w:cs="仿宋"/>
          <w:color w:val="auto"/>
          <w:spacing w:val="0"/>
          <w:position w:val="0"/>
          <w:sz w:val="32"/>
          <w:shd w:val="clear" w:fill="FFFFFF"/>
        </w:rPr>
        <w:t>一年。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ascii="仿宋" w:hAnsi="仿宋" w:eastAsia="仿宋" w:cs="仿宋"/>
          <w:color w:val="auto"/>
          <w:spacing w:val="0"/>
          <w:position w:val="0"/>
          <w:sz w:val="32"/>
          <w:shd w:val="clear" w:fill="auto"/>
        </w:rPr>
        <w:t>一次性付款。</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eastAsia="zh-CN"/>
        </w:rPr>
        <w:t>需按照省发展和改革委员会车载智能控制终端建设标准购买，中标之日起</w:t>
      </w:r>
      <w:r>
        <w:rPr>
          <w:rFonts w:hint="eastAsia" w:ascii="仿宋" w:hAnsi="仿宋" w:eastAsia="仿宋" w:cs="仿宋"/>
          <w:b w:val="0"/>
          <w:bCs/>
          <w:color w:val="auto"/>
          <w:spacing w:val="0"/>
          <w:position w:val="0"/>
          <w:sz w:val="32"/>
          <w:shd w:val="clear" w:fill="auto"/>
          <w:lang w:val="en-US" w:eastAsia="zh-CN"/>
        </w:rPr>
        <w:t>10个工作日内安装完成并和系统对接。</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3BB75C40"/>
    <w:rsid w:val="505E7D27"/>
    <w:rsid w:val="52F2604E"/>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2019-06-17T02:23:36Z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