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i w:val="0"/>
          <w:iCs w:val="0"/>
          <w:color w:val="auto"/>
          <w:highlight w:val="yellow"/>
          <w:u w:val="none" w:color="auto"/>
        </w:rPr>
      </w:pPr>
      <w:bookmarkStart w:id="16" w:name="_GoBack"/>
      <w:bookmarkEnd w:id="16"/>
    </w:p>
    <w:p>
      <w:pPr>
        <w:jc w:val="right"/>
        <w:rPr>
          <w:i w:val="0"/>
          <w:iCs w:val="0"/>
          <w:color w:val="auto"/>
          <w:highlight w:val="yellow"/>
          <w:u w:val="none" w:color="auto"/>
        </w:rPr>
      </w:pPr>
    </w:p>
    <w:p>
      <w:pPr>
        <w:jc w:val="right"/>
        <w:rPr>
          <w:i w:val="0"/>
          <w:iCs w:val="0"/>
          <w:color w:val="auto"/>
          <w:highlight w:val="yellow"/>
          <w:u w:val="none" w:color="auto"/>
        </w:rPr>
      </w:pPr>
    </w:p>
    <w:p>
      <w:pPr>
        <w:jc w:val="right"/>
        <w:rPr>
          <w:i w:val="0"/>
          <w:iCs w:val="0"/>
          <w:color w:val="auto"/>
          <w:highlight w:val="yellow"/>
          <w:u w:val="none" w:color="auto"/>
        </w:rPr>
      </w:pPr>
    </w:p>
    <w:p>
      <w:pPr>
        <w:jc w:val="right"/>
        <w:rPr>
          <w:b/>
          <w:bCs/>
          <w:i w:val="0"/>
          <w:iCs w:val="0"/>
          <w:color w:val="auto"/>
          <w:sz w:val="52"/>
          <w:szCs w:val="52"/>
          <w:highlight w:val="yellow"/>
          <w:u w:val="none" w:color="auto"/>
        </w:rPr>
      </w:pPr>
    </w:p>
    <w:p>
      <w:pPr>
        <w:pStyle w:val="73"/>
        <w:rPr>
          <w:highlight w:val="yellow"/>
        </w:rPr>
      </w:pPr>
    </w:p>
    <w:p>
      <w:pPr>
        <w:jc w:val="center"/>
        <w:rPr>
          <w:b/>
          <w:bCs/>
          <w:i w:val="0"/>
          <w:iCs w:val="0"/>
          <w:color w:val="auto"/>
          <w:sz w:val="36"/>
          <w:szCs w:val="36"/>
          <w:highlight w:val="yellow"/>
          <w:u w:val="none" w:color="auto"/>
        </w:rPr>
      </w:pPr>
    </w:p>
    <w:p>
      <w:pPr>
        <w:jc w:val="center"/>
        <w:rPr>
          <w:b/>
          <w:bCs/>
          <w:i w:val="0"/>
          <w:iCs w:val="0"/>
          <w:color w:val="auto"/>
          <w:sz w:val="36"/>
          <w:szCs w:val="36"/>
          <w:highlight w:val="yellow"/>
          <w:u w:val="none" w:color="auto"/>
        </w:rPr>
      </w:pPr>
    </w:p>
    <w:p>
      <w:pPr>
        <w:spacing w:line="360" w:lineRule="auto"/>
        <w:jc w:val="center"/>
        <w:rPr>
          <w:rFonts w:ascii="Times New Roman" w:hAnsi="Times New Roman" w:eastAsia="宋体" w:cs="Times New Roman"/>
          <w:b/>
          <w:bCs/>
          <w:i w:val="0"/>
          <w:iCs w:val="0"/>
          <w:color w:val="auto"/>
          <w:sz w:val="52"/>
          <w:szCs w:val="52"/>
          <w:highlight w:val="none"/>
          <w:u w:val="none" w:color="auto"/>
        </w:rPr>
      </w:pPr>
      <w:r>
        <w:rPr>
          <w:rFonts w:hint="eastAsia" w:ascii="Times New Roman" w:hAnsi="Times New Roman" w:eastAsia="宋体" w:cs="Times New Roman"/>
          <w:b/>
          <w:bCs/>
          <w:i w:val="0"/>
          <w:iCs w:val="0"/>
          <w:color w:val="auto"/>
          <w:sz w:val="52"/>
          <w:szCs w:val="52"/>
          <w:highlight w:val="none"/>
          <w:u w:val="none" w:color="auto"/>
          <w:lang w:val="en-US" w:eastAsia="zh-CN"/>
        </w:rPr>
        <w:t>中铁上海工程局集团有限公司肖家堡制梁场锅炉建设项目</w:t>
      </w:r>
    </w:p>
    <w:p>
      <w:pPr>
        <w:spacing w:line="360" w:lineRule="auto"/>
        <w:jc w:val="center"/>
        <w:rPr>
          <w:b/>
          <w:i w:val="0"/>
          <w:iCs w:val="0"/>
          <w:color w:val="auto"/>
          <w:sz w:val="36"/>
          <w:szCs w:val="36"/>
          <w:highlight w:val="none"/>
          <w:u w:val="none" w:color="auto"/>
        </w:rPr>
      </w:pPr>
    </w:p>
    <w:p>
      <w:pPr>
        <w:spacing w:line="360" w:lineRule="auto"/>
        <w:jc w:val="center"/>
        <w:rPr>
          <w:b/>
          <w:bCs/>
          <w:i w:val="0"/>
          <w:iCs w:val="0"/>
          <w:color w:val="auto"/>
          <w:sz w:val="52"/>
          <w:szCs w:val="52"/>
          <w:highlight w:val="none"/>
          <w:u w:val="none" w:color="auto"/>
        </w:rPr>
      </w:pPr>
      <w:r>
        <w:rPr>
          <w:b/>
          <w:bCs/>
          <w:i w:val="0"/>
          <w:iCs w:val="0"/>
          <w:color w:val="auto"/>
          <w:sz w:val="52"/>
          <w:szCs w:val="52"/>
          <w:highlight w:val="none"/>
          <w:u w:val="none" w:color="auto"/>
        </w:rPr>
        <w:t>环境影响报告表</w:t>
      </w:r>
    </w:p>
    <w:p>
      <w:pPr>
        <w:rPr>
          <w:i w:val="0"/>
          <w:iCs w:val="0"/>
          <w:color w:val="auto"/>
          <w:sz w:val="28"/>
          <w:szCs w:val="28"/>
          <w:highlight w:val="yellow"/>
          <w:u w:val="none" w:color="auto"/>
        </w:rPr>
      </w:pPr>
    </w:p>
    <w:p>
      <w:pPr>
        <w:rPr>
          <w:i w:val="0"/>
          <w:iCs w:val="0"/>
          <w:color w:val="auto"/>
          <w:sz w:val="28"/>
          <w:szCs w:val="28"/>
          <w:highlight w:val="yellow"/>
          <w:u w:val="none" w:color="auto"/>
        </w:rPr>
      </w:pPr>
    </w:p>
    <w:p>
      <w:pPr>
        <w:rPr>
          <w:i w:val="0"/>
          <w:iCs w:val="0"/>
          <w:color w:val="auto"/>
          <w:sz w:val="28"/>
          <w:szCs w:val="28"/>
          <w:highlight w:val="yellow"/>
          <w:u w:val="none" w:color="auto"/>
        </w:rPr>
      </w:pPr>
    </w:p>
    <w:p>
      <w:pPr>
        <w:rPr>
          <w:i w:val="0"/>
          <w:iCs w:val="0"/>
          <w:color w:val="auto"/>
          <w:highlight w:val="yellow"/>
          <w:u w:val="none" w:color="auto"/>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pStyle w:val="73"/>
        <w:rPr>
          <w:b/>
          <w:bCs/>
          <w:i w:val="0"/>
          <w:iCs w:val="0"/>
          <w:color w:val="auto"/>
          <w:sz w:val="32"/>
          <w:szCs w:val="32"/>
          <w:highlight w:val="yellow"/>
          <w:u w:val="none" w:color="auto"/>
        </w:rPr>
      </w:pPr>
    </w:p>
    <w:p>
      <w:pPr>
        <w:rPr>
          <w:highlight w:val="yellow"/>
        </w:rPr>
      </w:pPr>
    </w:p>
    <w:p>
      <w:pPr>
        <w:pStyle w:val="73"/>
        <w:rPr>
          <w:highlight w:val="yellow"/>
        </w:rPr>
      </w:pPr>
    </w:p>
    <w:p>
      <w:pPr>
        <w:rPr>
          <w:highlight w:val="yellow"/>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jc w:val="center"/>
        <w:rPr>
          <w:b/>
          <w:bCs/>
          <w:i w:val="0"/>
          <w:iCs w:val="0"/>
          <w:color w:val="auto"/>
          <w:sz w:val="32"/>
          <w:szCs w:val="32"/>
          <w:highlight w:val="yellow"/>
          <w:u w:val="none" w:color="auto"/>
        </w:rPr>
      </w:pPr>
    </w:p>
    <w:p>
      <w:pPr>
        <w:jc w:val="center"/>
        <w:rPr>
          <w:rFonts w:ascii="仿宋_GB2312" w:hAnsi="仿宋_GB2312" w:eastAsia="仿宋_GB2312" w:cs="仿宋_GB2312"/>
          <w:b/>
          <w:bCs/>
          <w:sz w:val="36"/>
          <w:szCs w:val="36"/>
          <w:highlight w:val="none"/>
        </w:rPr>
      </w:pPr>
      <w:r>
        <w:rPr>
          <w:rFonts w:hint="eastAsia" w:ascii="仿宋_GB2312" w:hAnsi="仿宋_GB2312" w:eastAsia="仿宋_GB2312" w:cs="仿宋_GB2312"/>
          <w:b/>
          <w:bCs/>
          <w:sz w:val="36"/>
          <w:szCs w:val="36"/>
          <w:highlight w:val="none"/>
        </w:rPr>
        <w:t>吉林省博瀚实业有限公司</w:t>
      </w:r>
    </w:p>
    <w:p>
      <w:pPr>
        <w:jc w:val="center"/>
        <w:rPr>
          <w:b/>
          <w:bCs/>
          <w:i w:val="0"/>
          <w:iCs w:val="0"/>
          <w:color w:val="auto"/>
          <w:sz w:val="32"/>
          <w:szCs w:val="32"/>
          <w:highlight w:val="none"/>
          <w:u w:val="none" w:color="auto"/>
        </w:rPr>
      </w:pPr>
    </w:p>
    <w:p>
      <w:pPr>
        <w:jc w:val="center"/>
        <w:rPr>
          <w:b/>
          <w:bCs/>
          <w:i w:val="0"/>
          <w:iCs w:val="0"/>
          <w:color w:val="auto"/>
          <w:sz w:val="32"/>
          <w:szCs w:val="32"/>
          <w:highlight w:val="none"/>
          <w:u w:val="none" w:color="auto"/>
        </w:rPr>
      </w:pPr>
      <w:r>
        <w:rPr>
          <w:b/>
          <w:bCs/>
          <w:i w:val="0"/>
          <w:iCs w:val="0"/>
          <w:color w:val="auto"/>
          <w:sz w:val="32"/>
          <w:szCs w:val="32"/>
          <w:highlight w:val="none"/>
          <w:u w:val="none" w:color="auto"/>
        </w:rPr>
        <w:t>202</w:t>
      </w:r>
      <w:r>
        <w:rPr>
          <w:rFonts w:hint="eastAsia"/>
          <w:b/>
          <w:bCs/>
          <w:i w:val="0"/>
          <w:iCs w:val="0"/>
          <w:color w:val="auto"/>
          <w:sz w:val="32"/>
          <w:szCs w:val="32"/>
          <w:highlight w:val="none"/>
          <w:u w:val="none" w:color="auto"/>
          <w:lang w:val="en-US" w:eastAsia="zh-CN"/>
        </w:rPr>
        <w:t>3</w:t>
      </w:r>
      <w:r>
        <w:rPr>
          <w:b/>
          <w:bCs/>
          <w:i w:val="0"/>
          <w:iCs w:val="0"/>
          <w:color w:val="auto"/>
          <w:sz w:val="32"/>
          <w:szCs w:val="32"/>
          <w:highlight w:val="none"/>
          <w:u w:val="none" w:color="auto"/>
        </w:rPr>
        <w:t>年</w:t>
      </w:r>
      <w:r>
        <w:rPr>
          <w:rFonts w:hint="eastAsia"/>
          <w:b/>
          <w:bCs/>
          <w:i w:val="0"/>
          <w:iCs w:val="0"/>
          <w:color w:val="auto"/>
          <w:sz w:val="32"/>
          <w:szCs w:val="32"/>
          <w:highlight w:val="none"/>
          <w:u w:val="none" w:color="auto"/>
          <w:lang w:val="en-US" w:eastAsia="zh-CN"/>
        </w:rPr>
        <w:t>10</w:t>
      </w:r>
      <w:r>
        <w:rPr>
          <w:b/>
          <w:bCs/>
          <w:i w:val="0"/>
          <w:iCs w:val="0"/>
          <w:color w:val="auto"/>
          <w:sz w:val="32"/>
          <w:szCs w:val="32"/>
          <w:highlight w:val="none"/>
          <w:u w:val="none" w:color="auto"/>
        </w:rPr>
        <w:t>月</w:t>
      </w:r>
    </w:p>
    <w:p>
      <w:pPr>
        <w:jc w:val="center"/>
        <w:rPr>
          <w:b/>
          <w:bCs/>
          <w:i w:val="0"/>
          <w:iCs w:val="0"/>
          <w:color w:val="auto"/>
          <w:sz w:val="32"/>
          <w:szCs w:val="32"/>
          <w:highlight w:val="none"/>
          <w:u w:val="none" w:color="auto"/>
        </w:rPr>
      </w:pPr>
    </w:p>
    <w:p>
      <w:pPr>
        <w:jc w:val="center"/>
        <w:rPr>
          <w:b/>
          <w:bCs/>
          <w:i w:val="0"/>
          <w:iCs w:val="0"/>
          <w:color w:val="auto"/>
          <w:sz w:val="32"/>
          <w:szCs w:val="32"/>
          <w:highlight w:val="none"/>
          <w:u w:val="none" w:color="auto"/>
        </w:rPr>
      </w:pPr>
    </w:p>
    <w:p>
      <w:pPr>
        <w:jc w:val="center"/>
        <w:rPr>
          <w:rFonts w:hint="eastAsia"/>
          <w:b/>
          <w:bCs/>
          <w:i w:val="0"/>
          <w:iCs w:val="0"/>
          <w:color w:val="auto"/>
          <w:sz w:val="32"/>
          <w:szCs w:val="32"/>
          <w:highlight w:val="none"/>
          <w:u w:val="none" w:color="auto"/>
          <w:lang w:val="en-US" w:eastAsia="zh-CN"/>
        </w:rPr>
      </w:pPr>
      <w:r>
        <w:rPr>
          <w:rFonts w:hint="eastAsia"/>
          <w:b/>
          <w:bCs/>
          <w:i w:val="0"/>
          <w:iCs w:val="0"/>
          <w:color w:val="auto"/>
          <w:sz w:val="32"/>
          <w:szCs w:val="32"/>
          <w:highlight w:val="none"/>
          <w:u w:val="none" w:color="auto"/>
          <w:lang w:val="en-US" w:eastAsia="zh-CN"/>
        </w:rPr>
        <w:t>修改清单</w:t>
      </w:r>
    </w:p>
    <w:p>
      <w:pPr>
        <w:jc w:val="both"/>
        <w:rPr>
          <w:rFonts w:hint="eastAsia"/>
          <w:b/>
          <w:bCs/>
          <w:i w:val="0"/>
          <w:iCs w:val="0"/>
          <w:color w:val="auto"/>
          <w:sz w:val="32"/>
          <w:szCs w:val="32"/>
          <w:highlight w:val="none"/>
          <w:u w:val="none" w:color="auto"/>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3504"/>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序号</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专家意见</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是否修改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修改位置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1</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结合《新建沈阳至白河高速铁路项目环境影响报告书》及环评批复“关于对施工现场中的办公区和生活区不得设置燃煤、燃油小型锅炉的要求”，对照白山市“三线一单”优先保护单元管控要求，进一步分析本项目建设与“三线一单”的符合性</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已修改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P9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2</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补充建设项目周边环境敏感点与该项目的距离。对照项目环评及批复要求，查找其所在地是否存在现存环境问题，并结合本次改造提出整改建议和要求</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已修改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P11、17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3</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复核锅炉烟气污染物源强，细化锅炉烟气处理设施建设情况。补充锅炉炉渣和布袋除尘灰临时堆场措施，复核炉渣处理去向，以及防治二次扬尘措施</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已修改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P28、37-38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4</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结合锅炉项目排污许可证管理规定，进一步细化项目运行管理要求</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已修改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P42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5</w:t>
            </w:r>
          </w:p>
        </w:tc>
        <w:tc>
          <w:tcPr>
            <w:tcW w:w="3504"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完善环保措施监督检查清单内容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已修改</w:t>
            </w:r>
          </w:p>
        </w:tc>
        <w:tc>
          <w:tcPr>
            <w:tcW w:w="2265" w:type="dxa"/>
            <w:noWrap w:val="0"/>
            <w:vAlign w:val="center"/>
          </w:tcPr>
          <w:p>
            <w:pPr>
              <w:jc w:val="center"/>
              <w:rPr>
                <w:rFonts w:hint="default"/>
                <w:b w:val="0"/>
                <w:bCs w:val="0"/>
                <w:i w:val="0"/>
                <w:iCs w:val="0"/>
                <w:color w:val="auto"/>
                <w:sz w:val="24"/>
                <w:szCs w:val="24"/>
                <w:highlight w:val="none"/>
                <w:u w:val="none" w:color="auto"/>
                <w:vertAlign w:val="baseline"/>
                <w:lang w:val="en-US" w:eastAsia="zh-CN"/>
              </w:rPr>
            </w:pPr>
            <w:r>
              <w:rPr>
                <w:rFonts w:hint="eastAsia"/>
                <w:b w:val="0"/>
                <w:bCs w:val="0"/>
                <w:i w:val="0"/>
                <w:iCs w:val="0"/>
                <w:color w:val="auto"/>
                <w:sz w:val="24"/>
                <w:szCs w:val="24"/>
                <w:highlight w:val="none"/>
                <w:u w:val="none" w:color="auto"/>
                <w:vertAlign w:val="baseline"/>
                <w:lang w:val="en-US" w:eastAsia="zh-CN"/>
              </w:rPr>
              <w:t>P41-43</w:t>
            </w:r>
          </w:p>
        </w:tc>
      </w:tr>
    </w:tbl>
    <w:p>
      <w:pPr>
        <w:jc w:val="center"/>
        <w:rPr>
          <w:rFonts w:hint="default"/>
          <w:b/>
          <w:bCs/>
          <w:i w:val="0"/>
          <w:iCs w:val="0"/>
          <w:color w:val="auto"/>
          <w:sz w:val="32"/>
          <w:szCs w:val="32"/>
          <w:highlight w:val="none"/>
          <w:u w:val="none" w:color="auto"/>
          <w:lang w:val="en-US"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b/>
          <w:bCs/>
          <w:i w:val="0"/>
          <w:iCs w:val="0"/>
          <w:color w:val="auto"/>
          <w:sz w:val="32"/>
          <w:szCs w:val="32"/>
          <w:highlight w:val="none"/>
          <w:u w:val="none" w:color="auto"/>
          <w:lang w:val="en-US" w:eastAsia="zh-CN"/>
        </w:rPr>
        <w:drawing>
          <wp:inline distT="0" distB="0" distL="114300" distR="114300">
            <wp:extent cx="5581650" cy="4185920"/>
            <wp:effectExtent l="0" t="0" r="5080" b="0"/>
            <wp:docPr id="87" name="图片 84"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4" descr="资质"/>
                    <pic:cNvPicPr>
                      <a:picLocks noChangeAspect="1"/>
                    </pic:cNvPicPr>
                  </pic:nvPicPr>
                  <pic:blipFill>
                    <a:blip r:embed="rId8"/>
                    <a:stretch>
                      <a:fillRect/>
                    </a:stretch>
                  </pic:blipFill>
                  <pic:spPr>
                    <a:xfrm rot="5400000">
                      <a:off x="0" y="0"/>
                      <a:ext cx="5581650" cy="4185920"/>
                    </a:xfrm>
                    <a:prstGeom prst="rect">
                      <a:avLst/>
                    </a:prstGeom>
                    <a:noFill/>
                    <a:ln>
                      <a:noFill/>
                    </a:ln>
                  </pic:spPr>
                </pic:pic>
              </a:graphicData>
            </a:graphic>
          </wp:inline>
        </w:drawing>
      </w:r>
    </w:p>
    <w:p>
      <w:pPr>
        <w:rPr>
          <w:sz w:val="36"/>
          <w:szCs w:val="36"/>
          <w:highlight w:val="yellow"/>
        </w:rPr>
      </w:pPr>
    </w:p>
    <w:p>
      <w:pPr>
        <w:rPr>
          <w:rFonts w:ascii="仿宋_GB2312" w:hAnsi="仿宋_GB2312" w:eastAsia="仿宋_GB2312" w:cs="仿宋_GB2312"/>
          <w:sz w:val="36"/>
          <w:szCs w:val="36"/>
          <w:highlight w:val="yellow"/>
        </w:rPr>
      </w:pPr>
    </w:p>
    <w:p>
      <w:pPr>
        <w:rPr>
          <w:rFonts w:ascii="仿宋_GB2312" w:hAnsi="仿宋_GB2312" w:eastAsia="仿宋_GB2312" w:cs="仿宋_GB2312"/>
          <w:sz w:val="36"/>
          <w:szCs w:val="36"/>
          <w:highlight w:val="yellow"/>
        </w:rPr>
      </w:pPr>
    </w:p>
    <w:p>
      <w:pPr>
        <w:rPr>
          <w:rFonts w:ascii="仿宋_GB2312" w:hAnsi="仿宋_GB2312" w:eastAsia="仿宋_GB2312" w:cs="仿宋_GB2312"/>
          <w:sz w:val="36"/>
          <w:szCs w:val="36"/>
          <w:highlight w:val="yellow"/>
        </w:rPr>
      </w:pPr>
    </w:p>
    <w:p>
      <w:pPr>
        <w:rPr>
          <w:rFonts w:hint="eastAsia" w:ascii="仿宋_GB2312" w:hAnsi="仿宋_GB2312" w:eastAsia="仿宋_GB2312" w:cs="仿宋_GB2312"/>
          <w:sz w:val="36"/>
          <w:szCs w:val="36"/>
          <w:highlight w:val="yellow"/>
        </w:rPr>
      </w:pPr>
    </w:p>
    <w:p>
      <w:pPr>
        <w:adjustRightInd w:val="0"/>
        <w:snapToGrid w:val="0"/>
        <w:jc w:val="center"/>
        <w:outlineLvl w:val="0"/>
        <w:rPr>
          <w:rFonts w:hint="eastAsia" w:ascii="方正小标宋_GBK" w:eastAsia="方正小标宋_GBK"/>
          <w:bCs/>
          <w:sz w:val="72"/>
          <w:szCs w:val="72"/>
          <w:highlight w:val="none"/>
        </w:rPr>
      </w:pPr>
      <w:r>
        <w:rPr>
          <w:rFonts w:hint="eastAsia" w:ascii="方正小标宋_GBK" w:eastAsia="方正小标宋_GBK"/>
          <w:bCs/>
          <w:sz w:val="72"/>
          <w:szCs w:val="72"/>
          <w:highlight w:val="none"/>
        </w:rPr>
        <w:t>建设项目环境影响报告表</w:t>
      </w:r>
    </w:p>
    <w:p>
      <w:pPr>
        <w:adjustRightInd w:val="0"/>
        <w:snapToGrid w:val="0"/>
        <w:spacing w:before="192" w:beforeLines="80"/>
        <w:jc w:val="center"/>
        <w:rPr>
          <w:rFonts w:hint="eastAsia" w:ascii="楷体_GB2312" w:eastAsia="楷体_GB2312"/>
          <w:bCs/>
          <w:sz w:val="48"/>
          <w:szCs w:val="48"/>
          <w:highlight w:val="none"/>
        </w:rPr>
      </w:pPr>
      <w:r>
        <w:rPr>
          <w:rFonts w:hint="eastAsia" w:ascii="楷体_GB2312" w:eastAsia="楷体_GB2312"/>
          <w:bCs/>
          <w:sz w:val="48"/>
          <w:szCs w:val="48"/>
          <w:highlight w:val="none"/>
        </w:rPr>
        <w:t>（污染影响类）</w:t>
      </w:r>
    </w:p>
    <w:p>
      <w:pPr>
        <w:adjustRightInd w:val="0"/>
        <w:snapToGrid w:val="0"/>
        <w:spacing w:line="288" w:lineRule="auto"/>
        <w:jc w:val="center"/>
        <w:outlineLvl w:val="0"/>
        <w:rPr>
          <w:rFonts w:ascii="华文仿宋" w:hAnsi="华文仿宋" w:eastAsia="华文仿宋" w:cs="华文仿宋"/>
          <w:kern w:val="44"/>
          <w:sz w:val="44"/>
          <w:szCs w:val="44"/>
          <w:highlight w:val="none"/>
        </w:rPr>
      </w:pPr>
    </w:p>
    <w:p>
      <w:pPr>
        <w:jc w:val="center"/>
        <w:rPr>
          <w:rFonts w:eastAsia="仿宋"/>
          <w:sz w:val="52"/>
          <w:szCs w:val="52"/>
          <w:highlight w:val="yellow"/>
        </w:rPr>
      </w:pPr>
    </w:p>
    <w:p>
      <w:pPr>
        <w:ind w:firstLine="1040"/>
        <w:rPr>
          <w:rFonts w:eastAsia="仿宋"/>
          <w:sz w:val="44"/>
          <w:szCs w:val="44"/>
          <w:highlight w:val="yellow"/>
        </w:rPr>
      </w:pPr>
    </w:p>
    <w:p>
      <w:pPr>
        <w:ind w:firstLine="1040"/>
        <w:rPr>
          <w:rFonts w:eastAsia="仿宋"/>
          <w:sz w:val="44"/>
          <w:szCs w:val="44"/>
          <w:highlight w:val="yellow"/>
        </w:rPr>
      </w:pPr>
    </w:p>
    <w:p>
      <w:pPr>
        <w:ind w:firstLine="1040"/>
        <w:rPr>
          <w:rFonts w:eastAsia="仿宋"/>
          <w:sz w:val="44"/>
          <w:szCs w:val="44"/>
          <w:highlight w:val="yellow"/>
        </w:rPr>
      </w:pPr>
    </w:p>
    <w:p>
      <w:pPr>
        <w:ind w:firstLine="1040"/>
        <w:rPr>
          <w:rFonts w:eastAsia="仿宋"/>
          <w:sz w:val="44"/>
          <w:szCs w:val="44"/>
          <w:highlight w:val="yellow"/>
        </w:rPr>
      </w:pPr>
    </w:p>
    <w:p>
      <w:pPr>
        <w:adjustRightInd w:val="0"/>
        <w:snapToGrid w:val="0"/>
        <w:spacing w:line="288" w:lineRule="auto"/>
        <w:ind w:left="1800" w:hanging="1800" w:hangingChars="500"/>
        <w:rPr>
          <w:rFonts w:hint="default" w:ascii="仿宋_GB2312" w:hAnsi="Times New Roman" w:eastAsia="仿宋_GB2312" w:cs="Times New Roman"/>
          <w:sz w:val="36"/>
          <w:szCs w:val="36"/>
          <w:highlight w:val="none"/>
          <w:u w:val="single"/>
          <w:lang w:val="en-US" w:eastAsia="zh-CN"/>
        </w:rPr>
      </w:pPr>
      <w:r>
        <w:rPr>
          <w:rFonts w:hint="eastAsia" w:ascii="仿宋_GB2312" w:eastAsia="仿宋_GB2312"/>
          <w:sz w:val="36"/>
          <w:szCs w:val="36"/>
          <w:highlight w:val="none"/>
        </w:rPr>
        <w:t>项目名称：</w:t>
      </w:r>
      <w:r>
        <w:rPr>
          <w:rFonts w:hint="eastAsia" w:ascii="仿宋_GB2312" w:hAnsi="Times New Roman" w:eastAsia="仿宋_GB2312" w:cs="Times New Roman"/>
          <w:sz w:val="36"/>
          <w:szCs w:val="36"/>
          <w:highlight w:val="none"/>
          <w:u w:val="single"/>
          <w:lang w:val="en-US" w:eastAsia="zh-CN"/>
        </w:rPr>
        <w:t xml:space="preserve">中铁上海工程局集团有限公司             </w:t>
      </w:r>
    </w:p>
    <w:p>
      <w:pPr>
        <w:adjustRightInd w:val="0"/>
        <w:snapToGrid w:val="0"/>
        <w:spacing w:line="288" w:lineRule="auto"/>
        <w:ind w:left="1795" w:leftChars="855" w:firstLine="0" w:firstLineChars="0"/>
        <w:rPr>
          <w:rFonts w:hint="eastAsia" w:ascii="仿宋_GB2312" w:eastAsia="仿宋_GB2312"/>
          <w:sz w:val="36"/>
          <w:szCs w:val="36"/>
          <w:highlight w:val="none"/>
          <w:u w:val="single"/>
        </w:rPr>
      </w:pPr>
      <w:r>
        <w:rPr>
          <w:rFonts w:hint="eastAsia" w:ascii="仿宋_GB2312" w:hAnsi="Times New Roman" w:eastAsia="仿宋_GB2312" w:cs="Times New Roman"/>
          <w:sz w:val="36"/>
          <w:szCs w:val="36"/>
          <w:highlight w:val="none"/>
          <w:u w:val="single"/>
          <w:lang w:val="en-US" w:eastAsia="zh-CN"/>
        </w:rPr>
        <w:t>肖家堡制梁场锅炉建设项目</w:t>
      </w:r>
      <w:r>
        <w:rPr>
          <w:rFonts w:hint="eastAsia" w:ascii="仿宋_GB2312" w:hAnsi="Times New Roman" w:eastAsia="仿宋_GB2312" w:cs="Times New Roman"/>
          <w:sz w:val="36"/>
          <w:szCs w:val="36"/>
          <w:highlight w:val="none"/>
          <w:u w:val="single"/>
        </w:rPr>
        <w:t xml:space="preserve">   </w:t>
      </w:r>
      <w:r>
        <w:rPr>
          <w:rFonts w:hint="eastAsia" w:ascii="仿宋" w:hAnsi="仿宋" w:eastAsia="仿宋" w:cs="仿宋"/>
          <w:spacing w:val="-20"/>
          <w:sz w:val="36"/>
          <w:szCs w:val="36"/>
          <w:highlight w:val="none"/>
          <w:u w:val="single"/>
        </w:rPr>
        <w:t xml:space="preserve">  </w:t>
      </w:r>
      <w:r>
        <w:rPr>
          <w:rFonts w:hint="eastAsia" w:ascii="仿宋_GB2312" w:eastAsia="仿宋_GB2312"/>
          <w:spacing w:val="-20"/>
          <w:sz w:val="36"/>
          <w:szCs w:val="36"/>
          <w:highlight w:val="none"/>
          <w:u w:val="single"/>
        </w:rPr>
        <w:t xml:space="preserve">                                  </w:t>
      </w:r>
    </w:p>
    <w:p>
      <w:pPr>
        <w:adjustRightInd w:val="0"/>
        <w:snapToGrid w:val="0"/>
        <w:spacing w:line="288" w:lineRule="auto"/>
        <w:rPr>
          <w:rFonts w:hint="default" w:ascii="仿宋_GB2312" w:hAnsi="Times New Roman" w:eastAsia="仿宋_GB2312" w:cs="Times New Roman"/>
          <w:sz w:val="36"/>
          <w:szCs w:val="36"/>
          <w:highlight w:val="none"/>
          <w:u w:val="single"/>
          <w:lang w:val="en-US" w:eastAsia="zh-CN"/>
        </w:rPr>
      </w:pPr>
      <w:r>
        <w:rPr>
          <w:rFonts w:hint="eastAsia" w:ascii="仿宋_GB2312" w:eastAsia="仿宋_GB2312"/>
          <w:sz w:val="36"/>
          <w:szCs w:val="36"/>
          <w:highlight w:val="none"/>
        </w:rPr>
        <w:t>建设单位（盖章）：</w:t>
      </w:r>
      <w:r>
        <w:rPr>
          <w:rFonts w:hint="eastAsia" w:ascii="仿宋_GB2312" w:hAnsi="Times New Roman" w:eastAsia="仿宋_GB2312" w:cs="Times New Roman"/>
          <w:sz w:val="36"/>
          <w:szCs w:val="36"/>
          <w:highlight w:val="none"/>
          <w:u w:val="single"/>
          <w:lang w:val="en-US" w:eastAsia="zh-CN"/>
        </w:rPr>
        <w:t xml:space="preserve">中铁上海工程局集团有限公司     </w:t>
      </w:r>
    </w:p>
    <w:p>
      <w:pPr>
        <w:adjustRightInd w:val="0"/>
        <w:snapToGrid w:val="0"/>
        <w:spacing w:line="288" w:lineRule="auto"/>
        <w:ind w:firstLine="1800" w:firstLineChars="500"/>
        <w:rPr>
          <w:rFonts w:hint="default" w:ascii="仿宋_GB2312" w:eastAsia="仿宋_GB2312"/>
          <w:sz w:val="36"/>
          <w:szCs w:val="36"/>
          <w:highlight w:val="none"/>
          <w:u w:val="single"/>
          <w:lang w:val="en-US" w:eastAsia="zh-CN"/>
        </w:rPr>
      </w:pPr>
      <w:r>
        <w:rPr>
          <w:rFonts w:hint="eastAsia" w:ascii="仿宋_GB2312" w:hAnsi="Times New Roman" w:eastAsia="仿宋_GB2312" w:cs="Times New Roman"/>
          <w:sz w:val="36"/>
          <w:szCs w:val="36"/>
          <w:highlight w:val="none"/>
          <w:u w:val="single"/>
          <w:lang w:val="en-US" w:eastAsia="zh-CN"/>
        </w:rPr>
        <w:t xml:space="preserve">肖家堡制梁场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p>
    <w:p>
      <w:pPr>
        <w:adjustRightInd w:val="0"/>
        <w:snapToGrid w:val="0"/>
        <w:spacing w:line="288" w:lineRule="auto"/>
        <w:rPr>
          <w:rFonts w:hint="eastAsia" w:ascii="仿宋_GB2312" w:eastAsia="仿宋_GB2312"/>
          <w:sz w:val="36"/>
          <w:szCs w:val="36"/>
          <w:highlight w:val="none"/>
          <w:u w:val="single"/>
        </w:rPr>
      </w:pPr>
      <w:r>
        <w:rPr>
          <w:rFonts w:hint="eastAsia" w:ascii="仿宋_GB2312" w:eastAsia="仿宋_GB2312"/>
          <w:sz w:val="36"/>
          <w:szCs w:val="36"/>
          <w:highlight w:val="none"/>
        </w:rPr>
        <w:t>编制日期：</w:t>
      </w:r>
      <w:r>
        <w:rPr>
          <w:rFonts w:hint="eastAsia" w:ascii="仿宋_GB2312" w:eastAsia="仿宋_GB2312"/>
          <w:sz w:val="36"/>
          <w:szCs w:val="36"/>
          <w:highlight w:val="none"/>
          <w:u w:val="single"/>
        </w:rPr>
        <w:t xml:space="preserve"> </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2023年</w:t>
      </w:r>
      <w:r>
        <w:rPr>
          <w:rFonts w:hint="eastAsia" w:ascii="仿宋_GB2312" w:eastAsia="仿宋_GB2312"/>
          <w:sz w:val="36"/>
          <w:szCs w:val="36"/>
          <w:highlight w:val="none"/>
          <w:u w:val="single"/>
          <w:lang w:val="en-US" w:eastAsia="zh-CN"/>
        </w:rPr>
        <w:t>10</w:t>
      </w:r>
      <w:r>
        <w:rPr>
          <w:rFonts w:hint="eastAsia" w:ascii="仿宋_GB2312" w:eastAsia="仿宋_GB2312"/>
          <w:sz w:val="36"/>
          <w:szCs w:val="36"/>
          <w:highlight w:val="none"/>
          <w:u w:val="single"/>
        </w:rPr>
        <w:t>月</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 xml:space="preserve">       </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 xml:space="preserve"> </w:t>
      </w:r>
    </w:p>
    <w:p>
      <w:pPr>
        <w:adjustRightInd w:val="0"/>
        <w:snapToGrid w:val="0"/>
        <w:spacing w:line="288" w:lineRule="auto"/>
        <w:ind w:firstLine="1040"/>
        <w:rPr>
          <w:rFonts w:hint="eastAsia" w:ascii="仿宋" w:hAnsi="仿宋" w:eastAsia="仿宋" w:cs="仿宋"/>
          <w:sz w:val="36"/>
          <w:szCs w:val="36"/>
          <w:highlight w:val="none"/>
          <w:u w:val="single"/>
        </w:rPr>
      </w:pPr>
      <w:bookmarkStart w:id="0" w:name="_Hlk57884087"/>
    </w:p>
    <w:p>
      <w:pPr>
        <w:adjustRightInd w:val="0"/>
        <w:snapToGrid w:val="0"/>
        <w:spacing w:line="288" w:lineRule="auto"/>
        <w:ind w:firstLine="1040"/>
        <w:rPr>
          <w:rFonts w:ascii="仿宋_GB2312" w:eastAsia="仿宋_GB2312"/>
          <w:sz w:val="36"/>
          <w:szCs w:val="36"/>
          <w:highlight w:val="yellow"/>
        </w:rPr>
      </w:pPr>
    </w:p>
    <w:p>
      <w:pPr>
        <w:adjustRightInd w:val="0"/>
        <w:snapToGrid w:val="0"/>
        <w:spacing w:line="288" w:lineRule="auto"/>
        <w:ind w:firstLine="1040"/>
        <w:rPr>
          <w:rFonts w:hint="eastAsia" w:ascii="仿宋_GB2312" w:eastAsia="仿宋_GB2312"/>
          <w:sz w:val="36"/>
          <w:szCs w:val="36"/>
          <w:highlight w:val="yellow"/>
        </w:rPr>
      </w:pPr>
    </w:p>
    <w:p>
      <w:pPr>
        <w:pStyle w:val="22"/>
        <w:rPr>
          <w:rFonts w:hint="eastAsia" w:ascii="仿宋_GB2312" w:eastAsia="仿宋_GB2312"/>
          <w:sz w:val="36"/>
          <w:szCs w:val="36"/>
          <w:highlight w:val="yellow"/>
        </w:rPr>
      </w:pPr>
    </w:p>
    <w:p>
      <w:pPr>
        <w:pStyle w:val="40"/>
        <w:rPr>
          <w:rFonts w:hint="eastAsia"/>
        </w:rPr>
      </w:pPr>
    </w:p>
    <w:bookmarkEnd w:id="0"/>
    <w:p>
      <w:pPr>
        <w:adjustRightInd w:val="0"/>
        <w:snapToGrid w:val="0"/>
        <w:spacing w:line="288" w:lineRule="auto"/>
        <w:jc w:val="center"/>
        <w:rPr>
          <w:rFonts w:hint="eastAsia" w:ascii="楷体_GB2312" w:eastAsia="楷体_GB2312"/>
          <w:sz w:val="36"/>
          <w:szCs w:val="36"/>
          <w:highlight w:val="none"/>
        </w:rPr>
      </w:pPr>
      <w:r>
        <w:rPr>
          <w:rFonts w:hint="eastAsia" w:ascii="楷体_GB2312" w:eastAsia="楷体_GB2312"/>
          <w:sz w:val="36"/>
          <w:szCs w:val="36"/>
          <w:highlight w:val="none"/>
        </w:rPr>
        <w:t>中华人民共和国生态环境部制</w:t>
      </w:r>
    </w:p>
    <w:p>
      <w:pPr>
        <w:pStyle w:val="2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127"/>
        <w:gridCol w:w="2268"/>
        <w:gridCol w:w="27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建设项目名称</w:t>
            </w:r>
          </w:p>
        </w:tc>
        <w:tc>
          <w:tcPr>
            <w:tcW w:w="7156" w:type="dxa"/>
            <w:gridSpan w:val="3"/>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lang w:val="en-US" w:eastAsia="zh-CN"/>
              </w:rPr>
              <w:t>中铁上海工程局集团有限公司肖家堡制梁场锅炉建设项目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项目代码</w:t>
            </w:r>
          </w:p>
        </w:tc>
        <w:tc>
          <w:tcPr>
            <w:tcW w:w="7156" w:type="dxa"/>
            <w:gridSpan w:val="3"/>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建设单位联系人</w:t>
            </w:r>
          </w:p>
        </w:tc>
        <w:tc>
          <w:tcPr>
            <w:tcW w:w="2127"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lang w:val="en-US" w:eastAsia="zh-CN"/>
              </w:rPr>
              <w:t>邢磊</w:t>
            </w:r>
          </w:p>
        </w:tc>
        <w:tc>
          <w:tcPr>
            <w:tcW w:w="2268"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联系方式</w:t>
            </w:r>
          </w:p>
        </w:tc>
        <w:tc>
          <w:tcPr>
            <w:tcW w:w="2761" w:type="dxa"/>
            <w:noWrap w:val="0"/>
            <w:vAlign w:val="center"/>
          </w:tcPr>
          <w:p>
            <w:pPr>
              <w:adjustRightInd w:val="0"/>
              <w:snapToGrid w:val="0"/>
              <w:jc w:val="center"/>
              <w:rPr>
                <w:rFonts w:ascii="宋体" w:hAnsi="宋体" w:cs="宋体"/>
                <w:sz w:val="24"/>
                <w:highlight w:val="yellow"/>
              </w:rPr>
            </w:pPr>
            <w:r>
              <w:rPr>
                <w:rFonts w:hint="eastAsia" w:ascii="宋体" w:hAnsi="宋体" w:cs="宋体"/>
                <w:sz w:val="24"/>
                <w:lang w:val="en-US" w:eastAsia="zh-CN"/>
              </w:rPr>
              <w:t>15241769703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建设地点</w:t>
            </w:r>
          </w:p>
        </w:tc>
        <w:tc>
          <w:tcPr>
            <w:tcW w:w="7156" w:type="dxa"/>
            <w:gridSpan w:val="3"/>
            <w:noWrap w:val="0"/>
            <w:vAlign w:val="center"/>
          </w:tcPr>
          <w:p>
            <w:pPr>
              <w:adjustRightInd w:val="0"/>
              <w:snapToGrid w:val="0"/>
              <w:jc w:val="center"/>
              <w:rPr>
                <w:rFonts w:hint="default" w:ascii="宋体" w:hAnsi="宋体" w:cs="宋体"/>
                <w:sz w:val="24"/>
                <w:highlight w:val="none"/>
                <w:lang w:val="en-US"/>
              </w:rPr>
            </w:pPr>
            <w:r>
              <w:rPr>
                <w:rFonts w:hint="eastAsia" w:ascii="宋体" w:hAnsi="宋体" w:cs="宋体"/>
                <w:sz w:val="24"/>
                <w:highlight w:val="none"/>
                <w:lang w:val="en-US" w:eastAsia="zh-CN"/>
              </w:rPr>
              <w:t>吉林省白山市江源区大华村四社</w:t>
            </w:r>
            <w:r>
              <w:rPr>
                <w:rFonts w:hint="eastAsia" w:ascii="宋体" w:hAnsi="宋体" w:cs="宋体"/>
                <w:sz w:val="24"/>
                <w:lang w:val="en-US" w:eastAsia="zh-CN"/>
              </w:rPr>
              <w:t>中铁上海工程局集团有限公司肖家堡制梁场内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地理坐标</w:t>
            </w:r>
          </w:p>
        </w:tc>
        <w:tc>
          <w:tcPr>
            <w:tcW w:w="7156" w:type="dxa"/>
            <w:gridSpan w:val="3"/>
            <w:noWrap w:val="0"/>
            <w:vAlign w:val="center"/>
          </w:tcPr>
          <w:p>
            <w:pPr>
              <w:jc w:val="center"/>
              <w:rPr>
                <w:rFonts w:hint="eastAsia" w:ascii="宋体" w:hAnsi="宋体" w:cs="宋体"/>
                <w:sz w:val="24"/>
                <w:highlight w:val="none"/>
              </w:rPr>
            </w:pPr>
            <w:r>
              <w:rPr>
                <w:rFonts w:hint="eastAsia" w:ascii="宋体" w:hAnsi="宋体" w:cs="宋体"/>
                <w:sz w:val="24"/>
                <w:highlight w:val="none"/>
              </w:rPr>
              <w:t>（东经：</w:t>
            </w:r>
            <w:r>
              <w:rPr>
                <w:rFonts w:hint="eastAsia" w:ascii="宋体" w:hAnsi="宋体" w:cs="宋体"/>
                <w:sz w:val="24"/>
                <w:highlight w:val="none"/>
                <w:u w:val="single"/>
                <w:lang w:val="en-US" w:eastAsia="zh-CN"/>
              </w:rPr>
              <w:t>126度32分11秒</w:t>
            </w:r>
            <w:r>
              <w:rPr>
                <w:rFonts w:hint="eastAsia" w:ascii="宋体" w:hAnsi="宋体" w:cs="宋体"/>
                <w:sz w:val="24"/>
                <w:highlight w:val="none"/>
              </w:rPr>
              <w:t>，北纬：</w:t>
            </w:r>
            <w:r>
              <w:rPr>
                <w:rFonts w:hint="eastAsia" w:ascii="宋体" w:hAnsi="宋体" w:cs="宋体"/>
                <w:sz w:val="24"/>
                <w:highlight w:val="none"/>
                <w:u w:val="single"/>
                <w:lang w:val="en-US" w:eastAsia="zh-CN"/>
              </w:rPr>
              <w:t>42度1分42秒</w:t>
            </w:r>
            <w:r>
              <w:rPr>
                <w:rFonts w:hint="eastAsia" w:ascii="宋体" w:hAnsi="宋体" w:cs="宋体"/>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国民经济</w:t>
            </w:r>
          </w:p>
          <w:p>
            <w:pPr>
              <w:adjustRightInd w:val="0"/>
              <w:snapToGrid w:val="0"/>
              <w:jc w:val="center"/>
              <w:rPr>
                <w:rFonts w:hint="eastAsia" w:ascii="宋体" w:hAnsi="宋体" w:cs="宋体"/>
                <w:sz w:val="24"/>
                <w:highlight w:val="none"/>
              </w:rPr>
            </w:pPr>
            <w:r>
              <w:rPr>
                <w:rFonts w:hint="eastAsia" w:ascii="宋体" w:hAnsi="宋体" w:cs="宋体"/>
                <w:sz w:val="24"/>
                <w:highlight w:val="none"/>
              </w:rPr>
              <w:t>行业类别</w:t>
            </w:r>
          </w:p>
        </w:tc>
        <w:tc>
          <w:tcPr>
            <w:tcW w:w="2127" w:type="dxa"/>
            <w:noWrap w:val="0"/>
            <w:vAlign w:val="center"/>
          </w:tcPr>
          <w:p>
            <w:pPr>
              <w:jc w:val="center"/>
              <w:rPr>
                <w:rFonts w:ascii="宋体" w:hAnsi="宋体"/>
                <w:bCs/>
                <w:sz w:val="24"/>
                <w:highlight w:val="none"/>
              </w:rPr>
            </w:pPr>
            <w:r>
              <w:rPr>
                <w:rFonts w:ascii="宋体" w:hAnsi="宋体"/>
                <w:bCs/>
                <w:sz w:val="24"/>
                <w:highlight w:val="none"/>
              </w:rPr>
              <w:t>D4430</w:t>
            </w:r>
          </w:p>
          <w:p>
            <w:pPr>
              <w:adjustRightInd w:val="0"/>
              <w:snapToGrid w:val="0"/>
              <w:jc w:val="center"/>
              <w:rPr>
                <w:rFonts w:hint="eastAsia" w:ascii="宋体" w:hAnsi="宋体" w:cs="宋体"/>
                <w:sz w:val="24"/>
                <w:highlight w:val="none"/>
              </w:rPr>
            </w:pPr>
            <w:r>
              <w:rPr>
                <w:rFonts w:ascii="宋体" w:hAnsi="宋体"/>
                <w:bCs/>
                <w:sz w:val="24"/>
                <w:highlight w:val="none"/>
              </w:rPr>
              <w:t>热力生产和供应</w:t>
            </w:r>
          </w:p>
        </w:tc>
        <w:tc>
          <w:tcPr>
            <w:tcW w:w="2268" w:type="dxa"/>
            <w:noWrap w:val="0"/>
            <w:vAlign w:val="center"/>
          </w:tcPr>
          <w:p>
            <w:pPr>
              <w:adjustRightInd w:val="0"/>
              <w:snapToGrid w:val="0"/>
              <w:jc w:val="center"/>
              <w:rPr>
                <w:rFonts w:hint="eastAsia" w:ascii="宋体" w:hAnsi="宋体"/>
                <w:bCs/>
                <w:sz w:val="24"/>
                <w:highlight w:val="none"/>
              </w:rPr>
            </w:pPr>
            <w:bookmarkStart w:id="1" w:name="_Hlk49843745"/>
            <w:r>
              <w:rPr>
                <w:rFonts w:hint="eastAsia" w:ascii="宋体" w:hAnsi="宋体"/>
                <w:bCs/>
                <w:sz w:val="24"/>
                <w:highlight w:val="none"/>
              </w:rPr>
              <w:t>建设项目</w:t>
            </w:r>
          </w:p>
          <w:p>
            <w:pPr>
              <w:adjustRightInd w:val="0"/>
              <w:snapToGrid w:val="0"/>
              <w:jc w:val="center"/>
              <w:rPr>
                <w:rFonts w:hint="eastAsia" w:ascii="宋体" w:hAnsi="宋体"/>
                <w:bCs/>
                <w:sz w:val="24"/>
                <w:highlight w:val="none"/>
              </w:rPr>
            </w:pPr>
            <w:r>
              <w:rPr>
                <w:rFonts w:hint="eastAsia" w:ascii="宋体" w:hAnsi="宋体"/>
                <w:bCs/>
                <w:sz w:val="24"/>
                <w:highlight w:val="none"/>
              </w:rPr>
              <w:t>行业类别</w:t>
            </w:r>
            <w:bookmarkEnd w:id="1"/>
          </w:p>
        </w:tc>
        <w:tc>
          <w:tcPr>
            <w:tcW w:w="2761" w:type="dxa"/>
            <w:noWrap w:val="0"/>
            <w:vAlign w:val="center"/>
          </w:tcPr>
          <w:p>
            <w:pPr>
              <w:adjustRightInd w:val="0"/>
              <w:snapToGrid w:val="0"/>
              <w:jc w:val="center"/>
              <w:rPr>
                <w:rFonts w:hint="eastAsia" w:ascii="宋体" w:hAnsi="宋体"/>
                <w:bCs/>
                <w:sz w:val="24"/>
                <w:highlight w:val="none"/>
              </w:rPr>
            </w:pPr>
            <w:r>
              <w:rPr>
                <w:rFonts w:hint="eastAsia" w:ascii="宋体" w:hAnsi="宋体"/>
                <w:bCs/>
                <w:sz w:val="24"/>
                <w:highlight w:val="none"/>
              </w:rPr>
              <w:t>91.热力生产和供应工程（包括建设单位自建自用的供热工程）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建设性质</w:t>
            </w:r>
          </w:p>
        </w:tc>
        <w:tc>
          <w:tcPr>
            <w:tcW w:w="2127" w:type="dxa"/>
            <w:noWrap w:val="0"/>
            <w:vAlign w:val="center"/>
          </w:tcPr>
          <w:p>
            <w:pPr>
              <w:jc w:val="left"/>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rPr>
              <w:t>新建（迁建）</w:t>
            </w:r>
          </w:p>
          <w:p>
            <w:pPr>
              <w:jc w:val="left"/>
              <w:rPr>
                <w:rFonts w:hint="eastAsia" w:ascii="宋体" w:hAnsi="宋体" w:cs="宋体"/>
                <w:sz w:val="24"/>
                <w:highlight w:val="none"/>
              </w:rPr>
            </w:pPr>
            <w:r>
              <w:rPr>
                <w:rFonts w:hint="eastAsia" w:ascii="宋体" w:hAnsi="宋体" w:cs="宋体"/>
                <w:sz w:val="24"/>
                <w:highlight w:val="none"/>
              </w:rPr>
              <w:t>□改建</w:t>
            </w:r>
          </w:p>
          <w:p>
            <w:pPr>
              <w:jc w:val="left"/>
              <w:rPr>
                <w:rFonts w:hint="eastAsia" w:ascii="宋体" w:hAnsi="宋体" w:cs="宋体"/>
                <w:sz w:val="24"/>
                <w:highlight w:val="none"/>
              </w:rPr>
            </w:pPr>
            <w:r>
              <w:rPr>
                <w:rFonts w:hint="eastAsia" w:ascii="MS Gothic" w:hAnsi="MS Gothic" w:eastAsia="宋体" w:cs="MS Gothic"/>
                <w:sz w:val="24"/>
                <w:highlight w:val="none"/>
                <w:lang w:eastAsia="zh-CN"/>
              </w:rPr>
              <w:t>□</w:t>
            </w:r>
            <w:r>
              <w:rPr>
                <w:rFonts w:hint="eastAsia" w:ascii="宋体" w:hAnsi="宋体" w:cs="宋体"/>
                <w:sz w:val="24"/>
                <w:highlight w:val="none"/>
              </w:rPr>
              <w:t>扩建</w:t>
            </w:r>
          </w:p>
          <w:p>
            <w:pPr>
              <w:rPr>
                <w:rFonts w:hint="eastAsia" w:ascii="宋体" w:hAnsi="宋体" w:cs="宋体"/>
                <w:sz w:val="24"/>
                <w:highlight w:val="none"/>
              </w:rPr>
            </w:pPr>
            <w:r>
              <w:rPr>
                <w:rFonts w:hint="eastAsia" w:ascii="宋体" w:hAnsi="宋体" w:cs="宋体"/>
                <w:sz w:val="24"/>
                <w:highlight w:val="none"/>
              </w:rPr>
              <w:t>□技术改造</w:t>
            </w:r>
          </w:p>
        </w:tc>
        <w:tc>
          <w:tcPr>
            <w:tcW w:w="2268"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建设项目</w:t>
            </w:r>
          </w:p>
          <w:p>
            <w:pPr>
              <w:adjustRightInd w:val="0"/>
              <w:snapToGrid w:val="0"/>
              <w:jc w:val="center"/>
              <w:rPr>
                <w:rFonts w:hint="eastAsia" w:ascii="宋体" w:hAnsi="宋体" w:cs="宋体"/>
                <w:sz w:val="24"/>
                <w:highlight w:val="none"/>
              </w:rPr>
            </w:pPr>
            <w:r>
              <w:rPr>
                <w:rFonts w:hint="eastAsia" w:ascii="宋体" w:hAnsi="宋体" w:cs="宋体"/>
                <w:sz w:val="24"/>
                <w:highlight w:val="none"/>
              </w:rPr>
              <w:t>申报情形</w:t>
            </w:r>
          </w:p>
        </w:tc>
        <w:tc>
          <w:tcPr>
            <w:tcW w:w="2761" w:type="dxa"/>
            <w:noWrap w:val="0"/>
            <w:vAlign w:val="center"/>
          </w:tcPr>
          <w:p>
            <w:pPr>
              <w:jc w:val="left"/>
              <w:rPr>
                <w:rFonts w:hint="eastAsia" w:ascii="宋体" w:hAnsi="宋体" w:cs="宋体"/>
                <w:sz w:val="24"/>
                <w:highlight w:val="none"/>
              </w:rPr>
            </w:pPr>
            <w:r>
              <w:rPr>
                <w:rFonts w:hint="eastAsia" w:ascii="宋体" w:hAnsi="宋体" w:cs="宋体"/>
                <w:sz w:val="24"/>
                <w:highlight w:val="none"/>
              </w:rPr>
              <w:t xml:space="preserve">☑首次申报项目             </w:t>
            </w:r>
          </w:p>
          <w:p>
            <w:pPr>
              <w:jc w:val="left"/>
              <w:rPr>
                <w:rFonts w:hint="eastAsia" w:ascii="宋体" w:hAnsi="宋体" w:cs="宋体"/>
                <w:sz w:val="24"/>
                <w:highlight w:val="none"/>
              </w:rPr>
            </w:pPr>
            <w:r>
              <w:rPr>
                <w:rFonts w:hint="eastAsia" w:ascii="宋体" w:hAnsi="宋体" w:cs="宋体"/>
                <w:sz w:val="24"/>
                <w:highlight w:val="none"/>
              </w:rPr>
              <w:t>□不予批准后再次申报项目</w:t>
            </w:r>
          </w:p>
          <w:p>
            <w:pPr>
              <w:jc w:val="left"/>
              <w:rPr>
                <w:rFonts w:hint="eastAsia" w:ascii="宋体" w:hAnsi="宋体" w:cs="宋体"/>
                <w:sz w:val="24"/>
                <w:highlight w:val="none"/>
              </w:rPr>
            </w:pPr>
            <w:r>
              <w:rPr>
                <w:rFonts w:hint="eastAsia" w:ascii="宋体" w:hAnsi="宋体" w:cs="宋体"/>
                <w:sz w:val="24"/>
                <w:highlight w:val="none"/>
              </w:rPr>
              <w:t xml:space="preserve">□超五年重新审核项目     </w:t>
            </w:r>
          </w:p>
          <w:p>
            <w:pPr>
              <w:jc w:val="left"/>
              <w:rPr>
                <w:rFonts w:hint="eastAsia" w:ascii="宋体" w:hAnsi="宋体" w:cs="宋体"/>
                <w:sz w:val="24"/>
                <w:highlight w:val="none"/>
              </w:rPr>
            </w:pPr>
            <w:r>
              <w:rPr>
                <w:rFonts w:hint="eastAsia" w:ascii="宋体" w:hAnsi="宋体" w:cs="宋体"/>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项目审批（核准/</w:t>
            </w:r>
          </w:p>
          <w:p>
            <w:pPr>
              <w:adjustRightInd w:val="0"/>
              <w:snapToGrid w:val="0"/>
              <w:jc w:val="center"/>
              <w:rPr>
                <w:rFonts w:hint="eastAsia" w:ascii="宋体" w:hAnsi="宋体" w:cs="宋体"/>
                <w:sz w:val="24"/>
                <w:highlight w:val="none"/>
              </w:rPr>
            </w:pPr>
            <w:r>
              <w:rPr>
                <w:rFonts w:hint="eastAsia" w:ascii="宋体" w:hAnsi="宋体" w:cs="宋体"/>
                <w:sz w:val="24"/>
                <w:highlight w:val="none"/>
              </w:rPr>
              <w:t>备案）部门（选填）</w:t>
            </w:r>
          </w:p>
        </w:tc>
        <w:tc>
          <w:tcPr>
            <w:tcW w:w="2127"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w:t>
            </w:r>
          </w:p>
        </w:tc>
        <w:tc>
          <w:tcPr>
            <w:tcW w:w="2268"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项目审批（核准/</w:t>
            </w:r>
          </w:p>
          <w:p>
            <w:pPr>
              <w:adjustRightInd w:val="0"/>
              <w:snapToGrid w:val="0"/>
              <w:jc w:val="center"/>
              <w:rPr>
                <w:rFonts w:hint="eastAsia" w:ascii="宋体" w:hAnsi="宋体" w:cs="宋体"/>
                <w:sz w:val="24"/>
                <w:highlight w:val="none"/>
              </w:rPr>
            </w:pPr>
            <w:r>
              <w:rPr>
                <w:rFonts w:hint="eastAsia" w:ascii="宋体" w:hAnsi="宋体" w:cs="宋体"/>
                <w:sz w:val="24"/>
                <w:highlight w:val="none"/>
              </w:rPr>
              <w:t>备案）文号（选填）</w:t>
            </w:r>
          </w:p>
        </w:tc>
        <w:tc>
          <w:tcPr>
            <w:tcW w:w="2761"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总投资（万元）</w:t>
            </w:r>
          </w:p>
        </w:tc>
        <w:tc>
          <w:tcPr>
            <w:tcW w:w="2127" w:type="dxa"/>
            <w:noWrap w:val="0"/>
            <w:vAlign w:val="center"/>
          </w:tcPr>
          <w:p>
            <w:pPr>
              <w:adjustRightInd w:val="0"/>
              <w:snapToGrid w:val="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80</w:t>
            </w:r>
          </w:p>
        </w:tc>
        <w:tc>
          <w:tcPr>
            <w:tcW w:w="2268"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环保投资（万元）</w:t>
            </w:r>
          </w:p>
        </w:tc>
        <w:tc>
          <w:tcPr>
            <w:tcW w:w="2761" w:type="dxa"/>
            <w:noWrap w:val="0"/>
            <w:vAlign w:val="center"/>
          </w:tcPr>
          <w:p>
            <w:pPr>
              <w:adjustRightInd w:val="0"/>
              <w:snapToGrid w:val="0"/>
              <w:jc w:val="center"/>
              <w:rPr>
                <w:rFonts w:hint="default"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yellow"/>
              </w:rPr>
            </w:pPr>
            <w:r>
              <w:rPr>
                <w:rFonts w:hint="eastAsia" w:ascii="宋体" w:hAnsi="宋体" w:cs="宋体"/>
                <w:sz w:val="24"/>
                <w:highlight w:val="none"/>
              </w:rPr>
              <w:t>环保投资占比（%）</w:t>
            </w:r>
          </w:p>
        </w:tc>
        <w:tc>
          <w:tcPr>
            <w:tcW w:w="2127" w:type="dxa"/>
            <w:noWrap w:val="0"/>
            <w:vAlign w:val="center"/>
          </w:tcPr>
          <w:p>
            <w:pPr>
              <w:adjustRightInd w:val="0"/>
              <w:snapToGrid w:val="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14</w:t>
            </w:r>
          </w:p>
        </w:tc>
        <w:tc>
          <w:tcPr>
            <w:tcW w:w="2268"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施工工期</w:t>
            </w:r>
          </w:p>
        </w:tc>
        <w:tc>
          <w:tcPr>
            <w:tcW w:w="2761" w:type="dxa"/>
            <w:noWrap w:val="0"/>
            <w:vAlign w:val="center"/>
          </w:tcPr>
          <w:p>
            <w:pPr>
              <w:adjustRightInd w:val="0"/>
              <w:snapToGrid w:val="0"/>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20天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是否开工建设</w:t>
            </w:r>
          </w:p>
        </w:tc>
        <w:tc>
          <w:tcPr>
            <w:tcW w:w="2127" w:type="dxa"/>
            <w:noWrap w:val="0"/>
            <w:vAlign w:val="center"/>
          </w:tcPr>
          <w:p>
            <w:pPr>
              <w:adjustRightInd w:val="0"/>
              <w:snapToGrid w:val="0"/>
              <w:rPr>
                <w:rFonts w:hint="eastAsia" w:ascii="宋体" w:hAnsi="宋体" w:cs="宋体"/>
                <w:sz w:val="24"/>
                <w:highlight w:val="none"/>
              </w:rPr>
            </w:pPr>
            <w:r>
              <w:rPr>
                <w:rFonts w:hint="eastAsia" w:ascii="宋体" w:hAnsi="宋体" w:cs="宋体"/>
                <w:sz w:val="24"/>
                <w:highlight w:val="none"/>
              </w:rPr>
              <w:t>☑否</w:t>
            </w:r>
          </w:p>
          <w:p>
            <w:pPr>
              <w:adjustRightInd w:val="0"/>
              <w:snapToGrid w:val="0"/>
              <w:rPr>
                <w:rFonts w:hint="eastAsia" w:ascii="宋体" w:hAnsi="宋体" w:cs="宋体"/>
                <w:sz w:val="24"/>
                <w:highlight w:val="none"/>
              </w:rPr>
            </w:pPr>
            <w:r>
              <w:rPr>
                <w:rFonts w:hint="eastAsia" w:ascii="宋体" w:hAnsi="宋体" w:cs="宋体"/>
                <w:sz w:val="24"/>
                <w:highlight w:val="none"/>
              </w:rPr>
              <w:t>□是：</w:t>
            </w:r>
            <w:r>
              <w:rPr>
                <w:rFonts w:hint="eastAsia" w:ascii="宋体" w:hAnsi="宋体" w:cs="宋体"/>
                <w:sz w:val="24"/>
                <w:highlight w:val="none"/>
                <w:u w:val="single"/>
              </w:rPr>
              <w:t xml:space="preserve">             </w:t>
            </w:r>
          </w:p>
        </w:tc>
        <w:tc>
          <w:tcPr>
            <w:tcW w:w="2268" w:type="dxa"/>
            <w:noWrap w:val="0"/>
            <w:tcMar>
              <w:top w:w="16" w:type="dxa"/>
              <w:left w:w="16" w:type="dxa"/>
              <w:right w:w="16" w:type="dxa"/>
            </w:tcMar>
            <w:vAlign w:val="center"/>
          </w:tcPr>
          <w:p>
            <w:pPr>
              <w:adjustRightInd w:val="0"/>
              <w:snapToGrid w:val="0"/>
              <w:jc w:val="center"/>
              <w:rPr>
                <w:rFonts w:hint="eastAsia" w:ascii="宋体" w:hAnsi="宋体" w:cs="宋体"/>
                <w:spacing w:val="-6"/>
                <w:sz w:val="24"/>
                <w:highlight w:val="none"/>
              </w:rPr>
            </w:pPr>
            <w:r>
              <w:rPr>
                <w:rFonts w:hint="eastAsia" w:ascii="宋体" w:hAnsi="宋体" w:cs="宋体"/>
                <w:spacing w:val="-6"/>
                <w:sz w:val="24"/>
                <w:highlight w:val="none"/>
              </w:rPr>
              <w:t>用地（用海）</w:t>
            </w:r>
          </w:p>
          <w:p>
            <w:pPr>
              <w:adjustRightInd w:val="0"/>
              <w:snapToGrid w:val="0"/>
              <w:jc w:val="center"/>
              <w:rPr>
                <w:rFonts w:hint="eastAsia" w:ascii="宋体" w:hAnsi="宋体" w:cs="宋体"/>
                <w:sz w:val="24"/>
                <w:highlight w:val="none"/>
              </w:rPr>
            </w:pPr>
            <w:r>
              <w:rPr>
                <w:rFonts w:hint="eastAsia" w:ascii="宋体" w:hAnsi="宋体" w:cs="宋体"/>
                <w:spacing w:val="-6"/>
                <w:sz w:val="24"/>
                <w:highlight w:val="none"/>
              </w:rPr>
              <w:t>面积（m</w:t>
            </w:r>
            <w:r>
              <w:rPr>
                <w:rFonts w:hint="eastAsia" w:ascii="宋体" w:hAnsi="宋体" w:cs="宋体"/>
                <w:spacing w:val="-6"/>
                <w:sz w:val="24"/>
                <w:highlight w:val="none"/>
                <w:vertAlign w:val="superscript"/>
              </w:rPr>
              <w:t>2</w:t>
            </w:r>
            <w:r>
              <w:rPr>
                <w:rFonts w:hint="eastAsia" w:ascii="宋体" w:hAnsi="宋体" w:cs="宋体"/>
                <w:spacing w:val="-6"/>
                <w:sz w:val="24"/>
                <w:highlight w:val="none"/>
              </w:rPr>
              <w:t>）</w:t>
            </w:r>
          </w:p>
        </w:tc>
        <w:tc>
          <w:tcPr>
            <w:tcW w:w="2761" w:type="dxa"/>
            <w:noWrap w:val="0"/>
            <w:vAlign w:val="center"/>
          </w:tcPr>
          <w:p>
            <w:pPr>
              <w:adjustRightInd w:val="0"/>
              <w:snapToGrid w:val="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noWrap w:val="0"/>
            <w:vAlign w:val="center"/>
          </w:tcPr>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专项评价</w:t>
            </w: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设置情况</w:t>
            </w:r>
          </w:p>
        </w:tc>
        <w:tc>
          <w:tcPr>
            <w:tcW w:w="7156" w:type="dxa"/>
            <w:gridSpan w:val="3"/>
            <w:noWrap w:val="0"/>
            <w:vAlign w:val="center"/>
          </w:tcPr>
          <w:p>
            <w:pPr>
              <w:autoSpaceDE w:val="0"/>
              <w:autoSpaceDN w:val="0"/>
              <w:adjustRightInd w:val="0"/>
              <w:snapToGrid w:val="0"/>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1714" w:type="dxa"/>
            <w:noWrap w:val="0"/>
            <w:vAlign w:val="center"/>
          </w:tcPr>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sz w:val="24"/>
                <w:highlight w:val="none"/>
              </w:rPr>
              <w:t>规划情况</w:t>
            </w:r>
          </w:p>
        </w:tc>
        <w:tc>
          <w:tcPr>
            <w:tcW w:w="7156" w:type="dxa"/>
            <w:gridSpan w:val="3"/>
            <w:noWrap w:val="0"/>
            <w:vAlign w:val="center"/>
          </w:tcPr>
          <w:p>
            <w:pPr>
              <w:autoSpaceDE w:val="0"/>
              <w:autoSpaceDN w:val="0"/>
              <w:adjustRightInd w:val="0"/>
              <w:snapToGrid w:val="0"/>
              <w:rPr>
                <w:rFonts w:hint="eastAsia" w:ascii="宋体" w:hAnsi="宋体" w:cs="宋体"/>
                <w:kern w:val="0"/>
                <w:sz w:val="24"/>
                <w:highlight w:val="none"/>
              </w:rPr>
            </w:pPr>
            <w:r>
              <w:rPr>
                <w:rFonts w:hint="eastAsia" w:ascii="宋体" w:hAnsi="宋体" w:cs="宋体"/>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714" w:type="dxa"/>
            <w:noWrap w:val="0"/>
            <w:vAlign w:val="center"/>
          </w:tcPr>
          <w:p>
            <w:pPr>
              <w:adjustRightInd w:val="0"/>
              <w:snapToGrid w:val="0"/>
              <w:jc w:val="center"/>
              <w:rPr>
                <w:rFonts w:hint="eastAsia" w:ascii="宋体" w:hAnsi="宋体" w:cs="宋体"/>
                <w:sz w:val="24"/>
                <w:highlight w:val="none"/>
              </w:rPr>
            </w:pPr>
            <w:r>
              <w:rPr>
                <w:rFonts w:hint="eastAsia" w:ascii="宋体" w:hAnsi="宋体" w:cs="宋体"/>
                <w:sz w:val="24"/>
                <w:highlight w:val="none"/>
              </w:rPr>
              <w:t>规划环境影响</w:t>
            </w:r>
          </w:p>
          <w:p>
            <w:pPr>
              <w:adjustRightInd w:val="0"/>
              <w:snapToGrid w:val="0"/>
              <w:jc w:val="center"/>
              <w:rPr>
                <w:rFonts w:hint="eastAsia" w:ascii="宋体" w:hAnsi="宋体" w:cs="宋体"/>
                <w:kern w:val="0"/>
                <w:sz w:val="24"/>
                <w:highlight w:val="none"/>
              </w:rPr>
            </w:pPr>
            <w:r>
              <w:rPr>
                <w:rFonts w:hint="eastAsia" w:ascii="宋体" w:hAnsi="宋体" w:cs="宋体"/>
                <w:sz w:val="24"/>
                <w:highlight w:val="none"/>
              </w:rPr>
              <w:t>评价情况</w:t>
            </w:r>
          </w:p>
        </w:tc>
        <w:tc>
          <w:tcPr>
            <w:tcW w:w="7156" w:type="dxa"/>
            <w:gridSpan w:val="3"/>
            <w:noWrap w:val="0"/>
            <w:vAlign w:val="center"/>
          </w:tcPr>
          <w:p>
            <w:pPr>
              <w:autoSpaceDE w:val="0"/>
              <w:autoSpaceDN w:val="0"/>
              <w:adjustRightInd w:val="0"/>
              <w:snapToGrid w:val="0"/>
              <w:rPr>
                <w:rFonts w:hint="eastAsia" w:ascii="宋体" w:hAnsi="宋体" w:cs="宋体"/>
                <w:kern w:val="0"/>
                <w:sz w:val="24"/>
                <w:highlight w:val="none"/>
              </w:rPr>
            </w:pPr>
            <w:r>
              <w:rPr>
                <w:rFonts w:hint="eastAsia" w:ascii="宋体" w:hAnsi="宋体" w:cs="宋体"/>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规划及规划环境影响评价符合性分析</w:t>
            </w:r>
          </w:p>
        </w:tc>
        <w:tc>
          <w:tcPr>
            <w:tcW w:w="7156" w:type="dxa"/>
            <w:gridSpan w:val="3"/>
            <w:noWrap w:val="0"/>
            <w:vAlign w:val="center"/>
          </w:tcPr>
          <w:p>
            <w:pPr>
              <w:autoSpaceDE w:val="0"/>
              <w:autoSpaceDN w:val="0"/>
              <w:adjustRightInd w:val="0"/>
              <w:snapToGrid w:val="0"/>
              <w:rPr>
                <w:rFonts w:hint="eastAsia" w:ascii="宋体" w:hAnsi="宋体" w:cs="宋体"/>
                <w:kern w:val="0"/>
                <w:sz w:val="24"/>
                <w:highlight w:val="none"/>
              </w:rPr>
            </w:pPr>
            <w:r>
              <w:rPr>
                <w:rFonts w:hint="eastAsia" w:ascii="宋体" w:hAnsi="宋体" w:cs="宋体"/>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其他符合性分析</w:t>
            </w: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pStyle w:val="22"/>
              <w:rPr>
                <w:rFonts w:hint="eastAsia" w:ascii="宋体" w:hAnsi="宋体" w:cs="宋体"/>
                <w:vanish w:val="0"/>
                <w:sz w:val="24"/>
                <w:szCs w:val="24"/>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其他符合性分析</w:t>
            </w: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其他符合性分析</w:t>
            </w: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pStyle w:val="22"/>
              <w:rPr>
                <w:rFonts w:hint="eastAsia" w:ascii="宋体" w:hAnsi="宋体" w:cs="宋体"/>
                <w:vanish w:val="0"/>
                <w:sz w:val="24"/>
                <w:szCs w:val="24"/>
                <w:highlight w:val="none"/>
              </w:rPr>
            </w:pPr>
          </w:p>
          <w:p>
            <w:pPr>
              <w:pStyle w:val="40"/>
              <w:rPr>
                <w:rFonts w:hint="eastAsia" w:ascii="宋体" w:hAnsi="宋体" w:eastAsia="宋体" w:cs="宋体"/>
                <w:color w:val="auto"/>
                <w:highlight w:val="none"/>
              </w:rPr>
            </w:pPr>
          </w:p>
          <w:p>
            <w:pPr>
              <w:pStyle w:val="40"/>
              <w:rPr>
                <w:rFonts w:hint="eastAsia" w:ascii="宋体" w:hAnsi="宋体" w:eastAsia="宋体" w:cs="宋体"/>
                <w:color w:val="auto"/>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其他符合性分析</w:t>
            </w: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p>
          <w:p>
            <w:pPr>
              <w:autoSpaceDE w:val="0"/>
              <w:autoSpaceDN w:val="0"/>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其他符合性分析</w:t>
            </w:r>
          </w:p>
        </w:tc>
        <w:tc>
          <w:tcPr>
            <w:tcW w:w="7156" w:type="dxa"/>
            <w:gridSpan w:val="3"/>
            <w:noWrap w:val="0"/>
            <w:vAlign w:val="center"/>
          </w:tcPr>
          <w:p>
            <w:pPr>
              <w:numPr>
                <w:ilvl w:val="0"/>
                <w:numId w:val="1"/>
              </w:numPr>
              <w:autoSpaceDE w:val="0"/>
              <w:autoSpaceDN w:val="0"/>
              <w:adjustRightInd w:val="0"/>
              <w:snapToGrid w:val="0"/>
              <w:spacing w:line="360" w:lineRule="auto"/>
              <w:jc w:val="left"/>
              <w:rPr>
                <w:rFonts w:hint="eastAsia" w:ascii="宋体" w:hAnsi="宋体" w:cs="宋体"/>
                <w:b/>
                <w:bCs/>
                <w:sz w:val="24"/>
                <w:highlight w:val="none"/>
              </w:rPr>
            </w:pPr>
            <w:r>
              <w:rPr>
                <w:rFonts w:hint="eastAsia" w:ascii="宋体" w:hAnsi="宋体" w:cs="宋体"/>
                <w:b/>
                <w:bCs/>
                <w:sz w:val="24"/>
                <w:highlight w:val="none"/>
              </w:rPr>
              <w:t>规划合理性分析</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本项目厂区附近无自然保护区、风景旅游区、集中式生活饮用水水源地与濒危珍稀野生动植物分布，位于</w:t>
            </w:r>
            <w:r>
              <w:rPr>
                <w:rFonts w:hint="eastAsia" w:ascii="宋体" w:hAnsi="宋体" w:cs="宋体"/>
                <w:sz w:val="24"/>
                <w:lang w:val="en-US" w:eastAsia="zh-CN"/>
              </w:rPr>
              <w:t>吉林省白山市江源区大华村四社中铁上海工程局集团有限公司肖家堡制梁场占地范围内</w:t>
            </w:r>
            <w:r>
              <w:rPr>
                <w:rFonts w:hint="eastAsia" w:ascii="宋体" w:hAnsi="宋体" w:cs="宋体"/>
                <w:sz w:val="24"/>
                <w:highlight w:val="none"/>
              </w:rPr>
              <w:t>，项目</w:t>
            </w:r>
            <w:r>
              <w:rPr>
                <w:rFonts w:hint="eastAsia" w:ascii="宋体" w:hAnsi="宋体" w:cs="宋体"/>
                <w:sz w:val="24"/>
                <w:highlight w:val="none"/>
                <w:lang w:val="en-US" w:eastAsia="zh-CN"/>
              </w:rPr>
              <w:t>利用</w:t>
            </w:r>
            <w:r>
              <w:rPr>
                <w:rFonts w:hint="eastAsia" w:ascii="宋体" w:hAnsi="宋体" w:cs="宋体"/>
                <w:sz w:val="24"/>
                <w:lang w:val="en-US" w:eastAsia="zh-CN"/>
              </w:rPr>
              <w:t>肖家堡制梁场厂界内现有空地进行建设</w:t>
            </w:r>
            <w:r>
              <w:rPr>
                <w:rFonts w:hint="eastAsia" w:ascii="宋体" w:hAnsi="宋体" w:cs="宋体"/>
                <w:sz w:val="24"/>
                <w:highlight w:val="none"/>
                <w:lang w:eastAsia="zh-CN"/>
              </w:rPr>
              <w:t>，</w:t>
            </w:r>
            <w:r>
              <w:rPr>
                <w:rFonts w:hint="eastAsia" w:ascii="宋体" w:hAnsi="宋体" w:cs="宋体"/>
                <w:sz w:val="24"/>
                <w:highlight w:val="none"/>
                <w:lang w:val="en-US" w:eastAsia="zh-CN"/>
              </w:rPr>
              <w:t>项目占地性质为旱地</w:t>
            </w:r>
            <w:r>
              <w:rPr>
                <w:rFonts w:hint="eastAsia" w:ascii="宋体" w:hAnsi="宋体" w:cs="宋体"/>
                <w:sz w:val="24"/>
                <w:highlight w:val="none"/>
              </w:rPr>
              <w:t>，且项目北侧紧邻</w:t>
            </w:r>
            <w:r>
              <w:rPr>
                <w:rFonts w:hint="eastAsia" w:ascii="宋体" w:hAnsi="宋体" w:cs="宋体"/>
                <w:sz w:val="24"/>
                <w:highlight w:val="none"/>
                <w:lang w:val="en-US" w:eastAsia="zh-CN"/>
              </w:rPr>
              <w:t>道路</w:t>
            </w:r>
            <w:r>
              <w:rPr>
                <w:rFonts w:hint="eastAsia" w:ascii="宋体" w:hAnsi="宋体" w:cs="宋体"/>
                <w:sz w:val="24"/>
                <w:highlight w:val="none"/>
              </w:rPr>
              <w:t>，交通便利</w:t>
            </w:r>
            <w:r>
              <w:rPr>
                <w:rFonts w:hint="eastAsia" w:ascii="宋体" w:hAnsi="宋体" w:cs="宋体"/>
                <w:sz w:val="24"/>
                <w:highlight w:val="none"/>
                <w:lang w:eastAsia="zh-CN"/>
              </w:rPr>
              <w:t>，</w:t>
            </w:r>
            <w:r>
              <w:rPr>
                <w:rFonts w:hint="eastAsia" w:ascii="宋体" w:hAnsi="宋体" w:cs="宋体"/>
                <w:sz w:val="24"/>
                <w:highlight w:val="none"/>
                <w:lang w:val="en-US" w:eastAsia="zh-CN"/>
              </w:rPr>
              <w:t>本项目属临时工程，工程结束后，及时拆除</w:t>
            </w:r>
            <w:r>
              <w:rPr>
                <w:rFonts w:hint="eastAsia" w:ascii="宋体" w:hAnsi="宋体" w:cs="宋体"/>
                <w:sz w:val="24"/>
                <w:highlight w:val="none"/>
              </w:rPr>
              <w:t>。</w:t>
            </w:r>
            <w:r>
              <w:rPr>
                <w:rFonts w:hint="eastAsia" w:ascii="宋体" w:hAnsi="宋体" w:cs="宋体"/>
                <w:sz w:val="24"/>
                <w:highlight w:val="none"/>
                <w:lang w:val="zh-CN"/>
              </w:rPr>
              <w:t>本项目建设符合白山市总体规划要求，</w:t>
            </w:r>
            <w:r>
              <w:rPr>
                <w:rFonts w:hint="eastAsia" w:ascii="宋体" w:hAnsi="宋体" w:cs="宋体"/>
                <w:sz w:val="24"/>
                <w:highlight w:val="none"/>
              </w:rPr>
              <w:t>选址符合国家有关规定。</w:t>
            </w:r>
          </w:p>
          <w:p>
            <w:pPr>
              <w:autoSpaceDE w:val="0"/>
              <w:autoSpaceDN w:val="0"/>
              <w:adjustRightInd w:val="0"/>
              <w:snapToGrid w:val="0"/>
              <w:spacing w:line="360" w:lineRule="auto"/>
              <w:ind w:firstLine="482" w:firstLineChars="200"/>
              <w:jc w:val="left"/>
              <w:rPr>
                <w:rFonts w:hint="eastAsia" w:ascii="宋体" w:hAnsi="宋体" w:cs="宋体"/>
                <w:b/>
                <w:bCs/>
                <w:sz w:val="24"/>
                <w:highlight w:val="none"/>
                <w:lang w:val="zh-CN"/>
              </w:rPr>
            </w:pPr>
            <w:r>
              <w:rPr>
                <w:rFonts w:hint="eastAsia" w:ascii="宋体" w:hAnsi="宋体" w:cs="宋体"/>
                <w:b/>
                <w:bCs/>
                <w:sz w:val="24"/>
                <w:highlight w:val="none"/>
                <w:lang w:val="zh-CN"/>
              </w:rPr>
              <w:t>⑵产业政策可行性</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根据《产业结构调整指导目录（2019年本）》，本项目为热力生产和供应工程项目，不属于鼓励类和淘汰类，故本项目属于允许类。 项目建设符合国家产业政策。</w:t>
            </w:r>
          </w:p>
          <w:p>
            <w:pPr>
              <w:autoSpaceDE w:val="0"/>
              <w:autoSpaceDN w:val="0"/>
              <w:adjustRightInd w:val="0"/>
              <w:snapToGrid w:val="0"/>
              <w:spacing w:line="360" w:lineRule="auto"/>
              <w:ind w:left="482"/>
              <w:jc w:val="left"/>
              <w:rPr>
                <w:rFonts w:hint="eastAsia" w:ascii="宋体" w:hAnsi="宋体" w:cs="宋体"/>
                <w:b/>
                <w:bCs/>
                <w:sz w:val="24"/>
                <w:highlight w:val="none"/>
                <w:lang w:val="zh-CN"/>
              </w:rPr>
            </w:pPr>
            <w:r>
              <w:rPr>
                <w:rFonts w:hint="eastAsia" w:ascii="宋体" w:hAnsi="宋体" w:cs="宋体"/>
                <w:b/>
                <w:bCs/>
                <w:sz w:val="24"/>
                <w:highlight w:val="none"/>
                <w:lang w:val="zh-CN"/>
              </w:rPr>
              <w:t>（3） “三线一单”符合性分析</w:t>
            </w:r>
          </w:p>
          <w:p>
            <w:pPr>
              <w:numPr>
                <w:ilvl w:val="0"/>
                <w:numId w:val="2"/>
              </w:numPr>
              <w:autoSpaceDE w:val="0"/>
              <w:autoSpaceDN w:val="0"/>
              <w:adjustRightInd w:val="0"/>
              <w:snapToGrid w:val="0"/>
              <w:spacing w:line="360" w:lineRule="auto"/>
              <w:jc w:val="left"/>
              <w:rPr>
                <w:rFonts w:hint="eastAsia" w:ascii="宋体" w:hAnsi="宋体" w:cs="宋体"/>
                <w:sz w:val="24"/>
                <w:highlight w:val="none"/>
              </w:rPr>
            </w:pPr>
            <w:r>
              <w:rPr>
                <w:rFonts w:hint="eastAsia" w:ascii="宋体" w:hAnsi="宋体" w:cs="宋体"/>
                <w:sz w:val="24"/>
                <w:highlight w:val="none"/>
              </w:rPr>
              <w:t>与生态红线区域保护规划的相符性</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对照《吉林省人民政府关于实施“三线一单”生态环境分区管控的意见》（吉政函〔 2020〕101号）及《白山市人民政府关于实施“三线 一单”生态环境分区管控的意见》（白山政函【 2021】 107号），本项目所在地区属于优先保护单元。优先管控单元要求按照法律法规和有关规定禁止或限制大规模、高强度的工业和城镇开发建设。其中生态保护红线内区域严格按照法律法规和有关规定，禁止开发性、生产性建设活动。生态保护红线外各类生态功能重要区和生态敏感脆弱区、水环境优先保护区、大气环境优先保护区，按照保护对象不同属性和功能，严格按照法律法规和有关规定，限制开发性、生产性建设活动。功能受损的优先保护单元，优先开展生态保护修复活动，恢复生态系统服务功能。</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本项目不在生态保护红线范围内，符合生态保护红线要求。本项目不在生态功能重要区和生态敏感脆弱区、水环境优先保护区、大气环境优先保护区，符合优先保护单元。</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②环境质量底线</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区域环境空气属于《环境空气质量标准》（GB3095-2012）中二类功能区；根据《白山市水环境质量年报》（2021年）中数据可知，评价区域为浑江，水质指标均满足《地表水环境质量标准》（GB3838-2002）中的Ш类标准；区域声环境属于《声环境质量标准》（GB3096-2008）中1类功能区；区域环境质量现状较好。 本项目大气主要污染物为颗粒物、二氧化硫、氮氧化物，采取相应治 理措施后可达标排放；本项目无新增员工，不新增生活污水，锅炉排污水</w:t>
            </w:r>
            <w:r>
              <w:rPr>
                <w:rFonts w:hint="eastAsia" w:ascii="宋体" w:hAnsi="宋体" w:cs="宋体"/>
                <w:sz w:val="24"/>
                <w:highlight w:val="none"/>
                <w:lang w:val="en-US" w:eastAsia="zh-CN"/>
              </w:rPr>
              <w:t>及反冲洗废水</w:t>
            </w:r>
            <w:r>
              <w:rPr>
                <w:rFonts w:hint="eastAsia" w:ascii="宋体" w:hAnsi="宋体" w:cs="宋体"/>
                <w:sz w:val="24"/>
                <w:highlight w:val="none"/>
              </w:rPr>
              <w:t>排入</w:t>
            </w:r>
            <w:r>
              <w:rPr>
                <w:rFonts w:hint="eastAsia" w:ascii="宋体" w:hAnsi="宋体" w:cs="宋体"/>
                <w:sz w:val="24"/>
                <w:highlight w:val="none"/>
                <w:lang w:val="en-US" w:eastAsia="zh-CN"/>
              </w:rPr>
              <w:t>现有化粪池</w:t>
            </w:r>
            <w:r>
              <w:rPr>
                <w:rFonts w:hint="eastAsia" w:ascii="宋体" w:hAnsi="宋体" w:cs="宋体"/>
                <w:sz w:val="24"/>
                <w:highlight w:val="none"/>
              </w:rPr>
              <w:t>，不外排。项目产生的固体废物全部妥善处理，不直接排入外环境；项目三废均能有效处理，不会明显降低区域环境质 量现状；项目建设不会对当地环境质量底线造成冲击。</w:t>
            </w:r>
          </w:p>
          <w:p>
            <w:pPr>
              <w:autoSpaceDE w:val="0"/>
              <w:autoSpaceDN w:val="0"/>
              <w:adjustRightInd w:val="0"/>
              <w:snapToGrid w:val="0"/>
              <w:spacing w:line="360" w:lineRule="auto"/>
              <w:ind w:firstLine="420" w:firstLineChars="200"/>
              <w:jc w:val="left"/>
              <w:rPr>
                <w:rFonts w:hint="eastAsia" w:eastAsia="宋体"/>
                <w:highlight w:val="none"/>
                <w:lang w:val="en-US" w:eastAsia="zh-CN"/>
              </w:rPr>
            </w:pPr>
            <w:r>
              <w:rPr>
                <w:rFonts w:hint="eastAsia" w:ascii="宋体" w:hAnsi="宋体"/>
                <w:highlight w:val="none"/>
              </w:rPr>
              <w:t>③</w:t>
            </w:r>
            <w:r>
              <w:rPr>
                <w:rFonts w:hint="eastAsia"/>
                <w:sz w:val="24"/>
                <w:highlight w:val="none"/>
              </w:rPr>
              <w:t>资源利用上线</w:t>
            </w:r>
          </w:p>
          <w:p>
            <w:pPr>
              <w:autoSpaceDE w:val="0"/>
              <w:autoSpaceDN w:val="0"/>
              <w:adjustRightInd w:val="0"/>
              <w:snapToGrid w:val="0"/>
              <w:spacing w:line="360" w:lineRule="auto"/>
              <w:ind w:firstLine="480" w:firstLineChars="200"/>
              <w:jc w:val="left"/>
              <w:rPr>
                <w:rFonts w:hint="eastAsia" w:ascii="宋体" w:hAnsi="宋体" w:eastAsia="宋体" w:cs="宋体"/>
                <w:sz w:val="24"/>
                <w:highlight w:val="none"/>
                <w:lang w:eastAsia="zh-CN"/>
              </w:rPr>
            </w:pPr>
            <w:r>
              <w:rPr>
                <w:rFonts w:hint="eastAsia" w:ascii="宋体" w:hAnsi="宋体" w:cs="宋体"/>
                <w:sz w:val="24"/>
                <w:highlight w:val="none"/>
              </w:rPr>
              <w:t>项目不属于高能耗、高污染、资源型企业，用水来自现有井水，本次无新增用水，用电来自市政供电。建成运行后通过内部管理、设备选择、原辅材料的选用和管理、污染治理等多方面采取合理可行的防治措施，以“节能、降耗、减污”为目标，有效的控制污染。水、电等资源利用 不会突破区域的资源利用上线</w:t>
            </w:r>
            <w:r>
              <w:rPr>
                <w:rFonts w:hint="eastAsia" w:ascii="宋体" w:hAnsi="宋体" w:cs="宋体"/>
                <w:sz w:val="24"/>
                <w:highlight w:val="none"/>
                <w:lang w:eastAsia="zh-CN"/>
              </w:rPr>
              <w:t>。</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④与吉林省生态环境准入清单相符性</w:t>
            </w:r>
          </w:p>
          <w:p>
            <w:pPr>
              <w:pStyle w:val="40"/>
              <w:snapToGrid w:val="0"/>
              <w:spacing w:line="240" w:lineRule="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表1-1  全省总体准入要求</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453"/>
              <w:gridCol w:w="2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管控领域</w:t>
                  </w:r>
                </w:p>
              </w:tc>
              <w:tc>
                <w:tcPr>
                  <w:tcW w:w="3453"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环境准入及管控要求</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restart"/>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空间布局约束</w:t>
                  </w:r>
                </w:p>
              </w:tc>
              <w:tc>
                <w:tcPr>
                  <w:tcW w:w="3453"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禁止</w:t>
                  </w:r>
                  <w:r>
                    <w:rPr>
                      <w:rFonts w:hint="eastAsia" w:ascii="宋体" w:hAnsi="宋体" w:eastAsia="宋体"/>
                      <w:color w:val="auto"/>
                      <w:sz w:val="21"/>
                      <w:szCs w:val="21"/>
                      <w:highlight w:val="none"/>
                    </w:rPr>
                    <w:t>新建、扩建《产业结构调整指导目录》（现行）明确的淘汰类项目和引入《市场准入负面清单》（现行）禁止准入类事项。引入项目应符合园区规划、规划环境影响评价和区域产业准入负 面清单要求。 列入《产业结构调整指导目录》淘汰类的现状企业，应制定调整计划。生态环境治理措施不符合现行生态环境保护要求、资源能源消耗高、涉及大量排放区域超标污染物或持续发生生态环境投诉的现有企业，应制定整治计划。在调整、整治过渡期内，应严格控制相关企业生产规模，禁止新增产生环境污染的产能和产品。</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yellow"/>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s="宋体"/>
                      <w:bCs/>
                      <w:color w:val="auto"/>
                      <w:sz w:val="21"/>
                      <w:szCs w:val="21"/>
                      <w:highlight w:val="yellow"/>
                    </w:rPr>
                  </w:pPr>
                  <w:r>
                    <w:rPr>
                      <w:rFonts w:hint="eastAsia" w:ascii="宋体" w:hAnsi="宋体" w:eastAsia="宋体"/>
                      <w:color w:val="auto"/>
                      <w:sz w:val="21"/>
                      <w:szCs w:val="21"/>
                      <w:highlight w:val="none"/>
                    </w:rPr>
                    <w:t>强化产业政策在产业转移过程中的引导和约束作用，严格控制在生态脆弱或环境敏感地区建设“两高”行业项目。严格高能耗、高物耗、高水耗和产能过剩、低水平重复建设项目，以及涉及 危险化学品、重金属和其他具有重大环境风险建 设项目的环评审批和备案。老工业城市和资源型 城市在防止污染转移的基础上，应积极承接有利 于延伸产业链、提高技术水平、促进资源综合利 用、充分吸纳就业的产业，因地制宜发展优势特色产业。 严格控制钢铁、焦化、电解铝、水泥和平板玻璃 等行业新增产能，列入去产能的钢铁企业退出时须一并退出配套的烧结、球团、焦炉、高炉等设备。严控尿素、磷铵、电石、烧碱、聚氯乙烯、纯碱、黄磷等过剩行业新增产能，符合政策要求的先进工艺改造提升项目应实行等量或减量置换。</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yellow"/>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olor w:val="auto"/>
                      <w:sz w:val="21"/>
                      <w:szCs w:val="21"/>
                      <w:highlight w:val="none"/>
                    </w:rPr>
                    <w:t>重大项目原则上布局在优化开发区和重点开发区，并符合城乡规划和土地利用总体规划。化工石化、有色冶炼、制浆造纸等可能引发环境 风险的项目，以及涉及石化、化工、工业涂装等重点行业高VOCs排放的建设项目，在符合国家产业政策和清洁生产水平要求、满足污染物排放标 准以及污染物排放总量控制指标的前提下，应当在依法设立、基础设施齐全并具备有效规划、规 划环境影响评价的产业园区内布设。</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进一步优化全省化工产业布局</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提高化工行业本质安全和绿色发展水平</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引领化工园区从规范化发展到高质量发展</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促进化工产业转型升级。</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restart"/>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污染物排放管控</w:t>
                  </w:r>
                </w:p>
              </w:tc>
              <w:tc>
                <w:tcPr>
                  <w:tcW w:w="3453"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olor w:val="auto"/>
                      <w:sz w:val="21"/>
                      <w:szCs w:val="21"/>
                      <w:highlight w:val="none"/>
                    </w:rPr>
                    <w:t>落实主要污染物总量控制和排污许可制度。新建、改建、扩建重点行业建设项目实行主要污染物排放减量置换。严格涉VOCs建设项目环境影响评价</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逐步推进区域内VOCs排放等量或倍量削减替代。</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none"/>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空气质量未达标地区新建项目涉及二氧化硫、氮氧化物、颗粒物、挥发性有机物（VOCs）全面执行大气污染物特别排放限值。</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none"/>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推行秸秆全量化处置，持续推进秸秆肥料化、饲料化、能源化、基料化和原料化，逐步形成秸秆综合利用的长效机制。</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推动城镇污水处理厂扩容工程和提标改造。超负荷、满负荷运行的污水处理厂要及时实施扩容，出水排入超标水域的污水处理厂要因地制宜提高出水标准。</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新建、改建、扩建规模化畜禽养殖场（小区）要实施雨污分流和粪便污水资源化利用。</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restart"/>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环境风险防控</w:t>
                  </w: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到</w:t>
                  </w:r>
                  <w:r>
                    <w:rPr>
                      <w:rFonts w:ascii="宋体" w:hAnsi="宋体" w:eastAsia="宋体"/>
                      <w:color w:val="auto"/>
                      <w:sz w:val="21"/>
                      <w:szCs w:val="21"/>
                      <w:highlight w:val="none"/>
                    </w:rPr>
                    <w:t>2025</w:t>
                  </w:r>
                  <w:r>
                    <w:rPr>
                      <w:rFonts w:hint="eastAsia" w:ascii="宋体" w:hAnsi="宋体" w:eastAsia="宋体"/>
                      <w:color w:val="auto"/>
                      <w:sz w:val="21"/>
                      <w:szCs w:val="21"/>
                      <w:highlight w:val="none"/>
                    </w:rPr>
                    <w:t>年，城镇人口密集区现有不符合防护距离 要求的危险化学品生产企业就地改造达标、搬迁进入规范化工园区或关闭退出，企业安全和环境风险大幅降低。</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none"/>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加快完成饮用水水源保护区划界立标、隔离防护等规范化建设，拆除、关闭保护区内排污口和违法建设项目，完善风险防控与应急能力建设和相关管理措施，保证饮用水水源水质达标和水源安全。</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restart"/>
                  <w:noWrap w:val="0"/>
                  <w:vAlign w:val="center"/>
                </w:tcPr>
                <w:p>
                  <w:pPr>
                    <w:pStyle w:val="40"/>
                    <w:snapToGrid w:val="0"/>
                    <w:spacing w:line="240" w:lineRule="auto"/>
                    <w:rPr>
                      <w:rFonts w:hint="eastAsia" w:ascii="宋体" w:hAnsi="宋体" w:eastAsia="宋体" w:cs="宋体"/>
                      <w:bCs/>
                      <w:color w:val="auto"/>
                      <w:sz w:val="21"/>
                      <w:szCs w:val="21"/>
                      <w:highlight w:val="yellow"/>
                    </w:rPr>
                  </w:pPr>
                  <w:r>
                    <w:rPr>
                      <w:rFonts w:hint="eastAsia" w:ascii="宋体" w:hAnsi="宋体" w:eastAsia="宋体" w:cs="宋体"/>
                      <w:bCs/>
                      <w:color w:val="auto"/>
                      <w:sz w:val="21"/>
                      <w:szCs w:val="21"/>
                      <w:highlight w:val="none"/>
                    </w:rPr>
                    <w:t>资源利用要求</w:t>
                  </w: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推动园区串联用水，分质用水、一水多用和循环利用，提高水资源利用率，建设节水型园区。火电、钢铁、造纸、化工、粮食深加工等重点行业应推广实施节水改造和污水</w:t>
                  </w:r>
                  <w:r>
                    <w:rPr>
                      <w:rFonts w:hint="eastAsia" w:ascii="宋体" w:hAnsi="宋体" w:eastAsia="宋体"/>
                      <w:color w:val="auto"/>
                      <w:sz w:val="21"/>
                      <w:szCs w:val="21"/>
                      <w:highlight w:val="none"/>
                    </w:rPr>
                    <w:cr/>
                  </w:r>
                  <w:r>
                    <w:rPr>
                      <w:rFonts w:hint="eastAsia" w:ascii="宋体" w:hAnsi="宋体" w:eastAsia="宋体"/>
                      <w:color w:val="auto"/>
                      <w:sz w:val="21"/>
                      <w:szCs w:val="21"/>
                      <w:highlight w:val="none"/>
                    </w:rPr>
                    <w:t>度处理。鼓</w:t>
                  </w:r>
                  <w:r>
                    <w:rPr>
                      <w:rFonts w:hint="eastAsia" w:ascii="宋体" w:hAnsi="宋体" w:eastAsia="宋体"/>
                      <w:color w:val="auto"/>
                      <w:sz w:val="21"/>
                      <w:szCs w:val="21"/>
                      <w:highlight w:val="none"/>
                    </w:rPr>
                    <w:cr/>
                  </w:r>
                  <w:r>
                    <w:rPr>
                      <w:rFonts w:hint="eastAsia" w:ascii="宋体" w:hAnsi="宋体" w:eastAsia="宋体"/>
                      <w:color w:val="auto"/>
                      <w:sz w:val="21"/>
                      <w:szCs w:val="21"/>
                      <w:highlight w:val="none"/>
                    </w:rPr>
                    <w:t>钢铁、火电、纺织印染、造纸、石油石化、化工、制革 等高耗水企业废水深度处理回用。</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按照《吉林省黑土地保护条例》实施黑土地保护，加大黑土区水土流失治理力度，发展保护性耕作，促进黑土地可持续发展。</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严格控制新增耗煤项目的审批、核准、备案，对未实施煤炭消费等量或减量替代的耗煤项目一律不予审批、核准、备案。新上燃煤发电项目并网前应当完成全部煤炭替代量。</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pPr>
                    <w:pStyle w:val="40"/>
                    <w:snapToGrid w:val="0"/>
                    <w:spacing w:line="240" w:lineRule="auto"/>
                    <w:rPr>
                      <w:rFonts w:hint="eastAsia" w:ascii="宋体" w:hAnsi="宋体" w:eastAsia="宋体" w:cs="宋体"/>
                      <w:bCs/>
                      <w:color w:val="auto"/>
                      <w:sz w:val="21"/>
                      <w:szCs w:val="21"/>
                      <w:highlight w:val="yellow"/>
                    </w:rPr>
                  </w:pPr>
                </w:p>
              </w:tc>
              <w:tc>
                <w:tcPr>
                  <w:tcW w:w="3453" w:type="dxa"/>
                  <w:noWrap w:val="0"/>
                  <w:vAlign w:val="center"/>
                </w:tcPr>
                <w:p>
                  <w:pPr>
                    <w:pStyle w:val="40"/>
                    <w:snapToGrid w:val="0"/>
                    <w:spacing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各地划定的高污染燃料禁燃区内，禁止燃用、销售高污染燃料，禁止新建、改建、扩建任何燃用高污染燃料的设施。</w:t>
                  </w:r>
                </w:p>
              </w:tc>
              <w:tc>
                <w:tcPr>
                  <w:tcW w:w="2309" w:type="dxa"/>
                  <w:noWrap w:val="0"/>
                  <w:vAlign w:val="center"/>
                </w:tcPr>
                <w:p>
                  <w:pPr>
                    <w:pStyle w:val="40"/>
                    <w:snapToGrid w:val="0"/>
                    <w:spacing w:line="24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不涉及</w:t>
                  </w:r>
                </w:p>
              </w:tc>
            </w:tr>
          </w:tbl>
          <w:p>
            <w:pPr>
              <w:pStyle w:val="40"/>
              <w:snapToGrid w:val="0"/>
              <w:spacing w:line="240" w:lineRule="auto"/>
              <w:rPr>
                <w:rFonts w:hint="eastAsia" w:ascii="宋体" w:hAnsi="宋体" w:eastAsia="宋体" w:cs="宋体"/>
                <w:b/>
                <w:bCs/>
                <w:color w:val="auto"/>
                <w:sz w:val="21"/>
                <w:szCs w:val="21"/>
                <w:highlight w:val="yellow"/>
                <w:u w:val="single"/>
              </w:rPr>
            </w:pP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⑤与白山市生态环境准入清单相符性</w:t>
            </w:r>
          </w:p>
          <w:p>
            <w:pPr>
              <w:pStyle w:val="40"/>
              <w:snapToGrid w:val="0"/>
              <w:spacing w:line="240" w:lineRule="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表1-2  白山市生态环境准入清单</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443"/>
              <w:gridCol w:w="4800"/>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20"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管控</w:t>
                  </w:r>
                </w:p>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类别</w:t>
                  </w:r>
                </w:p>
              </w:tc>
              <w:tc>
                <w:tcPr>
                  <w:tcW w:w="3778" w:type="pct"/>
                  <w:gridSpan w:val="2"/>
                  <w:noWrap w:val="0"/>
                  <w:vAlign w:val="center"/>
                </w:tcPr>
                <w:p>
                  <w:pPr>
                    <w:widowControl/>
                    <w:adjustRightInd w:val="0"/>
                    <w:snapToGrid w:val="0"/>
                    <w:jc w:val="center"/>
                    <w:rPr>
                      <w:rFonts w:hint="eastAsia" w:ascii="宋体" w:hAnsi="宋体" w:cs="宋体"/>
                      <w:szCs w:val="21"/>
                      <w:highlight w:val="none"/>
                    </w:rPr>
                  </w:pPr>
                  <w:r>
                    <w:rPr>
                      <w:rFonts w:hint="eastAsia"/>
                      <w:szCs w:val="21"/>
                      <w:highlight w:val="none"/>
                    </w:rPr>
                    <w:t>环境准入及管控要求</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restar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空间布局约束</w:t>
                  </w:r>
                </w:p>
              </w:tc>
              <w:tc>
                <w:tcPr>
                  <w:tcW w:w="3778" w:type="pct"/>
                  <w:gridSpan w:val="2"/>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严格落实《中华人民共和国自然保护区条例（2017年修订）》《水产种质资源保护区管理暂行办法（2016年修正本）》《国家湿地公园管理办法》《国家级森林公园管理办法》《湿地保护管理规程》《中华人民共和国森林法》要求。</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20" w:type="pct"/>
                  <w:vMerge w:val="continue"/>
                  <w:noWrap w:val="0"/>
                  <w:vAlign w:val="center"/>
                </w:tcPr>
                <w:p>
                  <w:pPr>
                    <w:widowControl/>
                    <w:adjustRightInd w:val="0"/>
                    <w:snapToGrid w:val="0"/>
                    <w:jc w:val="center"/>
                    <w:rPr>
                      <w:rFonts w:hint="eastAsia" w:ascii="宋体" w:hAnsi="宋体" w:cs="宋体"/>
                      <w:szCs w:val="21"/>
                      <w:highlight w:val="none"/>
                    </w:rPr>
                  </w:pPr>
                </w:p>
              </w:tc>
              <w:tc>
                <w:tcPr>
                  <w:tcW w:w="3778" w:type="pct"/>
                  <w:gridSpan w:val="2"/>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禁止在自然保护区、森林公园、景区及其附近林地；江河源头和两岸林地；水库、湖泊周围等生态重要区位林地；国道、省道、县道两侧第一层山脊内林地；坡度在25度以上</w:t>
                  </w:r>
                  <w:r>
                    <w:rPr>
                      <w:rFonts w:hint="eastAsia" w:ascii="宋体" w:hAnsi="宋体" w:cs="宋体"/>
                      <w:szCs w:val="21"/>
                      <w:highlight w:val="none"/>
                    </w:rPr>
                    <w:cr/>
                  </w:r>
                  <w:r>
                    <w:rPr>
                      <w:rFonts w:hint="eastAsia" w:ascii="宋体" w:hAnsi="宋体" w:cs="宋体"/>
                      <w:szCs w:val="21"/>
                      <w:highlight w:val="none"/>
                    </w:rPr>
                    <w:t>林</w:t>
                  </w:r>
                  <w:r>
                    <w:rPr>
                      <w:rFonts w:hint="eastAsia" w:ascii="宋体" w:hAnsi="宋体" w:cs="宋体"/>
                      <w:szCs w:val="21"/>
                      <w:highlight w:val="none"/>
                    </w:rPr>
                    <w:cr/>
                  </w:r>
                  <w:r>
                    <w:rPr>
                      <w:rFonts w:hint="eastAsia" w:ascii="宋体" w:hAnsi="宋体" w:cs="宋体"/>
                      <w:szCs w:val="21"/>
                      <w:highlight w:val="none"/>
                    </w:rPr>
                    <w:t>；山脊、沟壑等林地；不符合人参种植标准和要求的其他林地的采伐迹地种植人参。</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符合，项目选址周围不涉及自然保护区、森林公园、景区，不涉及林地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320" w:type="pct"/>
                  <w:vMerge w:val="restar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污染物排放管控</w:t>
                  </w:r>
                </w:p>
              </w:tc>
              <w:tc>
                <w:tcPr>
                  <w:tcW w:w="319" w:type="pct"/>
                  <w:vMerge w:val="restar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环境质量目标</w:t>
                  </w:r>
                </w:p>
              </w:tc>
              <w:tc>
                <w:tcPr>
                  <w:tcW w:w="3459"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大气环境质量持续改善，2025年，实现空气质量优良率达到95%，PM2.5年均浓度确保控制在28微克/立方米。</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符合，</w:t>
                  </w:r>
                  <w:r>
                    <w:rPr>
                      <w:rFonts w:hint="eastAsia"/>
                      <w:szCs w:val="21"/>
                      <w:highlight w:val="none"/>
                    </w:rPr>
                    <w:t>本项目 大气污 染物可实现达标排放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20" w:type="pct"/>
                  <w:vMerge w:val="continue"/>
                  <w:noWrap w:val="0"/>
                  <w:vAlign w:val="top"/>
                </w:tcPr>
                <w:p>
                  <w:pPr>
                    <w:widowControl/>
                    <w:adjustRightInd w:val="0"/>
                    <w:snapToGrid w:val="0"/>
                    <w:rPr>
                      <w:rFonts w:hint="eastAsia" w:ascii="宋体" w:hAnsi="宋体" w:cs="宋体"/>
                      <w:szCs w:val="21"/>
                      <w:highlight w:val="none"/>
                    </w:rPr>
                  </w:pPr>
                </w:p>
              </w:tc>
              <w:tc>
                <w:tcPr>
                  <w:tcW w:w="319" w:type="pct"/>
                  <w:vMerge w:val="continue"/>
                  <w:noWrap w:val="0"/>
                  <w:vAlign w:val="center"/>
                </w:tcPr>
                <w:p>
                  <w:pPr>
                    <w:widowControl/>
                    <w:adjustRightInd w:val="0"/>
                    <w:snapToGrid w:val="0"/>
                    <w:jc w:val="center"/>
                    <w:rPr>
                      <w:rFonts w:hint="eastAsia" w:ascii="宋体" w:hAnsi="宋体" w:cs="宋体"/>
                      <w:szCs w:val="21"/>
                      <w:highlight w:val="none"/>
                    </w:rPr>
                  </w:pPr>
                </w:p>
              </w:tc>
              <w:tc>
                <w:tcPr>
                  <w:tcW w:w="3459"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水环境质量持续改善。到2025年，地表水优良比例达到95%、城市集中式饮用水水源达到或优于</w:t>
                  </w:r>
                  <w:r>
                    <w:rPr>
                      <w:rFonts w:hint="eastAsia" w:ascii="宋体" w:hAnsi="宋体" w:cs="宋体"/>
                      <w:szCs w:val="21"/>
                      <w:highlight w:val="none"/>
                    </w:rPr>
                    <w:fldChar w:fldCharType="begin"/>
                  </w:r>
                  <w:r>
                    <w:rPr>
                      <w:rFonts w:hint="eastAsia" w:ascii="宋体" w:hAnsi="宋体" w:cs="宋体"/>
                      <w:szCs w:val="21"/>
                      <w:highlight w:val="none"/>
                    </w:rPr>
                    <w:instrText xml:space="preserve"> = 3 \* ROMAN </w:instrText>
                  </w:r>
                  <w:r>
                    <w:rPr>
                      <w:rFonts w:hint="eastAsia" w:ascii="宋体" w:hAnsi="宋体" w:cs="宋体"/>
                      <w:szCs w:val="21"/>
                      <w:highlight w:val="none"/>
                    </w:rPr>
                    <w:fldChar w:fldCharType="separate"/>
                  </w:r>
                  <w:r>
                    <w:rPr>
                      <w:rFonts w:hint="eastAsia" w:ascii="宋体" w:hAnsi="宋体" w:cs="宋体"/>
                      <w:szCs w:val="21"/>
                      <w:highlight w:val="none"/>
                    </w:rPr>
                    <w:t>III</w:t>
                  </w:r>
                  <w:r>
                    <w:rPr>
                      <w:rFonts w:hint="eastAsia" w:ascii="宋体" w:hAnsi="宋体" w:cs="宋体"/>
                      <w:szCs w:val="21"/>
                      <w:highlight w:val="none"/>
                    </w:rPr>
                    <w:fldChar w:fldCharType="end"/>
                  </w:r>
                  <w:r>
                    <w:rPr>
                      <w:rFonts w:hint="eastAsia" w:ascii="宋体" w:hAnsi="宋体" w:cs="宋体"/>
                      <w:szCs w:val="21"/>
                      <w:highlight w:val="none"/>
                    </w:rPr>
                    <w:t>类比例达到100%。到2035年，白山地</w:t>
                  </w:r>
                  <w:r>
                    <w:rPr>
                      <w:rFonts w:hint="eastAsia" w:ascii="宋体" w:hAnsi="宋体" w:cs="宋体"/>
                      <w:szCs w:val="21"/>
                      <w:highlight w:val="none"/>
                    </w:rPr>
                    <w:cr/>
                  </w:r>
                  <w:r>
                    <w:rPr>
                      <w:rFonts w:hint="eastAsia" w:ascii="宋体" w:hAnsi="宋体" w:cs="宋体"/>
                      <w:szCs w:val="21"/>
                      <w:highlight w:val="none"/>
                    </w:rPr>
                    <w:t>水</w:t>
                  </w:r>
                  <w:r>
                    <w:rPr>
                      <w:rFonts w:hint="eastAsia" w:ascii="宋体" w:hAnsi="宋体" w:cs="宋体"/>
                      <w:szCs w:val="21"/>
                      <w:highlight w:val="none"/>
                    </w:rPr>
                    <w:cr/>
                  </w:r>
                  <w:r>
                    <w:rPr>
                      <w:rFonts w:hint="eastAsia" w:ascii="宋体" w:hAnsi="宋体" w:cs="宋体"/>
                      <w:szCs w:val="21"/>
                      <w:highlight w:val="none"/>
                    </w:rPr>
                    <w:t>态环境质量在</w:t>
                  </w:r>
                  <w:r>
                    <w:rPr>
                      <w:rFonts w:hint="eastAsia" w:ascii="宋体" w:hAnsi="宋体" w:cs="宋体"/>
                      <w:szCs w:val="21"/>
                      <w:highlight w:val="none"/>
                    </w:rPr>
                    <w:cr/>
                  </w:r>
                  <w:r>
                    <w:rPr>
                      <w:rFonts w:hint="eastAsia" w:ascii="宋体" w:hAnsi="宋体" w:cs="宋体"/>
                      <w:szCs w:val="21"/>
                      <w:highlight w:val="none"/>
                    </w:rPr>
                    <w:t>足水生态功能区要求外，河流</w:t>
                  </w:r>
                  <w:r>
                    <w:rPr>
                      <w:rFonts w:hint="eastAsia" w:ascii="宋体" w:hAnsi="宋体" w:cs="宋体"/>
                      <w:szCs w:val="21"/>
                      <w:highlight w:val="none"/>
                    </w:rPr>
                    <w:cr/>
                  </w:r>
                  <w:r>
                    <w:rPr>
                      <w:rFonts w:hint="eastAsia" w:ascii="宋体" w:hAnsi="宋体" w:cs="宋体"/>
                      <w:szCs w:val="21"/>
                      <w:highlight w:val="none"/>
                    </w:rPr>
                    <w:t>态水量得到根本保障，水生态系统功能全面改善。断面均达到III类或III类以上水质目标。</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20" w:type="pct"/>
                  <w:vMerge w:val="continue"/>
                  <w:noWrap w:val="0"/>
                  <w:vAlign w:val="top"/>
                </w:tcPr>
                <w:p>
                  <w:pPr>
                    <w:widowControl/>
                    <w:adjustRightInd w:val="0"/>
                    <w:snapToGrid w:val="0"/>
                    <w:rPr>
                      <w:rFonts w:hint="eastAsia" w:ascii="宋体" w:hAnsi="宋体" w:cs="宋体"/>
                      <w:szCs w:val="21"/>
                      <w:highlight w:val="none"/>
                    </w:rPr>
                  </w:pPr>
                </w:p>
              </w:tc>
              <w:tc>
                <w:tcPr>
                  <w:tcW w:w="319" w:type="pct"/>
                  <w:vMerge w:val="continue"/>
                  <w:noWrap w:val="0"/>
                  <w:vAlign w:val="center"/>
                </w:tcPr>
                <w:p>
                  <w:pPr>
                    <w:widowControl/>
                    <w:adjustRightInd w:val="0"/>
                    <w:snapToGrid w:val="0"/>
                    <w:jc w:val="center"/>
                    <w:rPr>
                      <w:rFonts w:hint="eastAsia" w:ascii="宋体" w:hAnsi="宋体" w:cs="宋体"/>
                      <w:szCs w:val="21"/>
                      <w:highlight w:val="none"/>
                    </w:rPr>
                  </w:pPr>
                </w:p>
              </w:tc>
              <w:tc>
                <w:tcPr>
                  <w:tcW w:w="3459"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到2025年，受污染耕地安全利用率达到92%以上，污染地块安全利用率达到92%以上；到2035年，受污染耕地安全利用率达到95%以上，污染地块安全利用率达到95%以上。</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20" w:type="pct"/>
                  <w:vMerge w:val="continue"/>
                  <w:noWrap w:val="0"/>
                  <w:vAlign w:val="top"/>
                </w:tcPr>
                <w:p>
                  <w:pPr>
                    <w:widowControl/>
                    <w:adjustRightInd w:val="0"/>
                    <w:snapToGrid w:val="0"/>
                    <w:rPr>
                      <w:rFonts w:hint="eastAsia" w:ascii="宋体" w:hAnsi="宋体" w:cs="宋体"/>
                      <w:szCs w:val="21"/>
                      <w:highlight w:val="none"/>
                    </w:rPr>
                  </w:pPr>
                </w:p>
              </w:tc>
              <w:tc>
                <w:tcPr>
                  <w:tcW w:w="319"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污染物</w:t>
                  </w:r>
                </w:p>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控制要求</w:t>
                  </w:r>
                </w:p>
              </w:tc>
              <w:tc>
                <w:tcPr>
                  <w:tcW w:w="3459" w:type="pct"/>
                  <w:noWrap w:val="0"/>
                  <w:vAlign w:val="center"/>
                </w:tcPr>
                <w:p>
                  <w:pPr>
                    <w:widowControl/>
                    <w:numPr>
                      <w:ilvl w:val="0"/>
                      <w:numId w:val="3"/>
                    </w:numPr>
                    <w:adjustRightInd w:val="0"/>
                    <w:snapToGrid w:val="0"/>
                    <w:rPr>
                      <w:rFonts w:hint="eastAsia" w:ascii="宋体" w:hAnsi="宋体" w:cs="宋体"/>
                      <w:szCs w:val="21"/>
                      <w:highlight w:val="none"/>
                    </w:rPr>
                  </w:pPr>
                  <w:r>
                    <w:rPr>
                      <w:rFonts w:hint="eastAsia" w:ascii="宋体" w:hAnsi="宋体" w:cs="宋体"/>
                      <w:szCs w:val="21"/>
                      <w:highlight w:val="none"/>
                    </w:rPr>
                    <w:t>加快建设生活污水收集管网，加快填补污水收集管网空白区，各县（市、区）建成区生活污水处理厂全面达到一级A排放标准。</w:t>
                  </w:r>
                </w:p>
                <w:p>
                  <w:pPr>
                    <w:widowControl/>
                    <w:numPr>
                      <w:ilvl w:val="0"/>
                      <w:numId w:val="3"/>
                    </w:numPr>
                    <w:adjustRightInd w:val="0"/>
                    <w:snapToGrid w:val="0"/>
                    <w:rPr>
                      <w:rFonts w:hint="eastAsia" w:ascii="宋体" w:hAnsi="宋体" w:cs="宋体"/>
                      <w:szCs w:val="21"/>
                      <w:highlight w:val="none"/>
                    </w:rPr>
                  </w:pPr>
                  <w:r>
                    <w:rPr>
                      <w:rFonts w:hint="eastAsia" w:ascii="宋体" w:hAnsi="宋体" w:cs="宋体"/>
                      <w:szCs w:val="21"/>
                      <w:highlight w:val="none"/>
                    </w:rPr>
                    <w:t>工业园区污水处理设施全部达标排放，完成区域内重点污染源企业的核查工作，督促其新建或改进污水处理设施，实现污水稳定达标排放。</w:t>
                  </w:r>
                </w:p>
                <w:p>
                  <w:pPr>
                    <w:widowControl/>
                    <w:numPr>
                      <w:ilvl w:val="0"/>
                      <w:numId w:val="3"/>
                    </w:numPr>
                    <w:adjustRightInd w:val="0"/>
                    <w:snapToGrid w:val="0"/>
                    <w:rPr>
                      <w:rFonts w:hint="eastAsia" w:ascii="宋体" w:hAnsi="宋体" w:cs="宋体"/>
                      <w:szCs w:val="21"/>
                      <w:highlight w:val="none"/>
                    </w:rPr>
                  </w:pPr>
                  <w:r>
                    <w:rPr>
                      <w:rFonts w:hint="eastAsia" w:ascii="宋体" w:hAnsi="宋体" w:cs="宋体"/>
                      <w:szCs w:val="21"/>
                      <w:highlight w:val="none"/>
                    </w:rPr>
                    <w:t>加强农村水污染防治，强化面源污染治理。统筹城乡环境综合整治，综合解决城乡各类垃圾污染延伸，强化城中村、老旧城区和城乡结合部的环境综合整治。持续梯次稳步推进重点流域建制镇生活污水处理设施建设，提升已建成处理设施的运行管理水平，完善生活污水收集处理设施体系，加大生活污水收集管网配套建设和改造力度，促进污水资源化利用，推进污泥无害化资源化处理处置。</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320"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污染物</w:t>
                  </w:r>
                </w:p>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排放管控</w:t>
                  </w:r>
                </w:p>
              </w:tc>
              <w:tc>
                <w:tcPr>
                  <w:tcW w:w="319"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污染物</w:t>
                  </w:r>
                </w:p>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控制要求</w:t>
                  </w:r>
                </w:p>
              </w:tc>
              <w:tc>
                <w:tcPr>
                  <w:tcW w:w="3459" w:type="pct"/>
                  <w:noWrap w:val="0"/>
                  <w:vAlign w:val="center"/>
                </w:tcPr>
                <w:p>
                  <w:pPr>
                    <w:widowControl/>
                    <w:numPr>
                      <w:ilvl w:val="0"/>
                      <w:numId w:val="4"/>
                    </w:numPr>
                    <w:adjustRightInd w:val="0"/>
                    <w:snapToGrid w:val="0"/>
                    <w:rPr>
                      <w:rFonts w:hint="eastAsia" w:ascii="宋体" w:hAnsi="宋体" w:cs="宋体"/>
                      <w:szCs w:val="21"/>
                      <w:highlight w:val="none"/>
                    </w:rPr>
                  </w:pPr>
                  <w:r>
                    <w:rPr>
                      <w:rFonts w:hint="eastAsia" w:ascii="宋体" w:hAnsi="宋体" w:cs="宋体"/>
                      <w:szCs w:val="21"/>
                      <w:highlight w:val="none"/>
                    </w:rPr>
                    <w:t>做好土壤保护基础工作，开展土壤环境质量调查，掌握全市土壤环境污染和环境风险状况。建设土壤环境监测网络，采用“互联网+”技术，在全市域范围内合理设置监测点位，建设土壤环境监测网络，建立建设用地调查评估制度。</w:t>
                  </w:r>
                </w:p>
                <w:p>
                  <w:pPr>
                    <w:widowControl/>
                    <w:numPr>
                      <w:ilvl w:val="0"/>
                      <w:numId w:val="4"/>
                    </w:numPr>
                    <w:adjustRightInd w:val="0"/>
                    <w:snapToGrid w:val="0"/>
                    <w:rPr>
                      <w:rFonts w:hint="eastAsia" w:ascii="宋体" w:hAnsi="宋体" w:cs="宋体"/>
                      <w:szCs w:val="21"/>
                      <w:highlight w:val="none"/>
                    </w:rPr>
                  </w:pPr>
                  <w:r>
                    <w:rPr>
                      <w:rFonts w:hint="eastAsia" w:ascii="宋体" w:hAnsi="宋体" w:cs="宋体"/>
                      <w:szCs w:val="21"/>
                      <w:highlight w:val="none"/>
                    </w:rPr>
                    <w:t>实施土壤分类别分用途管理。实施农用地分类别管理。</w:t>
                  </w:r>
                </w:p>
                <w:p>
                  <w:pPr>
                    <w:widowControl/>
                    <w:numPr>
                      <w:ilvl w:val="0"/>
                      <w:numId w:val="4"/>
                    </w:numPr>
                    <w:adjustRightInd w:val="0"/>
                    <w:snapToGrid w:val="0"/>
                    <w:rPr>
                      <w:rFonts w:hint="eastAsia" w:ascii="宋体" w:hAnsi="宋体" w:cs="宋体"/>
                      <w:szCs w:val="21"/>
                      <w:highlight w:val="none"/>
                    </w:rPr>
                  </w:pPr>
                  <w:r>
                    <w:rPr>
                      <w:rFonts w:hint="eastAsia" w:ascii="宋体" w:hAnsi="宋体" w:cs="宋体"/>
                      <w:szCs w:val="21"/>
                      <w:highlight w:val="none"/>
                    </w:rPr>
                    <w:t>推进农用地风险防控。严守永久基本农田控制线。对受污染农用地治理修复。</w:t>
                  </w:r>
                </w:p>
                <w:p>
                  <w:pPr>
                    <w:widowControl/>
                    <w:numPr>
                      <w:ilvl w:val="0"/>
                      <w:numId w:val="4"/>
                    </w:numPr>
                    <w:adjustRightInd w:val="0"/>
                    <w:snapToGrid w:val="0"/>
                    <w:rPr>
                      <w:rFonts w:hint="eastAsia" w:ascii="宋体" w:hAnsi="宋体" w:cs="宋体"/>
                      <w:szCs w:val="21"/>
                      <w:highlight w:val="none"/>
                    </w:rPr>
                  </w:pPr>
                  <w:r>
                    <w:rPr>
                      <w:rFonts w:hint="eastAsia" w:ascii="宋体" w:hAnsi="宋体" w:cs="宋体"/>
                      <w:szCs w:val="21"/>
                      <w:highlight w:val="none"/>
                    </w:rPr>
                    <w:t>推</w:t>
                  </w:r>
                  <w:r>
                    <w:rPr>
                      <w:rFonts w:hint="eastAsia" w:ascii="宋体" w:hAnsi="宋体" w:cs="宋体"/>
                      <w:szCs w:val="21"/>
                      <w:highlight w:val="none"/>
                    </w:rPr>
                    <w:cr/>
                  </w:r>
                  <w:r>
                    <w:rPr>
                      <w:rFonts w:hint="eastAsia" w:ascii="宋体" w:hAnsi="宋体" w:cs="宋体"/>
                      <w:szCs w:val="21"/>
                      <w:highlight w:val="none"/>
                    </w:rPr>
                    <w:t>建设用地污染场地修复。建立土壤污染源头预防和风险管控体系。开展建设用地污染地块修复工程。按照科学有序原则开发利用未利用地。</w:t>
                  </w:r>
                  <w:r>
                    <w:rPr>
                      <w:rFonts w:hint="eastAsia" w:ascii="宋体" w:hAnsi="宋体" w:cs="宋体"/>
                      <w:szCs w:val="21"/>
                      <w:highlight w:val="none"/>
                    </w:rPr>
                    <w:cr/>
                  </w:r>
                  <w:r>
                    <w:rPr>
                      <w:rFonts w:hint="eastAsia" w:ascii="宋体" w:hAnsi="宋体" w:cs="宋体"/>
                      <w:szCs w:val="21"/>
                      <w:highlight w:val="none"/>
                    </w:rPr>
                    <w:t>展土壤和地下水污染场地修复治理工程，推动建设污染场地土壤治理试点示范。加快工矿污染地块治理与修复。</w:t>
                  </w:r>
                </w:p>
              </w:tc>
              <w:tc>
                <w:tcPr>
                  <w:tcW w:w="902"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本项目不涉</w:t>
                  </w:r>
                  <w:r>
                    <w:rPr>
                      <w:rFonts w:hint="eastAsia" w:ascii="宋体" w:hAnsi="宋体" w:cs="宋体"/>
                      <w:szCs w:val="21"/>
                      <w:highlight w:val="none"/>
                    </w:rPr>
                    <w:cr/>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0"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环境风险防控</w:t>
                  </w:r>
                </w:p>
              </w:tc>
              <w:tc>
                <w:tcPr>
                  <w:tcW w:w="3778" w:type="pct"/>
                  <w:gridSpan w:val="2"/>
                  <w:noWrap w:val="0"/>
                  <w:vAlign w:val="center"/>
                </w:tcPr>
                <w:p>
                  <w:pPr>
                    <w:widowControl/>
                    <w:numPr>
                      <w:ilvl w:val="0"/>
                      <w:numId w:val="5"/>
                    </w:numPr>
                    <w:adjustRightInd w:val="0"/>
                    <w:snapToGrid w:val="0"/>
                    <w:rPr>
                      <w:rFonts w:hint="eastAsia" w:ascii="宋体" w:hAnsi="宋体" w:cs="宋体"/>
                      <w:szCs w:val="21"/>
                      <w:highlight w:val="none"/>
                    </w:rPr>
                  </w:pPr>
                  <w:r>
                    <w:rPr>
                      <w:rFonts w:hint="eastAsia" w:ascii="宋体" w:hAnsi="宋体" w:cs="宋体"/>
                      <w:szCs w:val="21"/>
                      <w:highlight w:val="none"/>
                    </w:rPr>
                    <w:t>强化危险废物风险防控。强化固体废物全过程监管，加强环境风险评估，紧盯“一废一库一品”（危险废物、尾矿库、危险化学品），加强医疗废物收集和处置等全程跟踪监管，强化污水处理厂污泥处置和管理。</w:t>
                  </w:r>
                </w:p>
                <w:p>
                  <w:pPr>
                    <w:widowControl/>
                    <w:numPr>
                      <w:ilvl w:val="0"/>
                      <w:numId w:val="5"/>
                    </w:numPr>
                    <w:adjustRightInd w:val="0"/>
                    <w:snapToGrid w:val="0"/>
                    <w:rPr>
                      <w:rFonts w:hint="eastAsia" w:ascii="宋体" w:hAnsi="宋体" w:cs="宋体"/>
                      <w:szCs w:val="21"/>
                      <w:highlight w:val="none"/>
                    </w:rPr>
                  </w:pPr>
                  <w:r>
                    <w:rPr>
                      <w:rFonts w:hint="eastAsia" w:ascii="宋体" w:hAnsi="宋体" w:cs="宋体"/>
                      <w:szCs w:val="21"/>
                      <w:highlight w:val="none"/>
                    </w:rPr>
                    <w:t>开展重点区域分级分类管理。加快实施建设用地分用途管理。严格建设用地规划，实施农用地土壤分类管控。</w:t>
                  </w:r>
                </w:p>
                <w:p>
                  <w:pPr>
                    <w:widowControl/>
                    <w:numPr>
                      <w:ilvl w:val="0"/>
                      <w:numId w:val="5"/>
                    </w:numPr>
                    <w:adjustRightInd w:val="0"/>
                    <w:snapToGrid w:val="0"/>
                    <w:rPr>
                      <w:rFonts w:hint="eastAsia" w:ascii="宋体" w:hAnsi="宋体" w:cs="宋体"/>
                      <w:szCs w:val="21"/>
                      <w:highlight w:val="none"/>
                    </w:rPr>
                  </w:pPr>
                  <w:r>
                    <w:rPr>
                      <w:rFonts w:hint="eastAsia" w:ascii="宋体" w:hAnsi="宋体" w:cs="宋体"/>
                      <w:szCs w:val="21"/>
                      <w:highlight w:val="none"/>
                    </w:rPr>
                    <w:t>防范重点领域环境风险。加强涉重行业综合防控。强化白山市金属表面处理、燃煤火力发电等行业重金属污染防治措施。推进化学品环境风险防控。开展白山市有毒有害化学品企业调查，加强重点行业危险化学品全过程环境监管。加强核与辐射环境监管。健全核与辐射应急响应体系。加强危险废物监管。推广区域性医疗废物协同与应急处置机制。推进重金属污染风险防治。加强企业生产全过程污染管控，开展涉重历史遗留问题环境风险隐患排查。</w:t>
                  </w:r>
                </w:p>
                <w:p>
                  <w:pPr>
                    <w:widowControl/>
                    <w:numPr>
                      <w:ilvl w:val="0"/>
                      <w:numId w:val="5"/>
                    </w:numPr>
                    <w:adjustRightInd w:val="0"/>
                    <w:snapToGrid w:val="0"/>
                    <w:rPr>
                      <w:rFonts w:hint="eastAsia" w:ascii="宋体" w:hAnsi="宋体" w:cs="宋体"/>
                      <w:szCs w:val="21"/>
                      <w:highlight w:val="none"/>
                    </w:rPr>
                  </w:pPr>
                  <w:r>
                    <w:rPr>
                      <w:rFonts w:hint="eastAsia" w:ascii="宋体" w:hAnsi="宋体" w:cs="宋体"/>
                      <w:szCs w:val="21"/>
                      <w:highlight w:val="none"/>
                    </w:rPr>
                    <w:t>提升环境风险预警、排查、应对水平。完善化工企业环境风险预警体系，推动存在重大环境风险的化工园区、化工企业建设“一体化”、“智能化”预警体系。</w:t>
                  </w:r>
                </w:p>
              </w:tc>
              <w:tc>
                <w:tcPr>
                  <w:tcW w:w="902" w:type="pct"/>
                  <w:noWrap w:val="0"/>
                  <w:vAlign w:val="center"/>
                </w:tcPr>
                <w:p>
                  <w:pPr>
                    <w:widowControl/>
                    <w:adjustRightInd w:val="0"/>
                    <w:snapToGrid w:val="0"/>
                    <w:jc w:val="center"/>
                    <w:rPr>
                      <w:rFonts w:hint="eastAsia" w:ascii="宋体" w:hAnsi="宋体" w:cs="宋体"/>
                      <w:b/>
                      <w:bCs/>
                      <w:szCs w:val="21"/>
                      <w:highlight w:val="none"/>
                      <w:u w:val="single"/>
                    </w:rPr>
                  </w:pPr>
                  <w:r>
                    <w:rPr>
                      <w:rFonts w:hint="eastAsia" w:ascii="宋体" w:hAnsi="宋体" w:cs="宋体"/>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20" w:type="pct"/>
                  <w:vMerge w:val="restar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资源利用要求</w:t>
                  </w:r>
                </w:p>
              </w:tc>
              <w:tc>
                <w:tcPr>
                  <w:tcW w:w="319"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水资源</w:t>
                  </w:r>
                </w:p>
              </w:tc>
              <w:tc>
                <w:tcPr>
                  <w:tcW w:w="3459"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2025年，水资源管理控制指标为4.43亿m</w:t>
                  </w:r>
                  <w:r>
                    <w:rPr>
                      <w:rFonts w:hint="eastAsia" w:ascii="宋体" w:hAnsi="宋体" w:cs="宋体"/>
                      <w:szCs w:val="21"/>
                      <w:highlight w:val="none"/>
                      <w:vertAlign w:val="superscript"/>
                    </w:rPr>
                    <w:t>3</w:t>
                  </w:r>
                  <w:r>
                    <w:rPr>
                      <w:rFonts w:hint="eastAsia" w:ascii="宋体" w:hAnsi="宋体" w:cs="宋体"/>
                      <w:szCs w:val="21"/>
                      <w:highlight w:val="none"/>
                    </w:rPr>
                    <w:t>；2035年，水资源管理控制指标为4.81亿m</w:t>
                  </w:r>
                  <w:r>
                    <w:rPr>
                      <w:rFonts w:hint="eastAsia" w:ascii="宋体" w:hAnsi="宋体" w:cs="宋体"/>
                      <w:szCs w:val="21"/>
                      <w:highlight w:val="none"/>
                      <w:vertAlign w:val="superscript"/>
                    </w:rPr>
                    <w:t>3</w:t>
                  </w:r>
                  <w:r>
                    <w:rPr>
                      <w:rFonts w:hint="eastAsia" w:ascii="宋体" w:hAnsi="宋体" w:cs="宋体"/>
                      <w:szCs w:val="21"/>
                      <w:highlight w:val="none"/>
                    </w:rPr>
                    <w:t>。</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szCs w:val="21"/>
                      <w:highlight w:val="none"/>
                    </w:rPr>
                    <w:t>符合， 本项目水资源 消耗量 较低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20" w:type="pct"/>
                  <w:vMerge w:val="continue"/>
                  <w:noWrap w:val="0"/>
                  <w:vAlign w:val="center"/>
                </w:tcPr>
                <w:p>
                  <w:pPr>
                    <w:widowControl/>
                    <w:adjustRightInd w:val="0"/>
                    <w:snapToGrid w:val="0"/>
                    <w:rPr>
                      <w:rFonts w:hint="eastAsia" w:ascii="宋体" w:hAnsi="宋体" w:cs="宋体"/>
                      <w:szCs w:val="21"/>
                      <w:highlight w:val="none"/>
                    </w:rPr>
                  </w:pPr>
                </w:p>
              </w:tc>
              <w:tc>
                <w:tcPr>
                  <w:tcW w:w="319" w:type="pct"/>
                  <w:noWrap w:val="0"/>
                  <w:vAlign w:val="center"/>
                </w:tcPr>
                <w:p>
                  <w:pPr>
                    <w:widowControl/>
                    <w:adjustRightInd w:val="0"/>
                    <w:snapToGrid w:val="0"/>
                    <w:jc w:val="center"/>
                    <w:rPr>
                      <w:rFonts w:hint="eastAsia" w:ascii="宋体" w:hAnsi="宋体" w:cs="宋体"/>
                      <w:szCs w:val="21"/>
                      <w:highlight w:val="none"/>
                    </w:rPr>
                  </w:pPr>
                  <w:r>
                    <w:rPr>
                      <w:rFonts w:hint="eastAsia" w:ascii="宋体" w:hAnsi="宋体" w:cs="宋体"/>
                      <w:szCs w:val="21"/>
                      <w:highlight w:val="none"/>
                    </w:rPr>
                    <w:t>能</w:t>
                  </w:r>
                  <w:r>
                    <w:rPr>
                      <w:rFonts w:hint="eastAsia" w:ascii="宋体" w:hAnsi="宋体" w:cs="宋体"/>
                      <w:szCs w:val="21"/>
                      <w:highlight w:val="none"/>
                    </w:rPr>
                    <w:cr/>
                  </w:r>
                  <w:r>
                    <w:rPr>
                      <w:rFonts w:hint="eastAsia" w:ascii="宋体" w:hAnsi="宋体" w:cs="宋体"/>
                      <w:szCs w:val="21"/>
                      <w:highlight w:val="none"/>
                    </w:rPr>
                    <w:t xml:space="preserve"> 源</w:t>
                  </w:r>
                </w:p>
              </w:tc>
              <w:tc>
                <w:tcPr>
                  <w:tcW w:w="3459" w:type="pct"/>
                  <w:noWrap w:val="0"/>
                  <w:vAlign w:val="center"/>
                </w:tcPr>
                <w:p>
                  <w:pPr>
                    <w:widowControl/>
                    <w:adjustRightInd w:val="0"/>
                    <w:snapToGrid w:val="0"/>
                    <w:rPr>
                      <w:rFonts w:hint="eastAsia" w:ascii="宋体" w:hAnsi="宋体" w:cs="宋体"/>
                      <w:szCs w:val="21"/>
                      <w:highlight w:val="none"/>
                    </w:rPr>
                  </w:pPr>
                  <w:r>
                    <w:rPr>
                      <w:rFonts w:hint="eastAsia" w:ascii="宋体" w:hAnsi="宋体" w:cs="宋体"/>
                      <w:szCs w:val="21"/>
                      <w:highlight w:val="none"/>
                    </w:rPr>
                    <w:t>2025年，能源消费总量以省正式下达目标为准，煤炭占一次能源消费总量比例逐年降低，非化石能源占能源消费总量比重以省正式下达目标为准。</w:t>
                  </w:r>
                </w:p>
              </w:tc>
              <w:tc>
                <w:tcPr>
                  <w:tcW w:w="902" w:type="pct"/>
                  <w:noWrap w:val="0"/>
                  <w:vAlign w:val="center"/>
                </w:tcPr>
                <w:p>
                  <w:pPr>
                    <w:widowControl/>
                    <w:adjustRightInd w:val="0"/>
                    <w:snapToGrid w:val="0"/>
                    <w:jc w:val="center"/>
                    <w:rPr>
                      <w:rFonts w:hint="eastAsia" w:ascii="宋体" w:hAnsi="宋体" w:cs="宋体"/>
                      <w:szCs w:val="21"/>
                      <w:highlight w:val="none"/>
                    </w:rPr>
                  </w:pPr>
                  <w:r>
                    <w:rPr>
                      <w:rFonts w:hint="eastAsia"/>
                      <w:szCs w:val="21"/>
                      <w:highlight w:val="none"/>
                    </w:rPr>
                    <w:t>本项目使用生物质作为燃料</w:t>
                  </w:r>
                </w:p>
              </w:tc>
            </w:tr>
          </w:tbl>
          <w:p>
            <w:pPr>
              <w:autoSpaceDE w:val="0"/>
              <w:autoSpaceDN w:val="0"/>
              <w:adjustRightInd w:val="0"/>
              <w:snapToGrid w:val="0"/>
              <w:spacing w:line="360" w:lineRule="auto"/>
              <w:ind w:firstLine="480" w:firstLineChars="200"/>
              <w:jc w:val="left"/>
              <w:rPr>
                <w:rFonts w:hint="eastAsia" w:ascii="宋体" w:hAnsi="宋体" w:eastAsia="宋体" w:cs="宋体"/>
                <w:sz w:val="24"/>
                <w:highlight w:val="none"/>
                <w:u w:val="none"/>
              </w:rPr>
            </w:pPr>
            <w:r>
              <w:rPr>
                <w:rFonts w:hint="eastAsia" w:ascii="宋体" w:hAnsi="宋体" w:cs="宋体"/>
                <w:sz w:val="24"/>
                <w:highlight w:val="none"/>
                <w:u w:val="none"/>
              </w:rPr>
              <w:t>本项目位</w:t>
            </w:r>
            <w:r>
              <w:rPr>
                <w:rFonts w:hint="eastAsia" w:ascii="宋体" w:hAnsi="宋体" w:eastAsia="宋体" w:cs="宋体"/>
                <w:sz w:val="24"/>
                <w:highlight w:val="none"/>
                <w:u w:val="none"/>
              </w:rPr>
              <w:t>于</w:t>
            </w:r>
            <w:r>
              <w:rPr>
                <w:rFonts w:hint="eastAsia" w:ascii="宋体" w:hAnsi="宋体" w:eastAsia="宋体" w:cs="宋体"/>
                <w:sz w:val="24"/>
                <w:highlight w:val="none"/>
                <w:u w:val="none"/>
                <w:lang w:val="en-US" w:eastAsia="zh-CN"/>
              </w:rPr>
              <w:t>吉林省白山市江源区大华村四社</w:t>
            </w:r>
            <w:r>
              <w:rPr>
                <w:rFonts w:hint="eastAsia" w:ascii="宋体" w:hAnsi="宋体" w:cs="宋体"/>
                <w:sz w:val="24"/>
                <w:highlight w:val="none"/>
                <w:u w:val="none"/>
              </w:rPr>
              <w:t>，位于白山市环境管控单元中优先保护单元（具体位置关系详见附</w:t>
            </w:r>
            <w:r>
              <w:rPr>
                <w:rFonts w:hint="eastAsia" w:ascii="宋体" w:hAnsi="宋体" w:eastAsia="宋体" w:cs="宋体"/>
                <w:sz w:val="24"/>
                <w:highlight w:val="none"/>
                <w:u w:val="none"/>
              </w:rPr>
              <w:t>图4），白山市优先管控单元管控要求如下表：</w:t>
            </w:r>
          </w:p>
          <w:p>
            <w:pPr>
              <w:autoSpaceDE w:val="0"/>
              <w:autoSpaceDN w:val="0"/>
              <w:adjustRightInd w:val="0"/>
              <w:snapToGrid w:val="0"/>
              <w:spacing w:line="360" w:lineRule="auto"/>
              <w:ind w:firstLine="422" w:firstLineChars="200"/>
              <w:jc w:val="center"/>
              <w:rPr>
                <w:b/>
                <w:bCs/>
                <w:szCs w:val="21"/>
                <w:highlight w:val="none"/>
                <w:u w:val="single"/>
              </w:rPr>
            </w:pPr>
          </w:p>
          <w:p>
            <w:pPr>
              <w:autoSpaceDE w:val="0"/>
              <w:autoSpaceDN w:val="0"/>
              <w:adjustRightInd w:val="0"/>
              <w:snapToGrid w:val="0"/>
              <w:spacing w:line="360" w:lineRule="auto"/>
              <w:ind w:firstLine="422" w:firstLineChars="200"/>
              <w:jc w:val="center"/>
              <w:rPr>
                <w:rFonts w:hint="eastAsia"/>
                <w:b/>
                <w:bCs/>
                <w:szCs w:val="21"/>
                <w:highlight w:val="none"/>
                <w:u w:val="single"/>
              </w:rPr>
            </w:pPr>
            <w:r>
              <w:rPr>
                <w:b/>
                <w:bCs/>
                <w:szCs w:val="21"/>
                <w:highlight w:val="none"/>
                <w:u w:val="single"/>
              </w:rPr>
              <w:t>表</w:t>
            </w:r>
            <w:r>
              <w:rPr>
                <w:rFonts w:hint="eastAsia"/>
                <w:b/>
                <w:bCs/>
                <w:szCs w:val="21"/>
                <w:highlight w:val="none"/>
                <w:u w:val="single"/>
              </w:rPr>
              <w:t>1-</w:t>
            </w:r>
            <w:r>
              <w:rPr>
                <w:rFonts w:hint="eastAsia"/>
                <w:b/>
                <w:bCs/>
                <w:szCs w:val="21"/>
                <w:highlight w:val="none"/>
                <w:u w:val="single"/>
                <w:lang w:val="en-US" w:eastAsia="zh-CN"/>
              </w:rPr>
              <w:t>3</w:t>
            </w:r>
            <w:r>
              <w:rPr>
                <w:b/>
                <w:bCs/>
                <w:szCs w:val="21"/>
                <w:highlight w:val="none"/>
                <w:u w:val="single"/>
              </w:rPr>
              <w:t xml:space="preserve">  </w:t>
            </w:r>
            <w:r>
              <w:rPr>
                <w:rFonts w:hint="eastAsia"/>
                <w:b/>
                <w:bCs/>
                <w:szCs w:val="21"/>
                <w:highlight w:val="none"/>
                <w:u w:val="single"/>
              </w:rPr>
              <w:t>本项目所在位置优先管控单元管控要求一览表</w:t>
            </w:r>
          </w:p>
          <w:tbl>
            <w:tblPr>
              <w:tblStyle w:val="23"/>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75"/>
              <w:gridCol w:w="563"/>
              <w:gridCol w:w="887"/>
              <w:gridCol w:w="2188"/>
              <w:gridCol w:w="15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环境管控单元编码</w:t>
                  </w:r>
                </w:p>
              </w:tc>
              <w:tc>
                <w:tcPr>
                  <w:tcW w:w="775"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环境管控单元名称</w:t>
                  </w:r>
                </w:p>
              </w:tc>
              <w:tc>
                <w:tcPr>
                  <w:tcW w:w="563"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管控单元分类</w:t>
                  </w:r>
                </w:p>
              </w:tc>
              <w:tc>
                <w:tcPr>
                  <w:tcW w:w="887"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管控类型</w:t>
                  </w:r>
                </w:p>
              </w:tc>
              <w:tc>
                <w:tcPr>
                  <w:tcW w:w="2188"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管控要求</w:t>
                  </w:r>
                </w:p>
              </w:tc>
              <w:tc>
                <w:tcPr>
                  <w:tcW w:w="1572" w:type="dxa"/>
                  <w:noWrap w:val="0"/>
                  <w:vAlign w:val="center"/>
                </w:tcPr>
                <w:p>
                  <w:pPr>
                    <w:widowControl/>
                    <w:adjustRightInd w:val="0"/>
                    <w:snapToGrid w:val="0"/>
                    <w:jc w:val="center"/>
                    <w:rPr>
                      <w:rFonts w:hint="default" w:eastAsia="宋体"/>
                      <w:sz w:val="15"/>
                      <w:szCs w:val="15"/>
                      <w:highlight w:val="none"/>
                      <w:u w:val="single"/>
                      <w:lang w:val="en-US" w:eastAsia="zh-CN"/>
                    </w:rPr>
                  </w:pPr>
                  <w:r>
                    <w:rPr>
                      <w:rFonts w:hint="eastAsia"/>
                      <w:sz w:val="15"/>
                      <w:szCs w:val="15"/>
                      <w:highlight w:val="none"/>
                      <w:u w:val="single"/>
                      <w:lang w:val="en-US" w:eastAsia="zh-CN"/>
                    </w:rPr>
                    <w:t>是否满足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81" w:type="dxa"/>
                  <w:vMerge w:val="restart"/>
                  <w:noWrap w:val="0"/>
                  <w:vAlign w:val="center"/>
                </w:tcPr>
                <w:p>
                  <w:pPr>
                    <w:widowControl/>
                    <w:adjustRightInd w:val="0"/>
                    <w:snapToGrid w:val="0"/>
                    <w:jc w:val="center"/>
                    <w:rPr>
                      <w:rFonts w:hint="default" w:eastAsia="宋体"/>
                      <w:sz w:val="15"/>
                      <w:szCs w:val="15"/>
                      <w:highlight w:val="none"/>
                      <w:u w:val="single"/>
                      <w:lang w:val="en-US" w:eastAsia="zh-CN"/>
                    </w:rPr>
                  </w:pPr>
                  <w:r>
                    <w:rPr>
                      <w:rFonts w:hint="eastAsia"/>
                      <w:sz w:val="15"/>
                      <w:szCs w:val="15"/>
                      <w:highlight w:val="none"/>
                      <w:u w:val="single"/>
                      <w:lang w:val="en-US" w:eastAsia="zh-CN"/>
                    </w:rPr>
                    <w:t>ZH22060510009</w:t>
                  </w:r>
                </w:p>
              </w:tc>
              <w:tc>
                <w:tcPr>
                  <w:tcW w:w="775" w:type="dxa"/>
                  <w:vMerge w:val="restart"/>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lang w:val="en-US" w:eastAsia="zh-CN"/>
                    </w:rPr>
                    <w:t>江源</w:t>
                  </w:r>
                  <w:r>
                    <w:rPr>
                      <w:rFonts w:hint="eastAsia"/>
                      <w:sz w:val="15"/>
                      <w:szCs w:val="15"/>
                      <w:highlight w:val="none"/>
                      <w:u w:val="single"/>
                    </w:rPr>
                    <w:t>区生物多样性重要区</w:t>
                  </w:r>
                </w:p>
              </w:tc>
              <w:tc>
                <w:tcPr>
                  <w:tcW w:w="563" w:type="dxa"/>
                  <w:vMerge w:val="restart"/>
                  <w:noWrap w:val="0"/>
                  <w:vAlign w:val="center"/>
                </w:tcPr>
                <w:p>
                  <w:pPr>
                    <w:widowControl/>
                    <w:adjustRightInd w:val="0"/>
                    <w:snapToGrid w:val="0"/>
                    <w:jc w:val="center"/>
                    <w:rPr>
                      <w:sz w:val="15"/>
                      <w:szCs w:val="15"/>
                      <w:highlight w:val="none"/>
                      <w:u w:val="single"/>
                    </w:rPr>
                  </w:pPr>
                  <w:r>
                    <w:rPr>
                      <w:rFonts w:hint="eastAsia"/>
                      <w:sz w:val="15"/>
                      <w:szCs w:val="15"/>
                      <w:highlight w:val="none"/>
                      <w:u w:val="single"/>
                    </w:rPr>
                    <w:t>1-优先保护</w:t>
                  </w:r>
                </w:p>
              </w:tc>
              <w:tc>
                <w:tcPr>
                  <w:tcW w:w="887" w:type="dxa"/>
                  <w:vMerge w:val="restart"/>
                  <w:noWrap w:val="0"/>
                  <w:vAlign w:val="center"/>
                </w:tcPr>
                <w:p>
                  <w:pPr>
                    <w:widowControl/>
                    <w:adjustRightInd w:val="0"/>
                    <w:snapToGrid w:val="0"/>
                    <w:jc w:val="center"/>
                    <w:rPr>
                      <w:sz w:val="15"/>
                      <w:szCs w:val="15"/>
                      <w:highlight w:val="none"/>
                      <w:u w:val="single"/>
                    </w:rPr>
                  </w:pPr>
                  <w:r>
                    <w:rPr>
                      <w:rFonts w:hint="eastAsia"/>
                      <w:sz w:val="15"/>
                      <w:szCs w:val="15"/>
                      <w:highlight w:val="none"/>
                      <w:u w:val="single"/>
                    </w:rPr>
                    <w:t>空间布局约束</w:t>
                  </w:r>
                </w:p>
              </w:tc>
              <w:tc>
                <w:tcPr>
                  <w:tcW w:w="2188" w:type="dxa"/>
                  <w:noWrap w:val="0"/>
                  <w:vAlign w:val="center"/>
                </w:tcPr>
                <w:p>
                  <w:pPr>
                    <w:widowControl/>
                    <w:adjustRightInd w:val="0"/>
                    <w:snapToGrid w:val="0"/>
                    <w:jc w:val="center"/>
                    <w:rPr>
                      <w:rFonts w:hint="eastAsia"/>
                      <w:sz w:val="15"/>
                      <w:szCs w:val="15"/>
                      <w:highlight w:val="none"/>
                      <w:u w:val="single"/>
                    </w:rPr>
                  </w:pPr>
                  <w:r>
                    <w:rPr>
                      <w:rFonts w:hint="eastAsia"/>
                      <w:sz w:val="15"/>
                      <w:szCs w:val="15"/>
                      <w:highlight w:val="none"/>
                      <w:u w:val="single"/>
                    </w:rPr>
                    <w:t>1、原则上按限制开发区域的要求进行管理，避免开发建设活动损害生态服务功能和生态产品质量。</w:t>
                  </w:r>
                </w:p>
                <w:p>
                  <w:pPr>
                    <w:pStyle w:val="22"/>
                    <w:ind w:left="0" w:leftChars="0" w:firstLine="0"/>
                    <w:rPr>
                      <w:highlight w:val="none"/>
                      <w:u w:val="single"/>
                    </w:rPr>
                  </w:pPr>
                </w:p>
              </w:tc>
              <w:tc>
                <w:tcPr>
                  <w:tcW w:w="1572" w:type="dxa"/>
                  <w:noWrap w:val="0"/>
                  <w:vAlign w:val="center"/>
                </w:tcPr>
                <w:p>
                  <w:pPr>
                    <w:pStyle w:val="40"/>
                    <w:rPr>
                      <w:rFonts w:hint="default" w:ascii="Times New Roman" w:eastAsia="宋体" w:cs="Times New Roman"/>
                      <w:color w:val="auto"/>
                      <w:sz w:val="15"/>
                      <w:szCs w:val="15"/>
                      <w:highlight w:val="none"/>
                      <w:u w:val="single"/>
                      <w:lang w:val="en-US" w:eastAsia="zh-CN"/>
                    </w:rPr>
                  </w:pPr>
                  <w:r>
                    <w:rPr>
                      <w:rFonts w:hint="eastAsia" w:ascii="Times New Roman" w:eastAsia="宋体" w:cs="Times New Roman"/>
                      <w:color w:val="auto"/>
                      <w:sz w:val="15"/>
                      <w:szCs w:val="15"/>
                      <w:highlight w:val="none"/>
                      <w:u w:val="single"/>
                      <w:lang w:val="en-US" w:eastAsia="zh-CN"/>
                    </w:rPr>
                    <w:t>满足管控要求。</w:t>
                  </w:r>
                </w:p>
                <w:p>
                  <w:pPr>
                    <w:pStyle w:val="40"/>
                    <w:rPr>
                      <w:rFonts w:hint="default" w:ascii="Times New Roman" w:eastAsia="宋体" w:cs="Times New Roman"/>
                      <w:color w:val="auto"/>
                      <w:sz w:val="15"/>
                      <w:szCs w:val="15"/>
                      <w:highlight w:val="none"/>
                      <w:u w:val="single"/>
                      <w:lang w:val="en-US" w:eastAsia="zh-CN"/>
                    </w:rPr>
                  </w:pPr>
                  <w:r>
                    <w:rPr>
                      <w:rFonts w:hint="eastAsia" w:ascii="Times New Roman" w:hAnsi="Times New Roman" w:eastAsia="宋体" w:cs="Times New Roman"/>
                      <w:color w:val="auto"/>
                      <w:kern w:val="2"/>
                      <w:sz w:val="15"/>
                      <w:szCs w:val="15"/>
                      <w:highlight w:val="none"/>
                      <w:u w:val="single"/>
                      <w:lang w:val="en-US" w:eastAsia="zh-CN" w:bidi="ar-SA"/>
                    </w:rPr>
                    <w:t>本项目为锅炉新建项目，位于现有征地范围内，项目建设不会损害生态服务功能和生态产品质量。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81"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775"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563" w:type="dxa"/>
                  <w:vMerge w:val="continue"/>
                  <w:noWrap w:val="0"/>
                  <w:vAlign w:val="center"/>
                </w:tcPr>
                <w:p>
                  <w:pPr>
                    <w:widowControl/>
                    <w:adjustRightInd w:val="0"/>
                    <w:snapToGrid w:val="0"/>
                    <w:jc w:val="center"/>
                    <w:rPr>
                      <w:rFonts w:hint="eastAsia"/>
                      <w:sz w:val="15"/>
                      <w:szCs w:val="15"/>
                      <w:highlight w:val="none"/>
                      <w:u w:val="single"/>
                    </w:rPr>
                  </w:pPr>
                </w:p>
              </w:tc>
              <w:tc>
                <w:tcPr>
                  <w:tcW w:w="887" w:type="dxa"/>
                  <w:vMerge w:val="continue"/>
                  <w:noWrap w:val="0"/>
                  <w:vAlign w:val="center"/>
                </w:tcPr>
                <w:p>
                  <w:pPr>
                    <w:widowControl/>
                    <w:adjustRightInd w:val="0"/>
                    <w:snapToGrid w:val="0"/>
                    <w:jc w:val="center"/>
                    <w:rPr>
                      <w:rFonts w:hint="eastAsia"/>
                      <w:sz w:val="15"/>
                      <w:szCs w:val="15"/>
                      <w:highlight w:val="none"/>
                      <w:u w:val="single"/>
                    </w:rPr>
                  </w:pPr>
                </w:p>
              </w:tc>
              <w:tc>
                <w:tcPr>
                  <w:tcW w:w="2188" w:type="dxa"/>
                  <w:noWrap w:val="0"/>
                  <w:vAlign w:val="center"/>
                </w:tcPr>
                <w:p>
                  <w:pPr>
                    <w:pStyle w:val="22"/>
                    <w:ind w:left="0" w:leftChars="0" w:firstLine="0"/>
                    <w:rPr>
                      <w:rFonts w:hint="eastAsia" w:ascii="Times New Roman" w:hAnsi="Times New Roman"/>
                      <w:vanish w:val="0"/>
                      <w:kern w:val="2"/>
                      <w:sz w:val="15"/>
                      <w:szCs w:val="15"/>
                      <w:highlight w:val="none"/>
                      <w:u w:val="single"/>
                    </w:rPr>
                  </w:pPr>
                  <w:r>
                    <w:rPr>
                      <w:rFonts w:hint="eastAsia" w:ascii="Times New Roman" w:hAnsi="Times New Roman"/>
                      <w:vanish w:val="0"/>
                      <w:kern w:val="2"/>
                      <w:sz w:val="15"/>
                      <w:szCs w:val="15"/>
                      <w:highlight w:val="none"/>
                      <w:u w:val="single"/>
                    </w:rPr>
                    <w:t>2、禁止生物多样性维护生态功能区的大规模水电开发和林纸一体化产业发展，禁止各种损害七夕地的经济社会活动和生产方式，如无序采矿、毁林开荒、湿地和草地开垦等。</w:t>
                  </w:r>
                </w:p>
              </w:tc>
              <w:tc>
                <w:tcPr>
                  <w:tcW w:w="1572" w:type="dxa"/>
                  <w:noWrap w:val="0"/>
                  <w:vAlign w:val="center"/>
                </w:tcPr>
                <w:p>
                  <w:pPr>
                    <w:pStyle w:val="40"/>
                    <w:rPr>
                      <w:rFonts w:hint="eastAsia" w:ascii="Times New Roman" w:eastAsia="宋体" w:cs="Times New Roman"/>
                      <w:color w:val="auto"/>
                      <w:sz w:val="15"/>
                      <w:szCs w:val="15"/>
                      <w:highlight w:val="none"/>
                      <w:u w:val="single"/>
                      <w:lang w:val="en-US" w:eastAsia="zh-CN"/>
                    </w:rPr>
                  </w:pPr>
                  <w:r>
                    <w:rPr>
                      <w:rFonts w:hint="eastAsia" w:ascii="Times New Roman" w:eastAsia="宋体" w:cs="Times New Roman"/>
                      <w:color w:val="auto"/>
                      <w:sz w:val="15"/>
                      <w:szCs w:val="15"/>
                      <w:highlight w:val="none"/>
                      <w:u w:val="single"/>
                      <w:lang w:val="en-US" w:eastAsia="zh-CN"/>
                    </w:rPr>
                    <w:t>满足管控要求。</w:t>
                  </w:r>
                </w:p>
                <w:p>
                  <w:pPr>
                    <w:pStyle w:val="40"/>
                    <w:rPr>
                      <w:rFonts w:hint="eastAsia" w:ascii="Times New Roman" w:eastAsia="宋体" w:cs="Times New Roman"/>
                      <w:color w:val="auto"/>
                      <w:sz w:val="15"/>
                      <w:szCs w:val="15"/>
                      <w:highlight w:val="none"/>
                      <w:u w:val="single"/>
                      <w:lang w:val="en-US" w:eastAsia="zh-CN"/>
                    </w:rPr>
                  </w:pPr>
                  <w:r>
                    <w:rPr>
                      <w:rFonts w:hint="eastAsia" w:ascii="Times New Roman" w:hAnsi="Times New Roman" w:eastAsia="宋体" w:cs="Times New Roman"/>
                      <w:vanish w:val="0"/>
                      <w:color w:val="auto"/>
                      <w:kern w:val="2"/>
                      <w:sz w:val="15"/>
                      <w:szCs w:val="15"/>
                      <w:highlight w:val="none"/>
                      <w:u w:val="single"/>
                      <w:lang w:val="en-US" w:eastAsia="zh-CN" w:bidi="ar-SA"/>
                    </w:rPr>
                    <w:t>本项目为生物质锅炉建设项目，不属于大规模高强度的工业和开发建设，不属于大规模水电开发和林纸一体化产业，不属于损害栖息地的经济社会活动和生产方式。项目区不涉及生态保护红线。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81"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775"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563" w:type="dxa"/>
                  <w:vMerge w:val="continue"/>
                  <w:noWrap w:val="0"/>
                  <w:vAlign w:val="center"/>
                </w:tcPr>
                <w:p>
                  <w:pPr>
                    <w:widowControl/>
                    <w:adjustRightInd w:val="0"/>
                    <w:snapToGrid w:val="0"/>
                    <w:jc w:val="center"/>
                    <w:rPr>
                      <w:rFonts w:hint="eastAsia"/>
                      <w:sz w:val="15"/>
                      <w:szCs w:val="15"/>
                      <w:highlight w:val="none"/>
                      <w:u w:val="single"/>
                    </w:rPr>
                  </w:pPr>
                </w:p>
              </w:tc>
              <w:tc>
                <w:tcPr>
                  <w:tcW w:w="887" w:type="dxa"/>
                  <w:vMerge w:val="continue"/>
                  <w:noWrap w:val="0"/>
                  <w:vAlign w:val="center"/>
                </w:tcPr>
                <w:p>
                  <w:pPr>
                    <w:widowControl/>
                    <w:adjustRightInd w:val="0"/>
                    <w:snapToGrid w:val="0"/>
                    <w:jc w:val="center"/>
                    <w:rPr>
                      <w:rFonts w:hint="eastAsia"/>
                      <w:sz w:val="15"/>
                      <w:szCs w:val="15"/>
                      <w:highlight w:val="none"/>
                      <w:u w:val="single"/>
                    </w:rPr>
                  </w:pPr>
                </w:p>
              </w:tc>
              <w:tc>
                <w:tcPr>
                  <w:tcW w:w="2188" w:type="dxa"/>
                  <w:noWrap w:val="0"/>
                  <w:vAlign w:val="center"/>
                </w:tcPr>
                <w:p>
                  <w:pPr>
                    <w:pStyle w:val="22"/>
                    <w:ind w:left="0" w:leftChars="0" w:firstLine="0"/>
                    <w:rPr>
                      <w:rFonts w:hint="eastAsia" w:ascii="Times New Roman" w:hAnsi="Times New Roman"/>
                      <w:vanish w:val="0"/>
                      <w:kern w:val="2"/>
                      <w:sz w:val="15"/>
                      <w:szCs w:val="15"/>
                      <w:highlight w:val="none"/>
                      <w:u w:val="single"/>
                    </w:rPr>
                  </w:pPr>
                  <w:r>
                    <w:rPr>
                      <w:rFonts w:hint="eastAsia" w:ascii="Times New Roman" w:hAnsi="Times New Roman"/>
                      <w:vanish w:val="0"/>
                      <w:kern w:val="2"/>
                      <w:sz w:val="15"/>
                      <w:szCs w:val="15"/>
                      <w:highlight w:val="none"/>
                      <w:u w:val="single"/>
                    </w:rPr>
                    <w:t>3、原则上不再新建各类产业园区，严谨随意扩大现有产业园区范围。</w:t>
                  </w:r>
                </w:p>
              </w:tc>
              <w:tc>
                <w:tcPr>
                  <w:tcW w:w="1572" w:type="dxa"/>
                  <w:noWrap w:val="0"/>
                  <w:vAlign w:val="center"/>
                </w:tcPr>
                <w:p>
                  <w:pPr>
                    <w:pStyle w:val="40"/>
                    <w:rPr>
                      <w:rFonts w:hint="eastAsia" w:ascii="Times New Roman" w:eastAsia="宋体" w:cs="Times New Roman"/>
                      <w:color w:val="auto"/>
                      <w:sz w:val="15"/>
                      <w:szCs w:val="15"/>
                      <w:highlight w:val="none"/>
                      <w:u w:val="single"/>
                    </w:rPr>
                  </w:pPr>
                  <w:r>
                    <w:rPr>
                      <w:rFonts w:hint="eastAsia" w:ascii="Times New Roman" w:eastAsia="宋体" w:cs="Times New Roman"/>
                      <w:color w:val="auto"/>
                      <w:sz w:val="15"/>
                      <w:szCs w:val="15"/>
                      <w:highlight w:val="none"/>
                      <w:u w:val="single"/>
                      <w:lang w:val="en-US" w:eastAsia="zh-CN"/>
                    </w:rPr>
                    <w:t>满足管控要求。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81"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775" w:type="dxa"/>
                  <w:vMerge w:val="continue"/>
                  <w:noWrap w:val="0"/>
                  <w:vAlign w:val="center"/>
                </w:tcPr>
                <w:p>
                  <w:pPr>
                    <w:widowControl/>
                    <w:adjustRightInd w:val="0"/>
                    <w:snapToGrid w:val="0"/>
                    <w:jc w:val="center"/>
                    <w:rPr>
                      <w:rFonts w:hint="eastAsia"/>
                      <w:sz w:val="15"/>
                      <w:szCs w:val="15"/>
                      <w:highlight w:val="none"/>
                      <w:u w:val="single"/>
                      <w:lang w:val="en-US" w:eastAsia="zh-CN"/>
                    </w:rPr>
                  </w:pPr>
                </w:p>
              </w:tc>
              <w:tc>
                <w:tcPr>
                  <w:tcW w:w="563" w:type="dxa"/>
                  <w:vMerge w:val="continue"/>
                  <w:noWrap w:val="0"/>
                  <w:vAlign w:val="center"/>
                </w:tcPr>
                <w:p>
                  <w:pPr>
                    <w:widowControl/>
                    <w:adjustRightInd w:val="0"/>
                    <w:snapToGrid w:val="0"/>
                    <w:jc w:val="center"/>
                    <w:rPr>
                      <w:rFonts w:hint="eastAsia"/>
                      <w:sz w:val="15"/>
                      <w:szCs w:val="15"/>
                      <w:highlight w:val="none"/>
                      <w:u w:val="single"/>
                    </w:rPr>
                  </w:pPr>
                </w:p>
              </w:tc>
              <w:tc>
                <w:tcPr>
                  <w:tcW w:w="887" w:type="dxa"/>
                  <w:vMerge w:val="continue"/>
                  <w:noWrap w:val="0"/>
                  <w:vAlign w:val="center"/>
                </w:tcPr>
                <w:p>
                  <w:pPr>
                    <w:widowControl/>
                    <w:adjustRightInd w:val="0"/>
                    <w:snapToGrid w:val="0"/>
                    <w:jc w:val="center"/>
                    <w:rPr>
                      <w:rFonts w:hint="eastAsia"/>
                      <w:sz w:val="15"/>
                      <w:szCs w:val="15"/>
                      <w:highlight w:val="none"/>
                      <w:u w:val="single"/>
                    </w:rPr>
                  </w:pPr>
                </w:p>
              </w:tc>
              <w:tc>
                <w:tcPr>
                  <w:tcW w:w="2188" w:type="dxa"/>
                  <w:noWrap w:val="0"/>
                  <w:vAlign w:val="center"/>
                </w:tcPr>
                <w:p>
                  <w:pPr>
                    <w:pStyle w:val="22"/>
                    <w:ind w:left="0" w:leftChars="0" w:firstLine="0"/>
                    <w:rPr>
                      <w:rFonts w:hint="eastAsia" w:ascii="Times New Roman" w:hAnsi="Times New Roman"/>
                      <w:vanish w:val="0"/>
                      <w:kern w:val="2"/>
                      <w:sz w:val="15"/>
                      <w:szCs w:val="15"/>
                      <w:highlight w:val="none"/>
                      <w:u w:val="single"/>
                    </w:rPr>
                  </w:pPr>
                  <w:r>
                    <w:rPr>
                      <w:rFonts w:hint="eastAsia" w:ascii="Times New Roman" w:hAnsi="Times New Roman"/>
                      <w:vanish w:val="0"/>
                      <w:kern w:val="2"/>
                      <w:sz w:val="15"/>
                      <w:szCs w:val="15"/>
                      <w:highlight w:val="none"/>
                      <w:u w:val="single"/>
                    </w:rPr>
                    <w:t>4、区内现有不符合布局要求的，限期退出或关停。对已造成的污染或损害，应限期治理。</w:t>
                  </w:r>
                </w:p>
              </w:tc>
              <w:tc>
                <w:tcPr>
                  <w:tcW w:w="1572" w:type="dxa"/>
                  <w:noWrap w:val="0"/>
                  <w:vAlign w:val="center"/>
                </w:tcPr>
                <w:p>
                  <w:pPr>
                    <w:pStyle w:val="40"/>
                    <w:rPr>
                      <w:rFonts w:hint="eastAsia" w:ascii="Times New Roman" w:eastAsia="宋体" w:cs="Times New Roman"/>
                      <w:color w:val="auto"/>
                      <w:sz w:val="15"/>
                      <w:szCs w:val="15"/>
                      <w:highlight w:val="none"/>
                      <w:u w:val="single"/>
                    </w:rPr>
                  </w:pPr>
                  <w:r>
                    <w:rPr>
                      <w:rFonts w:hint="eastAsia" w:ascii="Times New Roman" w:eastAsia="宋体" w:cs="Times New Roman"/>
                      <w:color w:val="auto"/>
                      <w:sz w:val="15"/>
                      <w:szCs w:val="15"/>
                      <w:highlight w:val="none"/>
                      <w:u w:val="single"/>
                      <w:lang w:val="en-US" w:eastAsia="zh-CN"/>
                    </w:rPr>
                    <w:t>满足管控要求。</w:t>
                  </w:r>
                </w:p>
              </w:tc>
            </w:tr>
          </w:tbl>
          <w:p>
            <w:pPr>
              <w:autoSpaceDE w:val="0"/>
              <w:autoSpaceDN w:val="0"/>
              <w:adjustRightInd w:val="0"/>
              <w:snapToGrid w:val="0"/>
              <w:spacing w:line="360" w:lineRule="auto"/>
              <w:ind w:firstLine="480" w:firstLineChars="200"/>
              <w:jc w:val="left"/>
              <w:rPr>
                <w:rFonts w:hint="eastAsia" w:ascii="宋体" w:hAnsi="宋体" w:cs="宋体"/>
                <w:sz w:val="24"/>
                <w:highlight w:val="none"/>
                <w:u w:val="single"/>
              </w:rPr>
            </w:pPr>
          </w:p>
          <w:p>
            <w:pPr>
              <w:autoSpaceDE w:val="0"/>
              <w:autoSpaceDN w:val="0"/>
              <w:adjustRightInd w:val="0"/>
              <w:snapToGrid w:val="0"/>
              <w:spacing w:line="360" w:lineRule="auto"/>
              <w:ind w:firstLine="480" w:firstLineChars="200"/>
              <w:jc w:val="left"/>
              <w:rPr>
                <w:rFonts w:hint="eastAsia" w:ascii="宋体" w:hAnsi="宋体" w:cs="宋体"/>
                <w:sz w:val="24"/>
                <w:highlight w:val="none"/>
                <w:u w:val="none"/>
              </w:rPr>
            </w:pPr>
            <w:r>
              <w:rPr>
                <w:rFonts w:hint="eastAsia" w:ascii="宋体" w:hAnsi="宋体" w:cs="宋体"/>
                <w:sz w:val="24"/>
                <w:highlight w:val="none"/>
                <w:u w:val="none"/>
              </w:rPr>
              <w:t>本项目为生物质锅炉</w:t>
            </w:r>
            <w:r>
              <w:rPr>
                <w:rFonts w:hint="eastAsia" w:ascii="宋体" w:hAnsi="宋体" w:cs="宋体"/>
                <w:sz w:val="24"/>
                <w:highlight w:val="none"/>
                <w:u w:val="none"/>
                <w:lang w:val="en-US" w:eastAsia="zh-CN"/>
              </w:rPr>
              <w:t>建设</w:t>
            </w:r>
            <w:r>
              <w:rPr>
                <w:rFonts w:hint="eastAsia" w:ascii="宋体" w:hAnsi="宋体" w:cs="宋体"/>
                <w:sz w:val="24"/>
                <w:highlight w:val="none"/>
                <w:u w:val="none"/>
              </w:rPr>
              <w:t>项目，不属于大规模高强度的工业和开发建设，不属于大规模水电开发和林纸一体化产业，不属于损害栖息地的经济社会活动和生产方式，项目区不涉及生态保护红线，综上，项目建设符合白山市“三线一单”生态环境分区管控意见中相关要求。</w:t>
            </w:r>
          </w:p>
          <w:p>
            <w:pPr>
              <w:autoSpaceDE w:val="0"/>
              <w:autoSpaceDN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综上，本项目符合《白山市人民政府关于实施“三线一单”生态 环境分区管控的意见》（白山政函【 2021】 107号）的管理要求。</w:t>
            </w:r>
          </w:p>
          <w:p>
            <w:pPr>
              <w:pStyle w:val="22"/>
              <w:rPr>
                <w:rFonts w:hint="eastAsia"/>
              </w:rPr>
            </w:pPr>
          </w:p>
          <w:p>
            <w:pPr>
              <w:autoSpaceDE w:val="0"/>
              <w:autoSpaceDN w:val="0"/>
              <w:adjustRightInd w:val="0"/>
              <w:snapToGrid w:val="0"/>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（4）环境准入负面清单</w:t>
            </w:r>
          </w:p>
          <w:p>
            <w:pPr>
              <w:widowControl/>
              <w:spacing w:line="360" w:lineRule="auto"/>
              <w:ind w:firstLine="480" w:firstLineChars="200"/>
              <w:jc w:val="left"/>
              <w:rPr>
                <w:rFonts w:hint="eastAsia" w:ascii="宋体" w:hAnsi="宋体" w:cs="宋体"/>
                <w:kern w:val="0"/>
                <w:sz w:val="24"/>
                <w:highlight w:val="none"/>
                <w:lang w:bidi="ar"/>
              </w:rPr>
            </w:pPr>
            <w:r>
              <w:rPr>
                <w:rFonts w:hint="eastAsia" w:ascii="宋体" w:hAnsi="宋体" w:cs="宋体"/>
                <w:kern w:val="0"/>
                <w:sz w:val="24"/>
                <w:highlight w:val="none"/>
                <w:lang w:bidi="ar"/>
              </w:rPr>
              <w:t>本项目建设地点位于</w:t>
            </w:r>
            <w:r>
              <w:rPr>
                <w:rFonts w:hint="eastAsia" w:ascii="宋体" w:hAnsi="宋体" w:cs="宋体"/>
                <w:sz w:val="24"/>
                <w:lang w:val="en-US" w:eastAsia="zh-CN"/>
              </w:rPr>
              <w:t>吉林省白山市江源区大华村四社中铁上海工程局集团有限公司肖家堡制梁场占地范围内</w:t>
            </w:r>
            <w:r>
              <w:rPr>
                <w:rFonts w:hint="eastAsia" w:ascii="宋体" w:hAnsi="宋体" w:cs="宋体"/>
                <w:kern w:val="0"/>
                <w:sz w:val="24"/>
                <w:highlight w:val="none"/>
                <w:lang w:bidi="ar"/>
              </w:rPr>
              <w:t>，根据《市场准入负面清单（2020年版）》，对禁止准入事项，市场主体不得进入，行政机关不予审批、核准，不得办理有关手续；对许可准入事项，包括有关资格的要求和程序、技术标准和许可要求等，由市场主体提出申请，行政机关依法依规作出是否予以准入的决定，或对市场主体依照政府规定的准入条件和准入方式合规进入；对市场准入负面清单以外的行业、领域、业务等，各类市场主体皆可依法平等进入。本项目不属于清单中的禁止准入类、许可准入类项目，属于可依法平等进入项目，与《市场准入负面清单（2020年版）》相符。因此 本项目的建设符合相关要求。</w:t>
            </w:r>
          </w:p>
          <w:p>
            <w:pPr>
              <w:autoSpaceDE w:val="0"/>
              <w:autoSpaceDN w:val="0"/>
              <w:adjustRightInd w:val="0"/>
              <w:snapToGrid w:val="0"/>
              <w:spacing w:line="360" w:lineRule="auto"/>
              <w:ind w:firstLine="482" w:firstLineChars="200"/>
              <w:rPr>
                <w:rFonts w:hint="eastAsia" w:ascii="宋体" w:hAnsi="宋体" w:cs="宋体"/>
                <w:b/>
                <w:bCs/>
                <w:kern w:val="0"/>
                <w:sz w:val="24"/>
                <w:highlight w:val="none"/>
              </w:rPr>
            </w:pPr>
            <w:r>
              <w:rPr>
                <w:rFonts w:hint="eastAsia" w:ascii="宋体" w:hAnsi="宋体" w:cs="宋体"/>
                <w:b/>
                <w:bCs/>
                <w:sz w:val="24"/>
                <w:highlight w:val="none"/>
              </w:rPr>
              <w:t>（5）</w:t>
            </w:r>
            <w:r>
              <w:rPr>
                <w:rFonts w:hint="eastAsia" w:ascii="宋体" w:hAnsi="宋体" w:cs="宋体"/>
                <w:b/>
                <w:bCs/>
                <w:kern w:val="0"/>
                <w:sz w:val="24"/>
                <w:highlight w:val="none"/>
              </w:rPr>
              <w:t>与《吉林省空气、水环境、土壤环境质量巩固提升三个行动方案的通知》的符合性分析</w:t>
            </w:r>
          </w:p>
          <w:p>
            <w:pPr>
              <w:widowControl/>
              <w:spacing w:line="360" w:lineRule="auto"/>
              <w:ind w:firstLine="480" w:firstLineChars="200"/>
              <w:jc w:val="left"/>
              <w:rPr>
                <w:rFonts w:ascii="宋体" w:hAnsi="宋体" w:cs="宋体"/>
                <w:kern w:val="0"/>
                <w:sz w:val="24"/>
                <w:highlight w:val="none"/>
                <w:lang w:bidi="ar"/>
              </w:rPr>
            </w:pPr>
            <w:r>
              <w:rPr>
                <w:rFonts w:ascii="宋体" w:hAnsi="宋体" w:cs="宋体"/>
                <w:kern w:val="0"/>
                <w:sz w:val="24"/>
                <w:highlight w:val="none"/>
                <w:lang w:bidi="ar"/>
              </w:rPr>
              <w:t>根据</w:t>
            </w:r>
            <w:r>
              <w:rPr>
                <w:rFonts w:hint="eastAsia" w:ascii="宋体" w:hAnsi="宋体" w:cs="宋体"/>
                <w:kern w:val="0"/>
                <w:sz w:val="24"/>
                <w:highlight w:val="none"/>
                <w:lang w:bidi="ar"/>
              </w:rPr>
              <w:t>吉林省人民政府办公厅关于印发</w:t>
            </w:r>
            <w:r>
              <w:rPr>
                <w:rFonts w:ascii="宋体" w:hAnsi="宋体" w:cs="宋体"/>
                <w:kern w:val="0"/>
                <w:sz w:val="24"/>
                <w:highlight w:val="none"/>
                <w:lang w:bidi="ar"/>
              </w:rPr>
              <w:t>《</w:t>
            </w:r>
            <w:r>
              <w:rPr>
                <w:rFonts w:hint="eastAsia" w:ascii="宋体" w:hAnsi="宋体" w:cs="宋体"/>
                <w:kern w:val="0"/>
                <w:sz w:val="24"/>
                <w:highlight w:val="none"/>
                <w:lang w:bidi="ar"/>
              </w:rPr>
              <w:t>吉林省</w:t>
            </w:r>
            <w:r>
              <w:rPr>
                <w:rFonts w:ascii="宋体" w:hAnsi="宋体" w:cs="宋体"/>
                <w:kern w:val="0"/>
                <w:sz w:val="24"/>
                <w:highlight w:val="none"/>
                <w:lang w:bidi="ar"/>
              </w:rPr>
              <w:t>空气、水环境、土壤环境质量巩固提升三个行动方案的通知》（</w:t>
            </w:r>
            <w:r>
              <w:rPr>
                <w:rFonts w:hint="eastAsia" w:ascii="宋体" w:hAnsi="宋体" w:cs="宋体"/>
                <w:kern w:val="0"/>
                <w:sz w:val="24"/>
                <w:highlight w:val="none"/>
                <w:lang w:bidi="ar"/>
              </w:rPr>
              <w:t>吉政办发〔2021〕10 号</w:t>
            </w:r>
            <w:r>
              <w:rPr>
                <w:rFonts w:ascii="宋体" w:hAnsi="宋体" w:cs="宋体"/>
                <w:kern w:val="0"/>
                <w:sz w:val="24"/>
                <w:highlight w:val="none"/>
                <w:lang w:bidi="ar"/>
              </w:rPr>
              <w:t>），加大燃煤锅炉淘汰力度。</w:t>
            </w:r>
            <w:r>
              <w:rPr>
                <w:rFonts w:hint="eastAsia" w:ascii="宋体" w:hAnsi="宋体" w:cs="宋体"/>
                <w:kern w:val="0"/>
                <w:sz w:val="24"/>
                <w:highlight w:val="none"/>
                <w:lang w:bidi="ar"/>
              </w:rPr>
              <w:t>严控新建燃煤锅炉，县级以上城市建成区原则上不再新建每小时 35 蒸吨以下燃煤锅炉，其他地区原则上不再新建每小时10蒸吨以下燃煤锅炉。按照国家政策的调整和要求，逐步开展燃煤锅炉淘汰工作。</w:t>
            </w:r>
          </w:p>
          <w:p>
            <w:pPr>
              <w:widowControl/>
              <w:spacing w:line="360" w:lineRule="auto"/>
              <w:ind w:firstLine="480" w:firstLineChars="200"/>
              <w:jc w:val="left"/>
              <w:rPr>
                <w:rFonts w:hint="eastAsia" w:ascii="宋体" w:hAnsi="宋体" w:cs="宋体"/>
                <w:kern w:val="0"/>
                <w:sz w:val="24"/>
                <w:highlight w:val="none"/>
                <w:lang w:bidi="ar"/>
              </w:rPr>
            </w:pPr>
            <w:r>
              <w:rPr>
                <w:rFonts w:ascii="宋体" w:hAnsi="宋体" w:cs="宋体"/>
                <w:kern w:val="0"/>
                <w:sz w:val="24"/>
                <w:highlight w:val="none"/>
                <w:lang w:bidi="ar"/>
              </w:rPr>
              <w:t>本项目</w:t>
            </w:r>
            <w:r>
              <w:rPr>
                <w:rFonts w:hint="eastAsia" w:ascii="宋体" w:hAnsi="宋体" w:cs="宋体"/>
                <w:sz w:val="24"/>
                <w:highlight w:val="none"/>
              </w:rPr>
              <w:t>为热力生产和供应工程项目，</w:t>
            </w:r>
            <w:r>
              <w:rPr>
                <w:rFonts w:ascii="宋体" w:hAnsi="宋体" w:cs="宋体"/>
                <w:kern w:val="0"/>
                <w:sz w:val="24"/>
                <w:highlight w:val="none"/>
                <w:lang w:bidi="ar"/>
              </w:rPr>
              <w:t>拟在</w:t>
            </w:r>
            <w:r>
              <w:rPr>
                <w:rFonts w:hint="eastAsia" w:ascii="宋体" w:hAnsi="宋体" w:cs="宋体"/>
                <w:sz w:val="24"/>
                <w:lang w:val="en-US" w:eastAsia="zh-CN"/>
              </w:rPr>
              <w:t>吉林省白山市江源区大华村四社中铁上海工程局集团有限公司肖家堡制梁场占地范围内拟建1</w:t>
            </w:r>
            <w:r>
              <w:rPr>
                <w:rFonts w:hint="eastAsia" w:ascii="宋体" w:hAnsi="宋体" w:cs="宋体"/>
                <w:kern w:val="0"/>
                <w:sz w:val="24"/>
                <w:highlight w:val="none"/>
                <w:lang w:bidi="ar"/>
              </w:rPr>
              <w:t>座</w:t>
            </w:r>
            <w:r>
              <w:rPr>
                <w:rFonts w:hint="eastAsia" w:ascii="宋体" w:hAnsi="宋体" w:cs="宋体"/>
                <w:kern w:val="0"/>
                <w:sz w:val="24"/>
                <w:highlight w:val="none"/>
                <w:lang w:val="en-US" w:eastAsia="zh-CN" w:bidi="ar"/>
              </w:rPr>
              <w:t>4</w:t>
            </w:r>
            <w:r>
              <w:rPr>
                <w:rFonts w:hint="eastAsia" w:ascii="宋体" w:hAnsi="宋体" w:cs="宋体"/>
                <w:kern w:val="0"/>
                <w:sz w:val="24"/>
                <w:highlight w:val="none"/>
                <w:lang w:bidi="ar"/>
              </w:rPr>
              <w:t>t/h</w:t>
            </w:r>
            <w:r>
              <w:rPr>
                <w:rFonts w:hint="eastAsia" w:ascii="宋体" w:hAnsi="宋体" w:eastAsia="宋体"/>
                <w:sz w:val="24"/>
              </w:rPr>
              <w:t>燃生物质</w:t>
            </w:r>
            <w:r>
              <w:rPr>
                <w:rFonts w:hint="eastAsia" w:ascii="宋体" w:hAnsi="宋体"/>
                <w:sz w:val="24"/>
                <w:lang w:val="en-US" w:eastAsia="zh-CN"/>
              </w:rPr>
              <w:t>蒸汽</w:t>
            </w:r>
            <w:r>
              <w:rPr>
                <w:rFonts w:hint="eastAsia" w:ascii="宋体" w:hAnsi="宋体" w:eastAsia="宋体"/>
                <w:sz w:val="24"/>
              </w:rPr>
              <w:t>锅炉</w:t>
            </w:r>
            <w:r>
              <w:rPr>
                <w:rFonts w:ascii="宋体" w:hAnsi="宋体" w:cs="宋体"/>
                <w:kern w:val="0"/>
                <w:sz w:val="24"/>
                <w:highlight w:val="none"/>
                <w:lang w:bidi="ar"/>
              </w:rPr>
              <w:t>，不属于燃煤锅炉项目，故本项目符合《</w:t>
            </w:r>
            <w:r>
              <w:rPr>
                <w:rFonts w:hint="eastAsia" w:ascii="宋体" w:hAnsi="宋体" w:cs="宋体"/>
                <w:kern w:val="0"/>
                <w:sz w:val="24"/>
                <w:highlight w:val="none"/>
                <w:lang w:bidi="ar"/>
              </w:rPr>
              <w:t>吉林省</w:t>
            </w:r>
            <w:r>
              <w:rPr>
                <w:rFonts w:ascii="宋体" w:hAnsi="宋体" w:cs="宋体"/>
                <w:kern w:val="0"/>
                <w:sz w:val="24"/>
                <w:highlight w:val="none"/>
                <w:lang w:bidi="ar"/>
              </w:rPr>
              <w:t>空气、水环境、土壤环境质量巩固提升三个行动方案的通知》相关要求。</w:t>
            </w:r>
          </w:p>
          <w:p>
            <w:pPr>
              <w:widowControl/>
              <w:spacing w:line="360" w:lineRule="auto"/>
              <w:ind w:firstLine="482" w:firstLineChars="200"/>
              <w:jc w:val="left"/>
              <w:rPr>
                <w:rFonts w:hint="eastAsia" w:ascii="宋体" w:hAnsi="宋体" w:cs="宋体"/>
                <w:b/>
                <w:bCs/>
                <w:sz w:val="24"/>
                <w:highlight w:val="none"/>
              </w:rPr>
            </w:pPr>
            <w:r>
              <w:rPr>
                <w:rFonts w:hint="eastAsia" w:ascii="宋体" w:hAnsi="宋体" w:cs="宋体"/>
                <w:b/>
                <w:bCs/>
                <w:sz w:val="24"/>
                <w:highlight w:val="none"/>
              </w:rPr>
              <w:t>（6）选址合理性分析</w:t>
            </w:r>
          </w:p>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highlight w:val="none"/>
                <w:lang w:bidi="ar"/>
              </w:rPr>
              <w:t>本项目位于</w:t>
            </w:r>
            <w:r>
              <w:rPr>
                <w:rFonts w:hint="eastAsia" w:ascii="宋体" w:hAnsi="宋体" w:cs="宋体"/>
                <w:sz w:val="24"/>
                <w:lang w:val="en-US" w:eastAsia="zh-CN"/>
              </w:rPr>
              <w:t>吉林省白山市江源区大华村四社</w:t>
            </w:r>
            <w:r>
              <w:rPr>
                <w:rFonts w:hint="eastAsia" w:ascii="宋体" w:hAnsi="宋体" w:cs="宋体"/>
                <w:kern w:val="0"/>
                <w:sz w:val="24"/>
                <w:highlight w:val="none"/>
                <w:lang w:bidi="ar"/>
              </w:rPr>
              <w:t>，项目利用</w:t>
            </w:r>
            <w:r>
              <w:rPr>
                <w:rFonts w:hint="eastAsia" w:ascii="宋体" w:hAnsi="宋体" w:cs="宋体"/>
                <w:sz w:val="24"/>
                <w:lang w:val="en-US" w:eastAsia="zh-CN"/>
              </w:rPr>
              <w:t>中铁上海工程局集团有限公司肖家堡制梁场占地范围内空地进行建设，不新增用地</w:t>
            </w:r>
            <w:r>
              <w:rPr>
                <w:rFonts w:hint="eastAsia" w:ascii="宋体" w:hAnsi="宋体" w:cs="宋体"/>
                <w:kern w:val="0"/>
                <w:sz w:val="24"/>
                <w:highlight w:val="none"/>
                <w:lang w:bidi="ar"/>
              </w:rPr>
              <w:t>。本项目</w:t>
            </w:r>
            <w:r>
              <w:rPr>
                <w:rFonts w:hint="eastAsia" w:ascii="宋体" w:hAnsi="宋体" w:cs="宋体"/>
                <w:kern w:val="0"/>
                <w:sz w:val="24"/>
                <w:highlight w:val="none"/>
                <w:lang w:val="en-US" w:eastAsia="zh-CN" w:bidi="ar"/>
              </w:rPr>
              <w:t>占地性质为旱地，现状为</w:t>
            </w:r>
            <w:r>
              <w:rPr>
                <w:rFonts w:hint="eastAsia" w:ascii="宋体" w:hAnsi="宋体" w:cs="宋体"/>
                <w:sz w:val="24"/>
                <w:lang w:val="en-US" w:eastAsia="zh-CN"/>
              </w:rPr>
              <w:t>肖家制梁场占地范围内</w:t>
            </w:r>
            <w:r>
              <w:rPr>
                <w:rFonts w:hint="eastAsia" w:ascii="宋体" w:hAnsi="宋体" w:cs="宋体"/>
                <w:kern w:val="0"/>
                <w:sz w:val="24"/>
                <w:highlight w:val="none"/>
                <w:lang w:val="en-US" w:eastAsia="zh-CN" w:bidi="ar"/>
              </w:rPr>
              <w:t>空地</w:t>
            </w:r>
            <w:r>
              <w:rPr>
                <w:rFonts w:hint="eastAsia" w:ascii="宋体" w:hAnsi="宋体" w:cs="宋体"/>
                <w:kern w:val="0"/>
                <w:sz w:val="24"/>
                <w:highlight w:val="none"/>
                <w:lang w:bidi="ar"/>
              </w:rPr>
              <w:t>。</w:t>
            </w:r>
            <w:r>
              <w:rPr>
                <w:rFonts w:hint="eastAsia" w:ascii="宋体" w:hAnsi="宋体" w:cs="宋体"/>
                <w:kern w:val="0"/>
                <w:sz w:val="24"/>
                <w:highlight w:val="none"/>
                <w:lang w:val="en-US" w:eastAsia="zh-CN" w:bidi="ar"/>
              </w:rPr>
              <w:t>项目四周均为</w:t>
            </w:r>
            <w:r>
              <w:rPr>
                <w:rFonts w:hint="eastAsia" w:ascii="宋体" w:hAnsi="宋体" w:cs="宋体"/>
                <w:sz w:val="24"/>
                <w:highlight w:val="none"/>
                <w:lang w:val="en-US" w:eastAsia="zh-CN"/>
              </w:rPr>
              <w:t>制梁场场地</w:t>
            </w:r>
            <w:r>
              <w:rPr>
                <w:rFonts w:hint="eastAsia" w:ascii="宋体" w:hAnsi="宋体" w:cs="宋体"/>
                <w:kern w:val="0"/>
                <w:sz w:val="24"/>
                <w:highlight w:val="none"/>
                <w:lang w:bidi="ar"/>
              </w:rPr>
              <w:t>，</w:t>
            </w:r>
            <w:r>
              <w:rPr>
                <w:rFonts w:hint="eastAsia" w:ascii="宋体" w:hAnsi="宋体" w:cs="宋体"/>
                <w:kern w:val="0"/>
                <w:sz w:val="24"/>
                <w:highlight w:val="none"/>
                <w:lang w:val="en-US" w:eastAsia="zh-CN" w:bidi="ar"/>
              </w:rPr>
              <w:t>综上所诉，</w:t>
            </w:r>
            <w:r>
              <w:rPr>
                <w:rFonts w:hint="eastAsia" w:ascii="宋体" w:hAnsi="宋体" w:cs="宋体"/>
                <w:kern w:val="0"/>
                <w:sz w:val="24"/>
                <w:highlight w:val="none"/>
                <w:lang w:bidi="ar"/>
              </w:rPr>
              <w:t>项目选址合理。</w:t>
            </w:r>
          </w:p>
        </w:tc>
      </w:tr>
    </w:tbl>
    <w:p>
      <w:pPr>
        <w:spacing w:line="360" w:lineRule="auto"/>
        <w:outlineLvl w:val="0"/>
        <w:rPr>
          <w:sz w:val="30"/>
          <w:highlight w:val="yellow"/>
        </w:rPr>
        <w:sectPr>
          <w:footerReference r:id="rId5" w:type="default"/>
          <w:pgSz w:w="11906" w:h="16838"/>
          <w:pgMar w:top="1701" w:right="1531" w:bottom="1701" w:left="1531" w:header="851" w:footer="1077" w:gutter="0"/>
          <w:pgNumType w:fmt="numberInDash" w:start="1"/>
          <w:cols w:space="720" w:num="1"/>
          <w:docGrid w:linePitch="312" w:charSpace="0"/>
        </w:sectPr>
      </w:pPr>
    </w:p>
    <w:p>
      <w:pPr>
        <w:pStyle w:val="20"/>
        <w:jc w:val="center"/>
        <w:outlineLvl w:val="0"/>
        <w:rPr>
          <w:rFonts w:ascii="Times New Roman" w:hAnsi="Times New Roman"/>
          <w:b/>
          <w:snapToGrid w:val="0"/>
          <w:sz w:val="30"/>
          <w:szCs w:val="30"/>
          <w:highlight w:val="none"/>
        </w:rPr>
      </w:pPr>
      <w:r>
        <w:rPr>
          <w:rFonts w:ascii="Times New Roman" w:hAnsi="Times New Roman"/>
          <w:b/>
          <w:snapToGrid w:val="0"/>
          <w:sz w:val="30"/>
          <w:szCs w:val="30"/>
          <w:highlight w:val="none"/>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3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5" w:hRule="atLeast"/>
          <w:jc w:val="center"/>
        </w:trPr>
        <w:tc>
          <w:tcPr>
            <w:tcW w:w="751" w:type="dxa"/>
            <w:noWrap w:val="0"/>
            <w:vAlign w:val="center"/>
          </w:tcPr>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p>
            <w:pPr>
              <w:pStyle w:val="20"/>
              <w:adjustRightInd w:val="0"/>
              <w:snapToGrid w:val="0"/>
              <w:spacing w:before="0" w:beforeAutospacing="0" w:after="0" w:afterAutospacing="0"/>
              <w:jc w:val="center"/>
              <w:rPr>
                <w:rFonts w:ascii="Times New Roman" w:hAnsi="Times New Roman"/>
                <w:szCs w:val="24"/>
                <w:highlight w:val="none"/>
              </w:rPr>
            </w:pPr>
          </w:p>
        </w:tc>
        <w:tc>
          <w:tcPr>
            <w:tcW w:w="8309" w:type="dxa"/>
            <w:noWrap w:val="0"/>
            <w:vAlign w:val="top"/>
          </w:tcPr>
          <w:p>
            <w:pPr>
              <w:autoSpaceDE w:val="0"/>
              <w:autoSpaceDN w:val="0"/>
              <w:adjustRightInd w:val="0"/>
              <w:snapToGrid w:val="0"/>
              <w:spacing w:line="360" w:lineRule="auto"/>
              <w:ind w:firstLine="482" w:firstLineChars="200"/>
              <w:jc w:val="left"/>
              <w:rPr>
                <w:b/>
                <w:bCs/>
                <w:kern w:val="0"/>
                <w:sz w:val="24"/>
                <w:highlight w:val="none"/>
              </w:rPr>
            </w:pPr>
            <w:r>
              <w:rPr>
                <w:b/>
                <w:bCs/>
                <w:kern w:val="0"/>
                <w:sz w:val="24"/>
                <w:highlight w:val="none"/>
              </w:rPr>
              <w:t>1、本项目基本情况</w:t>
            </w:r>
          </w:p>
          <w:p>
            <w:pPr>
              <w:autoSpaceDE w:val="0"/>
              <w:autoSpaceDN w:val="0"/>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bCs/>
                <w:kern w:val="0"/>
                <w:sz w:val="24"/>
                <w:highlight w:val="none"/>
              </w:rPr>
              <w:t>⑴项目由来</w:t>
            </w:r>
          </w:p>
          <w:p>
            <w:pPr>
              <w:autoSpaceDE w:val="0"/>
              <w:autoSpaceDN w:val="0"/>
              <w:adjustRightInd w:val="0"/>
              <w:snapToGrid w:val="0"/>
              <w:spacing w:line="360" w:lineRule="auto"/>
              <w:ind w:firstLine="480" w:firstLineChars="200"/>
              <w:jc w:val="left"/>
              <w:rPr>
                <w:rFonts w:ascii="宋体" w:hAnsi="宋体" w:cs="宋体"/>
                <w:sz w:val="24"/>
                <w:highlight w:val="none"/>
                <w:lang w:val="zh-CN"/>
              </w:rPr>
            </w:pPr>
            <w:r>
              <w:rPr>
                <w:rFonts w:hint="eastAsia" w:ascii="宋体" w:hAnsi="宋体" w:eastAsia="宋体" w:cs="宋体"/>
                <w:sz w:val="24"/>
                <w:highlight w:val="none"/>
                <w:lang w:val="en-US" w:eastAsia="zh-CN"/>
              </w:rPr>
              <w:t>中铁上海工程局集团肖家堡制梁场承担新建沈阳至白河铁路吉林段TJ-5标箱梁预制施工工程，为确保沈白高铁如期完工，肖家堡制梁场需加快施工生产进度，进行冬季施工，为确保箱梁预制质量，梁场拟增设一台4吨生物质蒸汽锅炉用于箱梁预制蒸汽养护，计划使用周期3个月（10月-12月），本工程为临时工程，使用周期后，本项目锅炉立即拆除</w:t>
            </w:r>
            <w:r>
              <w:rPr>
                <w:rFonts w:hint="eastAsia" w:ascii="宋体" w:hAnsi="宋体"/>
                <w:sz w:val="24"/>
                <w:highlight w:val="none"/>
              </w:rPr>
              <w:t>。</w:t>
            </w:r>
            <w:r>
              <w:rPr>
                <w:rFonts w:hint="eastAsia" w:ascii="宋体" w:hAnsi="宋体" w:cs="宋体"/>
                <w:sz w:val="24"/>
                <w:highlight w:val="none"/>
                <w:lang w:val="zh-CN"/>
              </w:rPr>
              <w:t>本项目包括</w:t>
            </w:r>
            <w:r>
              <w:rPr>
                <w:rFonts w:hint="eastAsia" w:ascii="宋体" w:hAnsi="宋体" w:cs="宋体"/>
                <w:sz w:val="24"/>
                <w:highlight w:val="none"/>
                <w:lang w:val="en-US" w:eastAsia="zh-CN"/>
              </w:rPr>
              <w:t>1</w:t>
            </w:r>
            <w:r>
              <w:rPr>
                <w:rFonts w:hint="eastAsia" w:ascii="宋体" w:hAnsi="宋体" w:cs="宋体"/>
                <w:sz w:val="24"/>
                <w:highlight w:val="none"/>
                <w:lang w:val="zh-CN"/>
              </w:rPr>
              <w:t>台</w:t>
            </w:r>
            <w:r>
              <w:rPr>
                <w:rFonts w:hint="eastAsia" w:ascii="宋体" w:hAnsi="宋体" w:cs="宋体"/>
                <w:sz w:val="24"/>
                <w:highlight w:val="none"/>
                <w:lang w:val="en-US" w:eastAsia="zh-CN"/>
              </w:rPr>
              <w:t>4</w:t>
            </w:r>
            <w:r>
              <w:rPr>
                <w:rFonts w:hint="eastAsia" w:ascii="宋体" w:hAnsi="宋体" w:cs="宋体"/>
                <w:sz w:val="24"/>
                <w:highlight w:val="none"/>
                <w:lang w:val="zh-CN"/>
              </w:rPr>
              <w:t>t/h</w:t>
            </w:r>
            <w:r>
              <w:rPr>
                <w:rFonts w:hint="eastAsia" w:ascii="宋体" w:hAnsi="宋体" w:eastAsia="宋体" w:cs="宋体"/>
                <w:sz w:val="24"/>
                <w:highlight w:val="none"/>
                <w:lang w:val="en-US" w:eastAsia="zh-CN"/>
              </w:rPr>
              <w:t>生物质蒸汽</w:t>
            </w:r>
            <w:r>
              <w:rPr>
                <w:rFonts w:hint="eastAsia" w:ascii="宋体" w:hAnsi="宋体" w:cs="宋体"/>
                <w:sz w:val="24"/>
                <w:highlight w:val="none"/>
                <w:lang w:val="zh-CN"/>
              </w:rPr>
              <w:t>锅炉以及相应的引风机、布袋除尘器等辅助设施。按照《中华人民共和国环境影响评价法》和《建设项目环境保护管理条例》 (国务院第 682 号令）等相关的法律法规的要求，该建设项目应进行环境影响评价。按照《建设项目环境影响评价分类管理名录》 (2021 年版)，本目 属于“四十一、电力、热力生产和供应业”第 91 项燃煤、燃油锅炉总容量65吨/小时（45.5兆瓦）及以下的。本项目使用</w:t>
            </w:r>
            <w:r>
              <w:rPr>
                <w:rFonts w:hint="eastAsia" w:ascii="宋体" w:hAnsi="宋体" w:cs="宋体"/>
                <w:sz w:val="24"/>
                <w:highlight w:val="none"/>
                <w:lang w:val="en-US" w:eastAsia="zh-CN"/>
              </w:rPr>
              <w:t>1</w:t>
            </w:r>
            <w:r>
              <w:rPr>
                <w:rFonts w:hint="eastAsia" w:ascii="宋体" w:hAnsi="宋体" w:cs="宋体"/>
                <w:sz w:val="24"/>
                <w:highlight w:val="none"/>
                <w:lang w:val="zh-CN"/>
              </w:rPr>
              <w:t>台</w:t>
            </w:r>
            <w:r>
              <w:rPr>
                <w:rFonts w:hint="eastAsia" w:ascii="宋体" w:hAnsi="宋体" w:cs="宋体"/>
                <w:sz w:val="24"/>
                <w:highlight w:val="none"/>
                <w:lang w:val="en-US" w:eastAsia="zh-CN"/>
              </w:rPr>
              <w:t>4</w:t>
            </w:r>
            <w:r>
              <w:rPr>
                <w:rFonts w:hint="eastAsia" w:ascii="宋体" w:hAnsi="宋体" w:cs="宋体"/>
                <w:sz w:val="24"/>
                <w:highlight w:val="none"/>
                <w:lang w:val="zh-CN"/>
              </w:rPr>
              <w:t>t/h生物质</w:t>
            </w:r>
            <w:r>
              <w:rPr>
                <w:rFonts w:hint="eastAsia" w:ascii="宋体" w:hAnsi="宋体" w:cs="宋体"/>
                <w:sz w:val="24"/>
                <w:highlight w:val="none"/>
                <w:lang w:val="en-US" w:eastAsia="zh-CN"/>
              </w:rPr>
              <w:t>蒸汽</w:t>
            </w:r>
            <w:r>
              <w:rPr>
                <w:rFonts w:hint="eastAsia" w:ascii="宋体" w:hAnsi="宋体" w:cs="宋体"/>
                <w:sz w:val="24"/>
                <w:highlight w:val="none"/>
                <w:lang w:val="zh-CN"/>
              </w:rPr>
              <w:t>锅炉，应编制环境影响评价报告表。</w:t>
            </w:r>
          </w:p>
          <w:p>
            <w:pPr>
              <w:autoSpaceDE w:val="0"/>
              <w:autoSpaceDN w:val="0"/>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vanish/>
                <w:kern w:val="0"/>
                <w:sz w:val="24"/>
                <w:highlight w:val="none"/>
              </w:rPr>
              <w:t>项目名称</w:t>
            </w:r>
            <w:r>
              <w:rPr>
                <w:rFonts w:hint="eastAsia" w:ascii="宋体" w:hAnsi="宋体" w:cs="宋体"/>
                <w:b/>
                <w:kern w:val="0"/>
                <w:sz w:val="24"/>
                <w:highlight w:val="none"/>
              </w:rPr>
              <w:t>⑵项目名称、建设性质及建设地点</w:t>
            </w:r>
          </w:p>
          <w:p>
            <w:pPr>
              <w:autoSpaceDE w:val="0"/>
              <w:autoSpaceDN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项目名称：</w:t>
            </w:r>
            <w:r>
              <w:rPr>
                <w:rFonts w:hint="eastAsia" w:ascii="宋体" w:hAnsi="宋体" w:cs="宋体"/>
                <w:sz w:val="24"/>
                <w:highlight w:val="none"/>
                <w:lang w:val="en-US" w:eastAsia="zh-CN"/>
              </w:rPr>
              <w:t>中铁上海工程局集团有限公司肖家堡制梁场锅炉建设项目</w:t>
            </w:r>
          </w:p>
          <w:p>
            <w:pPr>
              <w:autoSpaceDE w:val="0"/>
              <w:autoSpaceDN w:val="0"/>
              <w:adjustRightInd w:val="0"/>
              <w:snapToGrid w:val="0"/>
              <w:spacing w:line="360" w:lineRule="auto"/>
              <w:ind w:firstLine="480" w:firstLineChars="200"/>
              <w:jc w:val="left"/>
              <w:rPr>
                <w:rFonts w:hint="eastAsia" w:ascii="宋体" w:hAnsi="宋体" w:eastAsia="宋体" w:cs="宋体"/>
                <w:sz w:val="24"/>
                <w:highlight w:val="none"/>
                <w:lang w:val="zh-CN" w:eastAsia="zh-CN"/>
              </w:rPr>
            </w:pPr>
            <w:r>
              <w:rPr>
                <w:rFonts w:hint="eastAsia" w:ascii="宋体" w:hAnsi="宋体" w:cs="宋体"/>
                <w:sz w:val="24"/>
                <w:highlight w:val="none"/>
                <w:lang w:val="zh-CN"/>
              </w:rPr>
              <w:t>建设性质：</w:t>
            </w:r>
            <w:r>
              <w:rPr>
                <w:rFonts w:hint="eastAsia" w:ascii="宋体" w:hAnsi="宋体" w:cs="宋体"/>
                <w:sz w:val="24"/>
                <w:highlight w:val="none"/>
                <w:lang w:val="en-US" w:eastAsia="zh-CN"/>
              </w:rPr>
              <w:t>新建</w:t>
            </w:r>
          </w:p>
          <w:p>
            <w:pPr>
              <w:autoSpaceDE w:val="0"/>
              <w:autoSpaceDN w:val="0"/>
              <w:adjustRightInd w:val="0"/>
              <w:snapToGrid w:val="0"/>
              <w:spacing w:line="360" w:lineRule="auto"/>
              <w:ind w:firstLine="480" w:firstLineChars="200"/>
              <w:jc w:val="left"/>
              <w:rPr>
                <w:rFonts w:hint="eastAsia" w:ascii="宋体" w:hAnsi="宋体" w:cs="宋体"/>
                <w:sz w:val="24"/>
                <w:highlight w:val="yellow"/>
              </w:rPr>
            </w:pPr>
            <w:r>
              <w:rPr>
                <w:rFonts w:hint="eastAsia" w:ascii="宋体" w:hAnsi="宋体" w:cs="宋体"/>
                <w:sz w:val="24"/>
                <w:highlight w:val="none"/>
                <w:lang w:val="zh-CN"/>
              </w:rPr>
              <w:t>建设地点：本项目位于</w:t>
            </w:r>
            <w:r>
              <w:rPr>
                <w:rFonts w:hint="eastAsia" w:ascii="宋体" w:hAnsi="宋体" w:cs="宋体"/>
                <w:sz w:val="24"/>
                <w:highlight w:val="none"/>
                <w:lang w:val="en-US" w:eastAsia="zh-CN"/>
              </w:rPr>
              <w:t>吉林省白山市江源区大华村四社</w:t>
            </w:r>
            <w:r>
              <w:rPr>
                <w:rFonts w:hint="eastAsia" w:ascii="宋体" w:hAnsi="宋体" w:cs="宋体"/>
                <w:sz w:val="24"/>
                <w:lang w:val="en-US" w:eastAsia="zh-CN"/>
              </w:rPr>
              <w:t>中铁上海工程局集团有限公司肖家堡制梁场内</w:t>
            </w:r>
          </w:p>
          <w:p>
            <w:pPr>
              <w:autoSpaceDE w:val="0"/>
              <w:autoSpaceDN w:val="0"/>
              <w:adjustRightInd w:val="0"/>
              <w:snapToGrid w:val="0"/>
              <w:spacing w:line="360" w:lineRule="auto"/>
              <w:ind w:firstLine="480" w:firstLineChars="200"/>
              <w:jc w:val="left"/>
              <w:rPr>
                <w:rFonts w:ascii="宋体" w:hAnsi="宋体" w:cs="宋体"/>
                <w:sz w:val="24"/>
                <w:highlight w:val="yellow"/>
              </w:rPr>
            </w:pPr>
            <w:r>
              <w:rPr>
                <w:rFonts w:hint="eastAsia" w:ascii="宋体" w:hAnsi="宋体" w:cs="宋体"/>
                <w:sz w:val="24"/>
                <w:highlight w:val="none"/>
              </w:rPr>
              <w:t>周围情况：本项目厂区中心坐标为</w:t>
            </w:r>
            <w:r>
              <w:rPr>
                <w:rFonts w:hint="eastAsia" w:ascii="宋体" w:hAnsi="宋体" w:cs="宋体"/>
                <w:sz w:val="24"/>
                <w:highlight w:val="none"/>
                <w:u w:val="none"/>
              </w:rPr>
              <w:t>：东经：</w:t>
            </w:r>
            <w:r>
              <w:rPr>
                <w:rFonts w:hint="eastAsia" w:ascii="宋体" w:hAnsi="宋体" w:cs="宋体"/>
                <w:sz w:val="24"/>
                <w:highlight w:val="none"/>
                <w:u w:val="none"/>
                <w:lang w:val="en-US" w:eastAsia="zh-CN"/>
              </w:rPr>
              <w:t>126度32分11秒</w:t>
            </w:r>
            <w:r>
              <w:rPr>
                <w:rFonts w:hint="eastAsia" w:ascii="宋体" w:hAnsi="宋体" w:cs="宋体"/>
                <w:sz w:val="24"/>
                <w:highlight w:val="none"/>
                <w:u w:val="none"/>
              </w:rPr>
              <w:t>，北纬：</w:t>
            </w:r>
            <w:r>
              <w:rPr>
                <w:rFonts w:hint="eastAsia" w:ascii="宋体" w:hAnsi="宋体" w:cs="宋体"/>
                <w:sz w:val="24"/>
                <w:highlight w:val="none"/>
                <w:u w:val="none"/>
                <w:lang w:val="en-US" w:eastAsia="zh-CN"/>
              </w:rPr>
              <w:t>42度1分42秒</w:t>
            </w:r>
            <w:r>
              <w:rPr>
                <w:rFonts w:hint="eastAsia" w:ascii="宋体" w:hAnsi="宋体" w:cs="宋体"/>
                <w:sz w:val="24"/>
                <w:highlight w:val="none"/>
                <w:u w:val="none"/>
              </w:rPr>
              <w:t>。</w:t>
            </w:r>
            <w:r>
              <w:rPr>
                <w:rFonts w:hint="eastAsia" w:ascii="宋体" w:hAnsi="宋体" w:cs="宋体"/>
                <w:sz w:val="24"/>
                <w:highlight w:val="none"/>
                <w:u w:val="none"/>
                <w:lang w:val="en-US" w:eastAsia="zh-CN"/>
              </w:rPr>
              <w:t>本项目四周均为</w:t>
            </w:r>
            <w:r>
              <w:rPr>
                <w:rFonts w:hint="eastAsia" w:ascii="宋体" w:hAnsi="宋体" w:cs="宋体"/>
                <w:sz w:val="24"/>
                <w:highlight w:val="none"/>
                <w:lang w:val="en-US" w:eastAsia="zh-CN"/>
              </w:rPr>
              <w:t>制</w:t>
            </w:r>
            <w:r>
              <w:rPr>
                <w:rFonts w:hint="eastAsia" w:ascii="宋体" w:hAnsi="宋体" w:cs="宋体"/>
                <w:sz w:val="24"/>
                <w:highlight w:val="none"/>
                <w:u w:val="none"/>
                <w:lang w:val="en-US" w:eastAsia="zh-CN"/>
              </w:rPr>
              <w:t>梁场场地</w:t>
            </w:r>
            <w:r>
              <w:rPr>
                <w:rFonts w:hint="eastAsia" w:ascii="宋体" w:hAnsi="宋体"/>
                <w:sz w:val="24"/>
                <w:highlight w:val="none"/>
                <w:u w:val="none"/>
              </w:rPr>
              <w:t>。本项目生物质</w:t>
            </w:r>
            <w:r>
              <w:rPr>
                <w:rFonts w:hint="eastAsia" w:ascii="宋体" w:hAnsi="宋体"/>
                <w:sz w:val="24"/>
                <w:highlight w:val="none"/>
                <w:u w:val="none"/>
                <w:lang w:val="en-US" w:eastAsia="zh-CN"/>
              </w:rPr>
              <w:t>蒸汽</w:t>
            </w:r>
            <w:r>
              <w:rPr>
                <w:rFonts w:hint="eastAsia" w:ascii="宋体" w:hAnsi="宋体"/>
                <w:sz w:val="24"/>
                <w:highlight w:val="none"/>
                <w:u w:val="none"/>
              </w:rPr>
              <w:t>锅炉房位于</w:t>
            </w:r>
            <w:r>
              <w:rPr>
                <w:rFonts w:hint="eastAsia" w:ascii="宋体" w:hAnsi="宋体"/>
                <w:sz w:val="24"/>
                <w:highlight w:val="none"/>
                <w:u w:val="none"/>
                <w:lang w:val="en-US" w:eastAsia="zh-CN"/>
              </w:rPr>
              <w:t>制梁场东侧</w:t>
            </w:r>
            <w:r>
              <w:rPr>
                <w:rFonts w:hint="eastAsia" w:ascii="宋体" w:hAnsi="宋体"/>
                <w:sz w:val="24"/>
                <w:highlight w:val="none"/>
                <w:u w:val="none"/>
              </w:rPr>
              <w:t>，</w:t>
            </w:r>
            <w:r>
              <w:rPr>
                <w:rFonts w:hint="eastAsia" w:ascii="宋体" w:hAnsi="宋体"/>
                <w:sz w:val="24"/>
                <w:highlight w:val="none"/>
                <w:u w:val="single"/>
              </w:rPr>
              <w:t>距离本项目最近的敏感点为北侧</w:t>
            </w:r>
            <w:r>
              <w:rPr>
                <w:rFonts w:hint="eastAsia" w:ascii="宋体" w:hAnsi="宋体"/>
                <w:sz w:val="24"/>
                <w:highlight w:val="none"/>
                <w:u w:val="single"/>
                <w:lang w:val="en-US" w:eastAsia="zh-CN"/>
              </w:rPr>
              <w:t>612</w:t>
            </w:r>
            <w:r>
              <w:rPr>
                <w:rFonts w:hint="eastAsia" w:ascii="宋体" w:hAnsi="宋体"/>
                <w:sz w:val="24"/>
                <w:highlight w:val="none"/>
                <w:u w:val="single"/>
              </w:rPr>
              <w:t>m处</w:t>
            </w:r>
            <w:r>
              <w:rPr>
                <w:rFonts w:hint="eastAsia" w:ascii="宋体" w:hAnsi="宋体"/>
                <w:sz w:val="24"/>
                <w:highlight w:val="none"/>
                <w:u w:val="single"/>
                <w:lang w:val="en-US" w:eastAsia="zh-CN"/>
              </w:rPr>
              <w:t>荣华村居民</w:t>
            </w:r>
            <w:r>
              <w:rPr>
                <w:rFonts w:hint="eastAsia" w:ascii="宋体" w:hAnsi="宋体"/>
                <w:sz w:val="24"/>
                <w:highlight w:val="none"/>
                <w:u w:val="single"/>
              </w:rPr>
              <w:t>，</w:t>
            </w:r>
            <w:r>
              <w:rPr>
                <w:rFonts w:hint="eastAsia" w:ascii="宋体" w:hAnsi="宋体"/>
                <w:sz w:val="24"/>
                <w:highlight w:val="none"/>
                <w:u w:val="none"/>
              </w:rPr>
              <w:t>本</w:t>
            </w:r>
            <w:r>
              <w:rPr>
                <w:rFonts w:hint="eastAsia" w:ascii="宋体" w:hAnsi="宋体"/>
                <w:sz w:val="24"/>
                <w:highlight w:val="none"/>
              </w:rPr>
              <w:t>项目地理位置详见附图1，平面布置</w:t>
            </w:r>
            <w:r>
              <w:rPr>
                <w:rFonts w:ascii="宋体" w:hAnsi="宋体"/>
                <w:sz w:val="24"/>
                <w:highlight w:val="none"/>
              </w:rPr>
              <w:t>详见附图2，</w:t>
            </w:r>
            <w:r>
              <w:rPr>
                <w:rFonts w:hint="eastAsia" w:ascii="宋体" w:hAnsi="宋体"/>
                <w:sz w:val="24"/>
                <w:highlight w:val="none"/>
              </w:rPr>
              <w:t>周围环境现状照片详见附图3。</w:t>
            </w:r>
          </w:p>
          <w:p>
            <w:pPr>
              <w:numPr>
                <w:ilvl w:val="0"/>
                <w:numId w:val="0"/>
              </w:numPr>
              <w:autoSpaceDE w:val="0"/>
              <w:autoSpaceDN w:val="0"/>
              <w:adjustRightInd w:val="0"/>
              <w:snapToGrid w:val="0"/>
              <w:spacing w:line="360" w:lineRule="auto"/>
              <w:ind w:left="842" w:leftChars="0" w:hanging="360" w:firstLineChars="0"/>
              <w:jc w:val="left"/>
              <w:rPr>
                <w:rFonts w:hint="eastAsia" w:ascii="宋体" w:hAnsi="宋体" w:cs="宋体"/>
                <w:b/>
                <w:bCs/>
                <w:kern w:val="0"/>
                <w:sz w:val="24"/>
                <w:highlight w:val="none"/>
              </w:rPr>
            </w:pPr>
            <w:r>
              <w:rPr>
                <w:rFonts w:hint="eastAsia" w:ascii="宋体" w:hAnsi="宋体" w:eastAsia="宋体" w:cs="宋体"/>
                <w:b/>
                <w:bCs/>
                <w:kern w:val="0"/>
                <w:sz w:val="24"/>
                <w:szCs w:val="24"/>
                <w:lang w:val="en-US" w:eastAsia="zh-CN" w:bidi="ar-SA"/>
              </w:rPr>
              <w:t>⑶</w:t>
            </w:r>
            <w:r>
              <w:rPr>
                <w:rFonts w:hint="eastAsia" w:ascii="宋体" w:hAnsi="宋体" w:cs="宋体"/>
                <w:b/>
                <w:bCs/>
                <w:kern w:val="0"/>
                <w:sz w:val="24"/>
                <w:highlight w:val="none"/>
              </w:rPr>
              <w:t>项目组成及工程内容</w:t>
            </w:r>
          </w:p>
          <w:p>
            <w:pPr>
              <w:autoSpaceDE w:val="0"/>
              <w:autoSpaceDN w:val="0"/>
              <w:adjustRightInd w:val="0"/>
              <w:snapToGrid w:val="0"/>
              <w:spacing w:line="360" w:lineRule="auto"/>
              <w:ind w:firstLine="480" w:firstLineChars="200"/>
              <w:jc w:val="left"/>
              <w:rPr>
                <w:kern w:val="0"/>
                <w:szCs w:val="21"/>
                <w:highlight w:val="none"/>
                <w:u w:val="none"/>
              </w:rPr>
            </w:pPr>
            <w:r>
              <w:rPr>
                <w:rFonts w:hint="eastAsia" w:ascii="宋体" w:hAnsi="宋体" w:eastAsia="宋体" w:cs="Times New Roman"/>
                <w:sz w:val="24"/>
                <w:highlight w:val="none"/>
                <w:u w:val="none"/>
                <w:lang w:val="en-US" w:eastAsia="zh-CN"/>
              </w:rPr>
              <w:t>本次占用制梁场内空地建设本项目，锅炉房占地面积为200㎡，内设1台4t/h燃生物质蒸汽锅炉，用于冬季箱梁预制件蒸汽养护</w:t>
            </w:r>
            <w:r>
              <w:rPr>
                <w:rFonts w:hint="eastAsia" w:ascii="宋体" w:hAnsi="宋体"/>
                <w:sz w:val="24"/>
                <w:highlight w:val="none"/>
                <w:u w:val="none"/>
              </w:rPr>
              <w:t>。</w:t>
            </w:r>
            <w:r>
              <w:rPr>
                <w:rFonts w:ascii="宋体" w:hAnsi="宋体"/>
                <w:bCs/>
                <w:sz w:val="24"/>
                <w:szCs w:val="22"/>
                <w:highlight w:val="none"/>
                <w:u w:val="none"/>
              </w:rPr>
              <w:t>项目组成详见表</w:t>
            </w:r>
            <w:r>
              <w:rPr>
                <w:rFonts w:hint="eastAsia" w:ascii="宋体" w:hAnsi="宋体"/>
                <w:bCs/>
                <w:sz w:val="24"/>
                <w:szCs w:val="22"/>
                <w:highlight w:val="none"/>
                <w:u w:val="none"/>
              </w:rPr>
              <w:t>2-1</w:t>
            </w:r>
            <w:r>
              <w:rPr>
                <w:rFonts w:ascii="宋体" w:hAnsi="宋体"/>
                <w:bCs/>
                <w:sz w:val="24"/>
                <w:szCs w:val="22"/>
                <w:highlight w:val="none"/>
                <w:u w:val="none"/>
              </w:rPr>
              <w:t>。</w:t>
            </w:r>
          </w:p>
          <w:p>
            <w:pPr>
              <w:autoSpaceDE w:val="0"/>
              <w:autoSpaceDN w:val="0"/>
              <w:adjustRightInd w:val="0"/>
              <w:snapToGrid w:val="0"/>
              <w:ind w:firstLine="422" w:firstLineChars="200"/>
              <w:jc w:val="center"/>
              <w:rPr>
                <w:rFonts w:hint="eastAsia" w:ascii="宋体" w:hAnsi="宋体" w:cs="宋体"/>
                <w:b/>
                <w:bCs/>
                <w:kern w:val="0"/>
                <w:szCs w:val="21"/>
                <w:highlight w:val="yellow"/>
                <w:u w:val="single"/>
              </w:rPr>
            </w:pPr>
          </w:p>
          <w:p>
            <w:pPr>
              <w:autoSpaceDE w:val="0"/>
              <w:autoSpaceDN w:val="0"/>
              <w:adjustRightInd w:val="0"/>
              <w:snapToGrid w:val="0"/>
              <w:ind w:firstLine="422" w:firstLineChars="200"/>
              <w:jc w:val="center"/>
              <w:rPr>
                <w:rFonts w:hint="eastAsia" w:ascii="宋体" w:hAnsi="宋体" w:cs="宋体"/>
                <w:b/>
                <w:bCs/>
                <w:kern w:val="0"/>
                <w:szCs w:val="21"/>
                <w:highlight w:val="yellow"/>
                <w:u w:val="single"/>
              </w:rPr>
            </w:pPr>
          </w:p>
          <w:p>
            <w:pPr>
              <w:autoSpaceDE w:val="0"/>
              <w:autoSpaceDN w:val="0"/>
              <w:adjustRightInd w:val="0"/>
              <w:snapToGrid w:val="0"/>
              <w:ind w:firstLine="422" w:firstLineChars="200"/>
              <w:jc w:val="center"/>
              <w:rPr>
                <w:b/>
                <w:bCs/>
                <w:kern w:val="0"/>
                <w:szCs w:val="21"/>
                <w:highlight w:val="none"/>
                <w:u w:val="single"/>
              </w:rPr>
            </w:pPr>
            <w:r>
              <w:rPr>
                <w:rFonts w:hint="eastAsia" w:ascii="宋体" w:hAnsi="宋体" w:cs="宋体"/>
                <w:b/>
                <w:bCs/>
                <w:kern w:val="0"/>
                <w:szCs w:val="21"/>
                <w:highlight w:val="none"/>
                <w:u w:val="single"/>
              </w:rPr>
              <w:t>表2-1  主要建设内容一览表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810"/>
              <w:gridCol w:w="4649"/>
              <w:gridCol w:w="15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6" w:type="pct"/>
                  <w:gridSpan w:val="2"/>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项目名称</w:t>
                  </w:r>
                </w:p>
              </w:tc>
              <w:tc>
                <w:tcPr>
                  <w:tcW w:w="2871" w:type="pct"/>
                  <w:noWrap w:val="0"/>
                  <w:vAlign w:val="center"/>
                </w:tcPr>
                <w:p>
                  <w:pPr>
                    <w:jc w:val="center"/>
                    <w:rPr>
                      <w:rFonts w:ascii="宋体" w:hAnsi="宋体"/>
                      <w:szCs w:val="21"/>
                      <w:highlight w:val="none"/>
                      <w:lang w:val="zh-CN"/>
                    </w:rPr>
                  </w:pPr>
                  <w:r>
                    <w:rPr>
                      <w:rFonts w:ascii="宋体" w:hAnsi="宋体"/>
                      <w:szCs w:val="21"/>
                      <w:highlight w:val="none"/>
                      <w:lang w:val="zh-CN"/>
                    </w:rPr>
                    <w:t>工程组成</w:t>
                  </w:r>
                </w:p>
              </w:tc>
              <w:tc>
                <w:tcPr>
                  <w:tcW w:w="961" w:type="pct"/>
                  <w:noWrap w:val="0"/>
                  <w:vAlign w:val="center"/>
                </w:tcPr>
                <w:p>
                  <w:pPr>
                    <w:jc w:val="center"/>
                    <w:rPr>
                      <w:rFonts w:ascii="宋体" w:hAnsi="宋体"/>
                      <w:szCs w:val="21"/>
                      <w:highlight w:val="none"/>
                      <w:lang w:val="zh-CN"/>
                    </w:rPr>
                  </w:pPr>
                  <w:r>
                    <w:rPr>
                      <w:rFonts w:hint="eastAsia" w:ascii="宋体" w:hAnsi="宋体"/>
                      <w:szCs w:val="21"/>
                      <w:highlight w:val="none"/>
                      <w:lang w:val="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vMerge w:val="restart"/>
                  <w:noWrap w:val="0"/>
                  <w:vAlign w:val="center"/>
                </w:tcPr>
                <w:p>
                  <w:pPr>
                    <w:autoSpaceDE w:val="0"/>
                    <w:autoSpaceDN w:val="0"/>
                    <w:adjustRightInd w:val="0"/>
                    <w:jc w:val="center"/>
                    <w:rPr>
                      <w:rFonts w:ascii="宋体" w:hAnsi="宋体"/>
                      <w:szCs w:val="21"/>
                      <w:highlight w:val="none"/>
                    </w:rPr>
                  </w:pPr>
                  <w:r>
                    <w:rPr>
                      <w:rFonts w:ascii="宋体" w:hAnsi="宋体"/>
                      <w:szCs w:val="21"/>
                      <w:highlight w:val="none"/>
                    </w:rPr>
                    <w:t>主体工程</w:t>
                  </w:r>
                </w:p>
              </w:tc>
              <w:tc>
                <w:tcPr>
                  <w:tcW w:w="500" w:type="pct"/>
                  <w:noWrap w:val="0"/>
                  <w:vAlign w:val="center"/>
                </w:tcPr>
                <w:p>
                  <w:pPr>
                    <w:autoSpaceDE w:val="0"/>
                    <w:autoSpaceDN w:val="0"/>
                    <w:adjustRightInd w:val="0"/>
                    <w:jc w:val="center"/>
                    <w:rPr>
                      <w:rFonts w:ascii="宋体" w:hAnsi="宋体"/>
                      <w:szCs w:val="21"/>
                      <w:highlight w:val="none"/>
                      <w:lang w:val="zh-CN"/>
                    </w:rPr>
                  </w:pPr>
                  <w:r>
                    <w:rPr>
                      <w:rFonts w:hint="eastAsia" w:ascii="宋体" w:hAnsi="宋体"/>
                      <w:szCs w:val="21"/>
                      <w:highlight w:val="none"/>
                      <w:lang w:val="zh-CN"/>
                    </w:rPr>
                    <w:t>锅炉房</w:t>
                  </w:r>
                </w:p>
              </w:tc>
              <w:tc>
                <w:tcPr>
                  <w:tcW w:w="2871" w:type="pct"/>
                  <w:noWrap w:val="0"/>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新建</w:t>
                  </w:r>
                  <w:r>
                    <w:rPr>
                      <w:rFonts w:hint="eastAsia" w:ascii="宋体" w:hAnsi="宋体"/>
                      <w:szCs w:val="21"/>
                      <w:highlight w:val="none"/>
                    </w:rPr>
                    <w:t>锅炉房</w:t>
                  </w:r>
                  <w:r>
                    <w:rPr>
                      <w:rFonts w:hint="eastAsia" w:ascii="宋体" w:hAnsi="宋体"/>
                      <w:szCs w:val="21"/>
                      <w:highlight w:val="none"/>
                      <w:lang w:eastAsia="zh-CN"/>
                    </w:rPr>
                    <w:t>，</w:t>
                  </w:r>
                  <w:r>
                    <w:rPr>
                      <w:rFonts w:hint="eastAsia" w:ascii="宋体" w:hAnsi="宋体"/>
                      <w:szCs w:val="21"/>
                      <w:highlight w:val="none"/>
                      <w:lang w:val="en-US" w:eastAsia="zh-CN"/>
                    </w:rPr>
                    <w:t>占地面积200㎡，建筑面积200㎡</w:t>
                  </w:r>
                  <w:r>
                    <w:rPr>
                      <w:rFonts w:hint="eastAsia" w:ascii="宋体" w:hAnsi="宋体"/>
                      <w:szCs w:val="21"/>
                      <w:highlight w:val="none"/>
                    </w:rPr>
                    <w:t>，新增1台</w:t>
                  </w:r>
                  <w:r>
                    <w:rPr>
                      <w:rFonts w:hint="eastAsia" w:ascii="宋体" w:hAnsi="宋体"/>
                      <w:szCs w:val="21"/>
                      <w:highlight w:val="none"/>
                      <w:lang w:val="en-US" w:eastAsia="zh-CN"/>
                    </w:rPr>
                    <w:t>4</w:t>
                  </w:r>
                  <w:r>
                    <w:rPr>
                      <w:rFonts w:hint="eastAsia" w:ascii="宋体" w:hAnsi="宋体"/>
                      <w:szCs w:val="21"/>
                      <w:highlight w:val="none"/>
                    </w:rPr>
                    <w:t>t/h燃生物质</w:t>
                  </w:r>
                  <w:r>
                    <w:rPr>
                      <w:rFonts w:hint="eastAsia" w:ascii="宋体" w:hAnsi="宋体"/>
                      <w:szCs w:val="21"/>
                      <w:highlight w:val="none"/>
                      <w:lang w:val="en-US" w:eastAsia="zh-CN"/>
                    </w:rPr>
                    <w:t>蒸汽</w:t>
                  </w:r>
                  <w:r>
                    <w:rPr>
                      <w:rFonts w:hint="eastAsia" w:ascii="宋体" w:hAnsi="宋体"/>
                      <w:szCs w:val="21"/>
                      <w:highlight w:val="none"/>
                    </w:rPr>
                    <w:t>锅炉</w:t>
                  </w:r>
                </w:p>
              </w:tc>
              <w:tc>
                <w:tcPr>
                  <w:tcW w:w="961" w:type="pct"/>
                  <w:noWrap w:val="0"/>
                  <w:vAlign w:val="center"/>
                </w:tcPr>
                <w:p>
                  <w:pPr>
                    <w:jc w:val="center"/>
                    <w:rPr>
                      <w:rFonts w:hint="eastAsia" w:ascii="宋体" w:hAnsi="宋体" w:eastAsia="宋体"/>
                      <w:szCs w:val="21"/>
                      <w:highlight w:val="none"/>
                      <w:lang w:eastAsia="zh-CN"/>
                    </w:rPr>
                  </w:pPr>
                  <w:r>
                    <w:rPr>
                      <w:rFonts w:hint="eastAsia"/>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vMerge w:val="continue"/>
                  <w:noWrap w:val="0"/>
                  <w:vAlign w:val="center"/>
                </w:tcPr>
                <w:p>
                  <w:pPr>
                    <w:autoSpaceDE w:val="0"/>
                    <w:autoSpaceDN w:val="0"/>
                    <w:adjustRightInd w:val="0"/>
                    <w:jc w:val="center"/>
                    <w:rPr>
                      <w:rFonts w:ascii="宋体" w:hAnsi="宋体"/>
                      <w:szCs w:val="21"/>
                      <w:highlight w:val="none"/>
                    </w:rPr>
                  </w:pPr>
                </w:p>
              </w:tc>
              <w:tc>
                <w:tcPr>
                  <w:tcW w:w="500" w:type="pct"/>
                  <w:noWrap w:val="0"/>
                  <w:vAlign w:val="center"/>
                </w:tcPr>
                <w:p>
                  <w:pPr>
                    <w:autoSpaceDE w:val="0"/>
                    <w:autoSpaceDN w:val="0"/>
                    <w:adjustRightInd w:val="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蒸汽管道</w:t>
                  </w:r>
                </w:p>
              </w:tc>
              <w:tc>
                <w:tcPr>
                  <w:tcW w:w="2871" w:type="pct"/>
                  <w:noWrap w:val="0"/>
                  <w:vAlign w:val="center"/>
                </w:tcPr>
                <w:p>
                  <w:pPr>
                    <w:jc w:val="center"/>
                    <w:rPr>
                      <w:rFonts w:hint="default" w:ascii="宋体" w:hAnsi="宋体"/>
                      <w:szCs w:val="21"/>
                      <w:highlight w:val="none"/>
                      <w:lang w:val="en-US" w:eastAsia="zh-CN"/>
                    </w:rPr>
                  </w:pPr>
                  <w:r>
                    <w:rPr>
                      <w:rFonts w:hint="eastAsia" w:ascii="宋体" w:hAnsi="宋体"/>
                      <w:szCs w:val="21"/>
                      <w:highlight w:val="none"/>
                      <w:lang w:val="en-US" w:eastAsia="zh-CN"/>
                    </w:rPr>
                    <w:t>地上管道，材质为钢管材质，管道总长度2400m，其中直径100mm无缝钢管500m，直径50mm无缝钢管1900m</w:t>
                  </w:r>
                </w:p>
              </w:tc>
              <w:tc>
                <w:tcPr>
                  <w:tcW w:w="961" w:type="pct"/>
                  <w:noWrap w:val="0"/>
                  <w:vAlign w:val="center"/>
                </w:tcPr>
                <w:p>
                  <w:pPr>
                    <w:jc w:val="center"/>
                    <w:rPr>
                      <w:rFonts w:hint="default"/>
                      <w:szCs w:val="21"/>
                      <w:highlight w:val="none"/>
                      <w:lang w:val="en-US" w:eastAsia="zh-CN"/>
                    </w:rPr>
                  </w:pPr>
                  <w:r>
                    <w:rPr>
                      <w:rFonts w:hint="eastAsia"/>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666" w:type="pct"/>
                  <w:noWrap w:val="0"/>
                  <w:vAlign w:val="center"/>
                </w:tcPr>
                <w:p>
                  <w:pPr>
                    <w:autoSpaceDE w:val="0"/>
                    <w:autoSpaceDN w:val="0"/>
                    <w:adjustRightInd w:val="0"/>
                    <w:jc w:val="center"/>
                    <w:rPr>
                      <w:rFonts w:ascii="宋体" w:hAnsi="宋体"/>
                      <w:szCs w:val="21"/>
                      <w:highlight w:val="none"/>
                    </w:rPr>
                  </w:pPr>
                  <w:r>
                    <w:rPr>
                      <w:rFonts w:ascii="宋体" w:hAnsi="宋体"/>
                      <w:szCs w:val="21"/>
                      <w:highlight w:val="none"/>
                    </w:rPr>
                    <w:t>辅助工程</w:t>
                  </w:r>
                </w:p>
              </w:tc>
              <w:tc>
                <w:tcPr>
                  <w:tcW w:w="500" w:type="pct"/>
                  <w:noWrap w:val="0"/>
                  <w:vAlign w:val="center"/>
                </w:tcPr>
                <w:p>
                  <w:pPr>
                    <w:pStyle w:val="74"/>
                    <w:widowControl w:val="0"/>
                    <w:snapToGrid w:val="0"/>
                    <w:spacing w:before="0" w:line="240" w:lineRule="auto"/>
                    <w:rPr>
                      <w:rFonts w:hint="default" w:hAnsi="宋体"/>
                      <w:caps/>
                      <w:szCs w:val="21"/>
                      <w:highlight w:val="none"/>
                      <w:lang w:val="zh-CN"/>
                    </w:rPr>
                  </w:pPr>
                  <w:r>
                    <w:rPr>
                      <w:rFonts w:hAnsi="宋体"/>
                      <w:caps/>
                      <w:szCs w:val="21"/>
                      <w:highlight w:val="none"/>
                    </w:rPr>
                    <w:t>烟囱</w:t>
                  </w:r>
                </w:p>
              </w:tc>
              <w:tc>
                <w:tcPr>
                  <w:tcW w:w="2871" w:type="pct"/>
                  <w:noWrap w:val="0"/>
                  <w:vAlign w:val="center"/>
                </w:tcPr>
                <w:p>
                  <w:pPr>
                    <w:pStyle w:val="74"/>
                    <w:widowControl w:val="0"/>
                    <w:snapToGrid w:val="0"/>
                    <w:spacing w:before="0" w:line="240" w:lineRule="auto"/>
                    <w:rPr>
                      <w:rFonts w:hint="default" w:hAnsi="宋体"/>
                      <w:caps/>
                      <w:szCs w:val="21"/>
                      <w:highlight w:val="none"/>
                    </w:rPr>
                  </w:pPr>
                  <w:r>
                    <w:rPr>
                      <w:rFonts w:hint="eastAsia" w:hAnsi="宋体"/>
                      <w:kern w:val="2"/>
                      <w:szCs w:val="21"/>
                      <w:highlight w:val="none"/>
                      <w:lang w:val="en-US" w:eastAsia="zh-CN"/>
                    </w:rPr>
                    <w:t>1</w:t>
                  </w:r>
                  <w:r>
                    <w:rPr>
                      <w:rFonts w:hAnsi="宋体"/>
                      <w:kern w:val="2"/>
                      <w:szCs w:val="21"/>
                      <w:highlight w:val="none"/>
                    </w:rPr>
                    <w:t>根，</w:t>
                  </w:r>
                  <w:r>
                    <w:rPr>
                      <w:rFonts w:hint="default" w:hAnsi="宋体"/>
                      <w:kern w:val="2"/>
                      <w:szCs w:val="21"/>
                      <w:highlight w:val="none"/>
                    </w:rPr>
                    <w:t>高</w:t>
                  </w:r>
                  <w:r>
                    <w:rPr>
                      <w:rFonts w:hint="eastAsia" w:hAnsi="宋体"/>
                      <w:kern w:val="2"/>
                      <w:szCs w:val="21"/>
                      <w:highlight w:val="none"/>
                      <w:lang w:val="en-US" w:eastAsia="zh-CN"/>
                    </w:rPr>
                    <w:t>35</w:t>
                  </w:r>
                  <w:r>
                    <w:rPr>
                      <w:rFonts w:hint="default" w:hAnsi="宋体"/>
                      <w:kern w:val="2"/>
                      <w:szCs w:val="21"/>
                      <w:highlight w:val="none"/>
                    </w:rPr>
                    <w:t>m、内径0.</w:t>
                  </w:r>
                  <w:r>
                    <w:rPr>
                      <w:rFonts w:hint="eastAsia" w:hAnsi="宋体"/>
                      <w:kern w:val="2"/>
                      <w:szCs w:val="21"/>
                      <w:highlight w:val="none"/>
                      <w:lang w:val="en-US" w:eastAsia="zh-CN"/>
                    </w:rPr>
                    <w:t>5</w:t>
                  </w:r>
                  <w:r>
                    <w:rPr>
                      <w:rFonts w:hint="default" w:hAnsi="宋体"/>
                      <w:kern w:val="2"/>
                      <w:szCs w:val="21"/>
                      <w:highlight w:val="none"/>
                    </w:rPr>
                    <w:t>m，钢管</w:t>
                  </w:r>
                </w:p>
              </w:tc>
              <w:tc>
                <w:tcPr>
                  <w:tcW w:w="961" w:type="pct"/>
                  <w:noWrap w:val="0"/>
                  <w:vAlign w:val="center"/>
                </w:tcPr>
                <w:p>
                  <w:pPr>
                    <w:pStyle w:val="74"/>
                    <w:widowControl w:val="0"/>
                    <w:snapToGrid w:val="0"/>
                    <w:spacing w:before="0" w:line="240" w:lineRule="auto"/>
                    <w:rPr>
                      <w:rFonts w:hint="default" w:hAnsi="宋体"/>
                      <w:kern w:val="2"/>
                      <w:szCs w:val="21"/>
                      <w:highlight w:val="none"/>
                    </w:rPr>
                  </w:pPr>
                  <w:r>
                    <w:rPr>
                      <w:rFonts w:hAnsi="宋体"/>
                      <w:kern w:val="2"/>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666"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储运工程</w:t>
                  </w:r>
                </w:p>
              </w:tc>
              <w:tc>
                <w:tcPr>
                  <w:tcW w:w="500" w:type="pct"/>
                  <w:noWrap w:val="0"/>
                  <w:vAlign w:val="center"/>
                </w:tcPr>
                <w:p>
                  <w:pPr>
                    <w:pStyle w:val="74"/>
                    <w:widowControl w:val="0"/>
                    <w:snapToGrid w:val="0"/>
                    <w:spacing w:before="0" w:line="240" w:lineRule="auto"/>
                    <w:rPr>
                      <w:rFonts w:hint="default" w:hAnsi="宋体"/>
                      <w:caps/>
                      <w:szCs w:val="21"/>
                      <w:highlight w:val="none"/>
                    </w:rPr>
                  </w:pPr>
                  <w:r>
                    <w:rPr>
                      <w:rFonts w:hAnsi="宋体"/>
                      <w:caps/>
                      <w:szCs w:val="21"/>
                      <w:highlight w:val="none"/>
                    </w:rPr>
                    <w:t>燃料及灰渣</w:t>
                  </w:r>
                </w:p>
              </w:tc>
              <w:tc>
                <w:tcPr>
                  <w:tcW w:w="2871" w:type="pct"/>
                  <w:noWrap w:val="0"/>
                  <w:vAlign w:val="center"/>
                </w:tcPr>
                <w:p>
                  <w:pPr>
                    <w:pStyle w:val="74"/>
                    <w:widowControl w:val="0"/>
                    <w:snapToGrid w:val="0"/>
                    <w:spacing w:before="0" w:line="240" w:lineRule="auto"/>
                    <w:rPr>
                      <w:rFonts w:hint="default" w:hAnsi="宋体"/>
                      <w:kern w:val="2"/>
                      <w:szCs w:val="21"/>
                      <w:highlight w:val="none"/>
                    </w:rPr>
                  </w:pPr>
                  <w:r>
                    <w:rPr>
                      <w:rFonts w:ascii="宋体" w:hAnsi="宋体" w:eastAsia="宋体"/>
                      <w:kern w:val="2"/>
                      <w:szCs w:val="21"/>
                      <w:highlight w:val="none"/>
                    </w:rPr>
                    <w:t>生物质袋装存放于</w:t>
                  </w:r>
                  <w:r>
                    <w:rPr>
                      <w:rFonts w:hint="eastAsia" w:hAnsi="宋体"/>
                      <w:kern w:val="2"/>
                      <w:szCs w:val="21"/>
                      <w:highlight w:val="none"/>
                      <w:lang w:val="en-US" w:eastAsia="zh-CN"/>
                    </w:rPr>
                    <w:t>锅炉房</w:t>
                  </w:r>
                  <w:r>
                    <w:rPr>
                      <w:rFonts w:ascii="宋体" w:hAnsi="宋体" w:eastAsia="宋体"/>
                      <w:kern w:val="2"/>
                      <w:szCs w:val="21"/>
                      <w:highlight w:val="none"/>
                    </w:rPr>
                    <w:t>；灰渣袋装存放于</w:t>
                  </w:r>
                  <w:r>
                    <w:rPr>
                      <w:rFonts w:hint="eastAsia" w:ascii="宋体" w:hAnsi="宋体" w:eastAsia="宋体"/>
                      <w:szCs w:val="21"/>
                      <w:highlight w:val="none"/>
                      <w:lang w:val="zh-CN"/>
                    </w:rPr>
                    <w:t>锅炉房</w:t>
                  </w:r>
                </w:p>
              </w:tc>
              <w:tc>
                <w:tcPr>
                  <w:tcW w:w="961" w:type="pct"/>
                  <w:noWrap w:val="0"/>
                  <w:vAlign w:val="center"/>
                </w:tcPr>
                <w:p>
                  <w:pPr>
                    <w:pStyle w:val="74"/>
                    <w:widowControl w:val="0"/>
                    <w:snapToGrid w:val="0"/>
                    <w:spacing w:before="0" w:line="240" w:lineRule="auto"/>
                    <w:rPr>
                      <w:rFonts w:hint="eastAsia" w:hAnsi="宋体" w:eastAsia="宋体"/>
                      <w:kern w:val="2"/>
                      <w:szCs w:val="21"/>
                      <w:highlight w:val="none"/>
                      <w:lang w:eastAsia="zh-CN"/>
                    </w:rPr>
                  </w:pPr>
                  <w:r>
                    <w:rPr>
                      <w:rFonts w:hint="eastAsia"/>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6" w:type="pct"/>
                  <w:vMerge w:val="restart"/>
                  <w:noWrap w:val="0"/>
                  <w:vAlign w:val="center"/>
                </w:tcPr>
                <w:p>
                  <w:pPr>
                    <w:autoSpaceDE w:val="0"/>
                    <w:autoSpaceDN w:val="0"/>
                    <w:adjustRightInd w:val="0"/>
                    <w:jc w:val="center"/>
                    <w:rPr>
                      <w:rFonts w:ascii="宋体" w:hAnsi="宋体"/>
                      <w:highlight w:val="none"/>
                    </w:rPr>
                  </w:pPr>
                  <w:r>
                    <w:rPr>
                      <w:rFonts w:ascii="宋体" w:hAnsi="宋体"/>
                      <w:highlight w:val="none"/>
                    </w:rPr>
                    <w:t>公用工程</w:t>
                  </w: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供水</w:t>
                  </w:r>
                </w:p>
              </w:tc>
              <w:tc>
                <w:tcPr>
                  <w:tcW w:w="2871" w:type="pct"/>
                  <w:noWrap w:val="0"/>
                  <w:vAlign w:val="center"/>
                </w:tcPr>
                <w:p>
                  <w:pPr>
                    <w:autoSpaceDE w:val="0"/>
                    <w:autoSpaceDN w:val="0"/>
                    <w:adjustRightInd w:val="0"/>
                    <w:jc w:val="center"/>
                    <w:rPr>
                      <w:rFonts w:ascii="宋体" w:hAnsi="宋体"/>
                      <w:szCs w:val="21"/>
                      <w:highlight w:val="none"/>
                      <w:lang w:val="zh-CN"/>
                    </w:rPr>
                  </w:pPr>
                  <w:r>
                    <w:rPr>
                      <w:rFonts w:hint="eastAsia" w:ascii="宋体" w:hAnsi="宋体"/>
                      <w:szCs w:val="21"/>
                      <w:highlight w:val="none"/>
                    </w:rPr>
                    <w:t>井水</w:t>
                  </w:r>
                </w:p>
              </w:tc>
              <w:tc>
                <w:tcPr>
                  <w:tcW w:w="96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6" w:type="pct"/>
                  <w:vMerge w:val="continue"/>
                  <w:noWrap w:val="0"/>
                  <w:vAlign w:val="center"/>
                </w:tcPr>
                <w:p>
                  <w:pPr>
                    <w:autoSpaceDE w:val="0"/>
                    <w:autoSpaceDN w:val="0"/>
                    <w:adjustRightInd w:val="0"/>
                    <w:jc w:val="center"/>
                    <w:rPr>
                      <w:rFonts w:ascii="宋体" w:hAnsi="宋体"/>
                      <w:highlight w:val="none"/>
                    </w:rPr>
                  </w:pP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排水</w:t>
                  </w:r>
                </w:p>
              </w:tc>
              <w:tc>
                <w:tcPr>
                  <w:tcW w:w="2871" w:type="pct"/>
                  <w:noWrap w:val="0"/>
                  <w:vAlign w:val="center"/>
                </w:tcPr>
                <w:p>
                  <w:pPr>
                    <w:autoSpaceDE w:val="0"/>
                    <w:autoSpaceDN w:val="0"/>
                    <w:adjustRightInd w:val="0"/>
                    <w:jc w:val="center"/>
                    <w:rPr>
                      <w:rFonts w:ascii="宋体" w:hAnsi="宋体"/>
                      <w:szCs w:val="21"/>
                      <w:highlight w:val="none"/>
                      <w:lang w:val="zh-CN"/>
                    </w:rPr>
                  </w:pPr>
                  <w:r>
                    <w:rPr>
                      <w:rFonts w:hint="eastAsia" w:ascii="宋体" w:hAnsi="宋体"/>
                      <w:szCs w:val="21"/>
                      <w:highlight w:val="none"/>
                      <w:lang w:val="zh-CN"/>
                    </w:rPr>
                    <w:t>本项目无新增员工不新</w:t>
                  </w:r>
                  <w:r>
                    <w:rPr>
                      <w:rFonts w:hint="eastAsia" w:ascii="宋体" w:hAnsi="宋体" w:eastAsia="宋体" w:cs="Times New Roman"/>
                      <w:szCs w:val="21"/>
                      <w:highlight w:val="none"/>
                      <w:lang w:val="zh-CN"/>
                    </w:rPr>
                    <w:t>增生活污水。</w:t>
                  </w:r>
                  <w:r>
                    <w:rPr>
                      <w:rFonts w:hint="eastAsia" w:ascii="宋体" w:hAnsi="宋体" w:eastAsia="宋体" w:cs="Times New Roman"/>
                      <w:szCs w:val="21"/>
                      <w:highlight w:val="none"/>
                      <w:lang w:val="en-US" w:eastAsia="zh-CN"/>
                    </w:rPr>
                    <w:t>锅炉废水和反冲洗废水排入厂区内现有化粪池</w:t>
                  </w:r>
                </w:p>
              </w:tc>
              <w:tc>
                <w:tcPr>
                  <w:tcW w:w="961" w:type="pct"/>
                  <w:noWrap w:val="0"/>
                  <w:vAlign w:val="center"/>
                </w:tcPr>
                <w:p>
                  <w:pPr>
                    <w:autoSpaceDE w:val="0"/>
                    <w:autoSpaceDN w:val="0"/>
                    <w:adjustRightInd w:val="0"/>
                    <w:jc w:val="center"/>
                    <w:rPr>
                      <w:rFonts w:hint="eastAsia" w:ascii="宋体" w:hAnsi="宋体" w:eastAsia="宋体"/>
                      <w:szCs w:val="21"/>
                      <w:highlight w:val="none"/>
                      <w:lang w:val="zh-CN" w:eastAsia="zh-CN"/>
                    </w:rPr>
                  </w:pPr>
                  <w:r>
                    <w:rPr>
                      <w:rFonts w:hint="eastAsia" w:ascii="宋体" w:hAnsi="宋体"/>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66" w:type="pct"/>
                  <w:vMerge w:val="continue"/>
                  <w:noWrap w:val="0"/>
                  <w:vAlign w:val="center"/>
                </w:tcPr>
                <w:p>
                  <w:pPr>
                    <w:autoSpaceDE w:val="0"/>
                    <w:autoSpaceDN w:val="0"/>
                    <w:adjustRightInd w:val="0"/>
                    <w:jc w:val="center"/>
                    <w:rPr>
                      <w:rFonts w:ascii="宋体" w:hAnsi="宋体"/>
                      <w:highlight w:val="yellow"/>
                    </w:rPr>
                  </w:pP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供电</w:t>
                  </w:r>
                </w:p>
              </w:tc>
              <w:tc>
                <w:tcPr>
                  <w:tcW w:w="287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国家</w:t>
                  </w:r>
                  <w:r>
                    <w:rPr>
                      <w:rFonts w:ascii="宋体" w:hAnsi="宋体"/>
                      <w:szCs w:val="21"/>
                      <w:highlight w:val="none"/>
                    </w:rPr>
                    <w:t>供电系统</w:t>
                  </w:r>
                  <w:r>
                    <w:rPr>
                      <w:rFonts w:hint="eastAsia" w:ascii="宋体" w:hAnsi="宋体"/>
                      <w:szCs w:val="21"/>
                      <w:highlight w:val="none"/>
                      <w:lang w:val="en-US" w:eastAsia="zh-CN"/>
                    </w:rPr>
                    <w:t>临时用电</w:t>
                  </w:r>
                  <w:r>
                    <w:rPr>
                      <w:rFonts w:ascii="宋体" w:hAnsi="宋体"/>
                      <w:szCs w:val="21"/>
                      <w:highlight w:val="none"/>
                    </w:rPr>
                    <w:t>供给</w:t>
                  </w:r>
                </w:p>
              </w:tc>
              <w:tc>
                <w:tcPr>
                  <w:tcW w:w="96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6" w:type="pct"/>
                  <w:vMerge w:val="restar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环保工程</w:t>
                  </w: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废水</w:t>
                  </w:r>
                </w:p>
              </w:tc>
              <w:tc>
                <w:tcPr>
                  <w:tcW w:w="2871" w:type="pct"/>
                  <w:noWrap w:val="0"/>
                  <w:vAlign w:val="center"/>
                </w:tcPr>
                <w:p>
                  <w:pPr>
                    <w:autoSpaceDE w:val="0"/>
                    <w:autoSpaceDN w:val="0"/>
                    <w:adjustRightInd w:val="0"/>
                    <w:jc w:val="center"/>
                    <w:rPr>
                      <w:rFonts w:ascii="宋体" w:hAnsi="宋体"/>
                      <w:szCs w:val="21"/>
                      <w:highlight w:val="none"/>
                    </w:rPr>
                  </w:pPr>
                  <w:r>
                    <w:rPr>
                      <w:rFonts w:hint="eastAsia"/>
                      <w:szCs w:val="21"/>
                      <w:highlight w:val="none"/>
                    </w:rPr>
                    <w:t>项目锅炉排污水排入防渗旱厕。</w:t>
                  </w:r>
                </w:p>
              </w:tc>
              <w:tc>
                <w:tcPr>
                  <w:tcW w:w="96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6" w:type="pct"/>
                  <w:vMerge w:val="continue"/>
                  <w:noWrap w:val="0"/>
                  <w:vAlign w:val="center"/>
                </w:tcPr>
                <w:p>
                  <w:pPr>
                    <w:autoSpaceDE w:val="0"/>
                    <w:autoSpaceDN w:val="0"/>
                    <w:adjustRightInd w:val="0"/>
                    <w:jc w:val="center"/>
                    <w:rPr>
                      <w:rFonts w:ascii="宋体" w:hAnsi="宋体"/>
                      <w:szCs w:val="21"/>
                      <w:highlight w:val="none"/>
                    </w:rPr>
                  </w:pP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废气</w:t>
                  </w:r>
                </w:p>
              </w:tc>
              <w:tc>
                <w:tcPr>
                  <w:tcW w:w="2871" w:type="pct"/>
                  <w:noWrap w:val="0"/>
                  <w:vAlign w:val="center"/>
                </w:tcPr>
                <w:p>
                  <w:pPr>
                    <w:autoSpaceDE w:val="0"/>
                    <w:autoSpaceDN w:val="0"/>
                    <w:adjustRightInd w:val="0"/>
                    <w:jc w:val="center"/>
                    <w:rPr>
                      <w:highlight w:val="none"/>
                    </w:rPr>
                  </w:pPr>
                  <w:r>
                    <w:rPr>
                      <w:rFonts w:hint="eastAsia" w:ascii="宋体" w:hAnsi="宋体"/>
                      <w:szCs w:val="21"/>
                      <w:highlight w:val="none"/>
                    </w:rPr>
                    <w:t>布袋除尘器+</w:t>
                  </w:r>
                  <w:r>
                    <w:rPr>
                      <w:rFonts w:hint="eastAsia" w:ascii="宋体" w:hAnsi="宋体"/>
                      <w:szCs w:val="21"/>
                      <w:highlight w:val="none"/>
                      <w:lang w:val="en-US" w:eastAsia="zh-CN"/>
                    </w:rPr>
                    <w:t>35</w:t>
                  </w:r>
                  <w:r>
                    <w:rPr>
                      <w:rFonts w:hint="eastAsia" w:ascii="宋体" w:hAnsi="宋体"/>
                      <w:szCs w:val="21"/>
                      <w:highlight w:val="none"/>
                    </w:rPr>
                    <w:t>m高烟囱</w:t>
                  </w:r>
                </w:p>
              </w:tc>
              <w:tc>
                <w:tcPr>
                  <w:tcW w:w="96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6" w:type="pct"/>
                  <w:vMerge w:val="continue"/>
                  <w:noWrap w:val="0"/>
                  <w:vAlign w:val="center"/>
                </w:tcPr>
                <w:p>
                  <w:pPr>
                    <w:autoSpaceDE w:val="0"/>
                    <w:autoSpaceDN w:val="0"/>
                    <w:adjustRightInd w:val="0"/>
                    <w:jc w:val="center"/>
                    <w:rPr>
                      <w:rFonts w:ascii="宋体" w:hAnsi="宋体"/>
                      <w:szCs w:val="21"/>
                      <w:highlight w:val="none"/>
                    </w:rPr>
                  </w:pPr>
                </w:p>
              </w:tc>
              <w:tc>
                <w:tcPr>
                  <w:tcW w:w="500" w:type="pct"/>
                  <w:noWrap w:val="0"/>
                  <w:vAlign w:val="center"/>
                </w:tcPr>
                <w:p>
                  <w:pPr>
                    <w:autoSpaceDE w:val="0"/>
                    <w:autoSpaceDN w:val="0"/>
                    <w:adjustRightInd w:val="0"/>
                    <w:jc w:val="center"/>
                    <w:rPr>
                      <w:rFonts w:ascii="宋体" w:hAnsi="宋体"/>
                      <w:szCs w:val="21"/>
                      <w:highlight w:val="none"/>
                      <w:lang w:val="zh-CN"/>
                    </w:rPr>
                  </w:pPr>
                  <w:r>
                    <w:rPr>
                      <w:rFonts w:ascii="宋体" w:hAnsi="宋体"/>
                      <w:szCs w:val="21"/>
                      <w:highlight w:val="none"/>
                      <w:lang w:val="zh-CN"/>
                    </w:rPr>
                    <w:t>噪声</w:t>
                  </w:r>
                </w:p>
              </w:tc>
              <w:tc>
                <w:tcPr>
                  <w:tcW w:w="2871" w:type="pct"/>
                  <w:noWrap w:val="0"/>
                  <w:vAlign w:val="center"/>
                </w:tcPr>
                <w:p>
                  <w:pPr>
                    <w:autoSpaceDE w:val="0"/>
                    <w:autoSpaceDN w:val="0"/>
                    <w:adjustRightInd w:val="0"/>
                    <w:jc w:val="center"/>
                    <w:rPr>
                      <w:rFonts w:ascii="宋体" w:hAnsi="宋体"/>
                      <w:szCs w:val="21"/>
                      <w:highlight w:val="none"/>
                    </w:rPr>
                  </w:pPr>
                  <w:r>
                    <w:rPr>
                      <w:rFonts w:ascii="宋体" w:hAnsi="宋体"/>
                      <w:szCs w:val="21"/>
                      <w:highlight w:val="none"/>
                    </w:rPr>
                    <w:t>减震、消声</w:t>
                  </w:r>
                </w:p>
              </w:tc>
              <w:tc>
                <w:tcPr>
                  <w:tcW w:w="961" w:type="pct"/>
                  <w:noWrap w:val="0"/>
                  <w:vAlign w:val="center"/>
                </w:tcPr>
                <w:p>
                  <w:pPr>
                    <w:autoSpaceDE w:val="0"/>
                    <w:autoSpaceDN w:val="0"/>
                    <w:adjustRightInd w:val="0"/>
                    <w:jc w:val="center"/>
                    <w:rPr>
                      <w:rFonts w:ascii="宋体" w:hAnsi="宋体"/>
                      <w:szCs w:val="21"/>
                      <w:highlight w:val="none"/>
                    </w:rPr>
                  </w:pPr>
                  <w:r>
                    <w:rPr>
                      <w:rFonts w:hint="eastAsia" w:ascii="宋体" w:hAnsi="宋体"/>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6" w:type="pct"/>
                  <w:vMerge w:val="continue"/>
                  <w:noWrap w:val="0"/>
                  <w:vAlign w:val="center"/>
                </w:tcPr>
                <w:p>
                  <w:pPr>
                    <w:autoSpaceDE w:val="0"/>
                    <w:autoSpaceDN w:val="0"/>
                    <w:adjustRightInd w:val="0"/>
                    <w:jc w:val="center"/>
                    <w:rPr>
                      <w:rFonts w:ascii="宋体" w:hAnsi="宋体"/>
                      <w:szCs w:val="21"/>
                      <w:highlight w:val="none"/>
                      <w:u w:val="none"/>
                    </w:rPr>
                  </w:pPr>
                </w:p>
              </w:tc>
              <w:tc>
                <w:tcPr>
                  <w:tcW w:w="500" w:type="pct"/>
                  <w:noWrap w:val="0"/>
                  <w:vAlign w:val="center"/>
                </w:tcPr>
                <w:p>
                  <w:pPr>
                    <w:autoSpaceDE w:val="0"/>
                    <w:autoSpaceDN w:val="0"/>
                    <w:adjustRightInd w:val="0"/>
                    <w:jc w:val="center"/>
                    <w:rPr>
                      <w:rFonts w:ascii="宋体" w:hAnsi="宋体"/>
                      <w:szCs w:val="21"/>
                      <w:highlight w:val="none"/>
                      <w:u w:val="none"/>
                      <w:lang w:val="zh-CN"/>
                    </w:rPr>
                  </w:pPr>
                  <w:r>
                    <w:rPr>
                      <w:rFonts w:ascii="宋体" w:hAnsi="宋体"/>
                      <w:szCs w:val="21"/>
                      <w:highlight w:val="none"/>
                      <w:u w:val="none"/>
                      <w:lang w:val="zh-CN"/>
                    </w:rPr>
                    <w:t>固废</w:t>
                  </w:r>
                </w:p>
              </w:tc>
              <w:tc>
                <w:tcPr>
                  <w:tcW w:w="2871" w:type="pct"/>
                  <w:noWrap w:val="0"/>
                  <w:vAlign w:val="center"/>
                </w:tcPr>
                <w:p>
                  <w:pPr>
                    <w:autoSpaceDE w:val="0"/>
                    <w:autoSpaceDN w:val="0"/>
                    <w:adjustRightInd w:val="0"/>
                    <w:jc w:val="center"/>
                    <w:rPr>
                      <w:rFonts w:hint="eastAsia" w:ascii="宋体" w:hAnsi="宋体" w:eastAsia="宋体"/>
                      <w:szCs w:val="21"/>
                      <w:highlight w:val="none"/>
                      <w:u w:val="none"/>
                      <w:lang w:eastAsia="zh-CN"/>
                    </w:rPr>
                  </w:pPr>
                  <w:r>
                    <w:rPr>
                      <w:rFonts w:hint="eastAsia" w:ascii="宋体" w:hAnsi="宋体"/>
                      <w:szCs w:val="21"/>
                      <w:highlight w:val="none"/>
                      <w:u w:val="none"/>
                    </w:rPr>
                    <w:t>一般固废：</w:t>
                  </w:r>
                  <w:r>
                    <w:rPr>
                      <w:rFonts w:hint="eastAsia"/>
                      <w:szCs w:val="21"/>
                      <w:highlight w:val="none"/>
                      <w:u w:val="none"/>
                    </w:rPr>
                    <w:t>本项目不新增员工，无生活垃圾产生；</w:t>
                  </w:r>
                  <w:r>
                    <w:rPr>
                      <w:rFonts w:hint="eastAsia" w:ascii="宋体" w:hAnsi="宋体"/>
                      <w:szCs w:val="21"/>
                      <w:highlight w:val="none"/>
                      <w:u w:val="none"/>
                    </w:rPr>
                    <w:t>灰渣及除尘灰暂存锅炉房内，</w:t>
                  </w:r>
                  <w:r>
                    <w:rPr>
                      <w:rFonts w:hint="eastAsia" w:ascii="宋体" w:hAnsi="宋体" w:eastAsia="宋体" w:cs="宋体"/>
                      <w:bCs/>
                      <w:sz w:val="21"/>
                      <w:szCs w:val="21"/>
                      <w:highlight w:val="none"/>
                      <w:u w:val="single"/>
                      <w:lang w:val="zh-CN"/>
                    </w:rPr>
                    <w:t>外售附近村民做肥料</w:t>
                  </w:r>
                  <w:r>
                    <w:rPr>
                      <w:rFonts w:hint="eastAsia" w:ascii="宋体" w:hAnsi="宋体"/>
                      <w:szCs w:val="21"/>
                      <w:highlight w:val="none"/>
                      <w:u w:val="none"/>
                    </w:rPr>
                    <w:t>；废弃布袋外售专业回收公司</w:t>
                  </w:r>
                </w:p>
              </w:tc>
              <w:tc>
                <w:tcPr>
                  <w:tcW w:w="961" w:type="pct"/>
                  <w:noWrap w:val="0"/>
                  <w:vAlign w:val="center"/>
                </w:tcPr>
                <w:p>
                  <w:pPr>
                    <w:autoSpaceDE w:val="0"/>
                    <w:autoSpaceDN w:val="0"/>
                    <w:adjustRightInd w:val="0"/>
                    <w:jc w:val="center"/>
                    <w:rPr>
                      <w:rFonts w:ascii="宋体" w:hAnsi="宋体"/>
                      <w:szCs w:val="21"/>
                      <w:highlight w:val="none"/>
                      <w:u w:val="none"/>
                    </w:rPr>
                  </w:pPr>
                  <w:r>
                    <w:rPr>
                      <w:rFonts w:hint="eastAsia" w:ascii="宋体" w:hAnsi="宋体"/>
                      <w:szCs w:val="21"/>
                      <w:highlight w:val="none"/>
                      <w:u w:val="none"/>
                    </w:rPr>
                    <w:t>新建</w:t>
                  </w:r>
                </w:p>
              </w:tc>
            </w:tr>
          </w:tbl>
          <w:p>
            <w:pPr>
              <w:autoSpaceDE w:val="0"/>
              <w:autoSpaceDN w:val="0"/>
              <w:adjustRightInd w:val="0"/>
              <w:snapToGrid w:val="0"/>
              <w:spacing w:line="360" w:lineRule="auto"/>
              <w:ind w:firstLine="482" w:firstLineChars="200"/>
              <w:jc w:val="left"/>
              <w:rPr>
                <w:rFonts w:hint="eastAsia" w:ascii="宋体" w:hAnsi="宋体" w:cs="宋体"/>
                <w:b/>
                <w:bCs/>
                <w:kern w:val="0"/>
                <w:sz w:val="24"/>
                <w:highlight w:val="none"/>
              </w:rPr>
            </w:pPr>
          </w:p>
          <w:p>
            <w:pPr>
              <w:pStyle w:val="22"/>
              <w:rPr>
                <w:rFonts w:hint="eastAsia"/>
                <w:highlight w:val="none"/>
              </w:rPr>
            </w:pPr>
          </w:p>
          <w:p>
            <w:pPr>
              <w:autoSpaceDE w:val="0"/>
              <w:autoSpaceDN w:val="0"/>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bCs/>
                <w:kern w:val="0"/>
                <w:sz w:val="24"/>
                <w:highlight w:val="none"/>
              </w:rPr>
              <w:t>2、主要生产设备</w:t>
            </w:r>
          </w:p>
          <w:p>
            <w:pPr>
              <w:autoSpaceDE w:val="0"/>
              <w:autoSpaceDN w:val="0"/>
              <w:adjustRightInd w:val="0"/>
              <w:snapToGrid w:val="0"/>
              <w:spacing w:line="360" w:lineRule="auto"/>
              <w:ind w:firstLine="480" w:firstLineChars="200"/>
              <w:jc w:val="left"/>
              <w:rPr>
                <w:rFonts w:hint="eastAsia" w:ascii="宋体" w:hAnsi="宋体" w:cs="宋体"/>
                <w:b/>
                <w:bCs/>
                <w:kern w:val="0"/>
                <w:sz w:val="24"/>
                <w:highlight w:val="none"/>
              </w:rPr>
            </w:pPr>
            <w:r>
              <w:rPr>
                <w:rFonts w:hint="eastAsia" w:ascii="宋体" w:hAnsi="宋体" w:cs="宋体"/>
                <w:kern w:val="0"/>
                <w:sz w:val="24"/>
                <w:highlight w:val="none"/>
              </w:rPr>
              <w:t>项目主要生产设备详见表2-2。</w:t>
            </w:r>
          </w:p>
          <w:p>
            <w:pPr>
              <w:autoSpaceDE w:val="0"/>
              <w:autoSpaceDN w:val="0"/>
              <w:adjustRightInd w:val="0"/>
              <w:snapToGrid w:val="0"/>
              <w:ind w:firstLine="422" w:firstLineChars="200"/>
              <w:jc w:val="center"/>
              <w:rPr>
                <w:rFonts w:hint="eastAsia" w:ascii="宋体" w:hAnsi="宋体" w:cs="宋体"/>
                <w:b/>
                <w:bCs/>
                <w:kern w:val="0"/>
                <w:szCs w:val="21"/>
                <w:highlight w:val="none"/>
                <w:u w:val="single"/>
              </w:rPr>
            </w:pPr>
            <w:r>
              <w:rPr>
                <w:rFonts w:hint="eastAsia" w:ascii="宋体" w:hAnsi="宋体" w:cs="宋体"/>
                <w:b/>
                <w:bCs/>
                <w:kern w:val="0"/>
                <w:szCs w:val="21"/>
                <w:highlight w:val="none"/>
                <w:u w:val="single"/>
              </w:rPr>
              <w:t>表2-2   主要生产设备一览表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562"/>
              <w:gridCol w:w="996"/>
              <w:gridCol w:w="855"/>
              <w:gridCol w:w="3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序号</w:t>
                  </w:r>
                </w:p>
              </w:tc>
              <w:tc>
                <w:tcPr>
                  <w:tcW w:w="1582" w:type="pct"/>
                  <w:noWrap w:val="0"/>
                  <w:vAlign w:val="top"/>
                </w:tcPr>
                <w:p>
                  <w:pPr>
                    <w:pStyle w:val="76"/>
                    <w:rPr>
                      <w:rFonts w:ascii="宋体" w:hAnsi="宋体"/>
                      <w:sz w:val="21"/>
                      <w:highlight w:val="none"/>
                    </w:rPr>
                  </w:pPr>
                  <w:r>
                    <w:rPr>
                      <w:rFonts w:hint="eastAsia" w:ascii="宋体" w:hAnsi="宋体"/>
                      <w:sz w:val="21"/>
                      <w:highlight w:val="none"/>
                    </w:rPr>
                    <w:t>设备名称</w:t>
                  </w:r>
                </w:p>
              </w:tc>
              <w:tc>
                <w:tcPr>
                  <w:tcW w:w="615" w:type="pct"/>
                  <w:noWrap w:val="0"/>
                  <w:vAlign w:val="top"/>
                </w:tcPr>
                <w:p>
                  <w:pPr>
                    <w:pStyle w:val="76"/>
                    <w:rPr>
                      <w:rFonts w:ascii="宋体" w:hAnsi="宋体"/>
                      <w:sz w:val="21"/>
                      <w:highlight w:val="none"/>
                    </w:rPr>
                  </w:pPr>
                  <w:r>
                    <w:rPr>
                      <w:rFonts w:hint="eastAsia" w:ascii="宋体" w:hAnsi="宋体"/>
                      <w:sz w:val="21"/>
                      <w:highlight w:val="none"/>
                    </w:rPr>
                    <w:t>数量</w:t>
                  </w:r>
                </w:p>
              </w:tc>
              <w:tc>
                <w:tcPr>
                  <w:tcW w:w="528" w:type="pct"/>
                  <w:noWrap w:val="0"/>
                  <w:vAlign w:val="top"/>
                </w:tcPr>
                <w:p>
                  <w:pPr>
                    <w:pStyle w:val="76"/>
                    <w:rPr>
                      <w:rFonts w:ascii="宋体" w:hAnsi="宋体"/>
                      <w:sz w:val="21"/>
                      <w:highlight w:val="none"/>
                    </w:rPr>
                  </w:pPr>
                  <w:r>
                    <w:rPr>
                      <w:rFonts w:hint="eastAsia" w:ascii="宋体" w:hAnsi="宋体"/>
                      <w:sz w:val="21"/>
                      <w:highlight w:val="none"/>
                    </w:rPr>
                    <w:t>单位</w:t>
                  </w:r>
                </w:p>
              </w:tc>
              <w:tc>
                <w:tcPr>
                  <w:tcW w:w="1855" w:type="pct"/>
                  <w:noWrap w:val="0"/>
                  <w:vAlign w:val="top"/>
                </w:tcPr>
                <w:p>
                  <w:pPr>
                    <w:pStyle w:val="76"/>
                    <w:rPr>
                      <w:rFonts w:ascii="宋体" w:hAnsi="宋体"/>
                      <w:sz w:val="21"/>
                      <w:highlight w:val="none"/>
                    </w:rPr>
                  </w:pPr>
                  <w:r>
                    <w:rPr>
                      <w:rFonts w:hint="eastAsia" w:ascii="宋体" w:hAnsi="宋体"/>
                      <w:sz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1</w:t>
                  </w:r>
                </w:p>
              </w:tc>
              <w:tc>
                <w:tcPr>
                  <w:tcW w:w="1582" w:type="pct"/>
                  <w:noWrap w:val="0"/>
                  <w:vAlign w:val="center"/>
                </w:tcPr>
                <w:p>
                  <w:pPr>
                    <w:pStyle w:val="76"/>
                    <w:rPr>
                      <w:rFonts w:ascii="宋体" w:hAnsi="宋体"/>
                      <w:sz w:val="21"/>
                      <w:highlight w:val="none"/>
                    </w:rPr>
                  </w:pPr>
                  <w:r>
                    <w:rPr>
                      <w:rFonts w:hint="eastAsia" w:ascii="宋体" w:hAnsi="宋体"/>
                      <w:sz w:val="21"/>
                      <w:highlight w:val="none"/>
                    </w:rPr>
                    <w:t>锅炉主机</w:t>
                  </w:r>
                </w:p>
              </w:tc>
              <w:tc>
                <w:tcPr>
                  <w:tcW w:w="615" w:type="pct"/>
                  <w:noWrap w:val="0"/>
                  <w:vAlign w:val="top"/>
                </w:tcPr>
                <w:p>
                  <w:pPr>
                    <w:pStyle w:val="76"/>
                    <w:rPr>
                      <w:rFonts w:hint="eastAsia" w:ascii="宋体" w:hAnsi="宋体" w:eastAsia="宋体"/>
                      <w:sz w:val="21"/>
                      <w:highlight w:val="none"/>
                      <w:lang w:eastAsia="zh-CN"/>
                    </w:rPr>
                  </w:pPr>
                  <w:r>
                    <w:rPr>
                      <w:rFonts w:hint="eastAsia" w:ascii="宋体" w:hAnsi="宋体"/>
                      <w:sz w:val="21"/>
                      <w:highlight w:val="none"/>
                      <w:lang w:val="en-US" w:eastAsia="zh-CN"/>
                    </w:rPr>
                    <w:t>1</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top"/>
                </w:tcPr>
                <w:p>
                  <w:pPr>
                    <w:pStyle w:val="76"/>
                    <w:rPr>
                      <w:rFonts w:ascii="宋体" w:hAnsi="宋体"/>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2</w:t>
                  </w:r>
                </w:p>
              </w:tc>
              <w:tc>
                <w:tcPr>
                  <w:tcW w:w="1582" w:type="pct"/>
                  <w:noWrap w:val="0"/>
                  <w:vAlign w:val="center"/>
                </w:tcPr>
                <w:p>
                  <w:pPr>
                    <w:pStyle w:val="76"/>
                    <w:rPr>
                      <w:rFonts w:ascii="宋体" w:hAnsi="宋体"/>
                      <w:sz w:val="21"/>
                      <w:highlight w:val="none"/>
                    </w:rPr>
                  </w:pPr>
                  <w:r>
                    <w:rPr>
                      <w:rFonts w:hint="eastAsia" w:ascii="宋体" w:hAnsi="宋体"/>
                      <w:sz w:val="21"/>
                      <w:highlight w:val="none"/>
                    </w:rPr>
                    <w:t>补水泵</w:t>
                  </w:r>
                </w:p>
              </w:tc>
              <w:tc>
                <w:tcPr>
                  <w:tcW w:w="615" w:type="pct"/>
                  <w:noWrap w:val="0"/>
                  <w:vAlign w:val="top"/>
                </w:tcPr>
                <w:p>
                  <w:pPr>
                    <w:pStyle w:val="76"/>
                    <w:rPr>
                      <w:rFonts w:ascii="宋体" w:hAnsi="宋体"/>
                      <w:sz w:val="21"/>
                      <w:highlight w:val="none"/>
                    </w:rPr>
                  </w:pPr>
                  <w:r>
                    <w:rPr>
                      <w:rFonts w:hint="eastAsia" w:ascii="宋体" w:hAnsi="宋体"/>
                      <w:sz w:val="21"/>
                      <w:highlight w:val="none"/>
                    </w:rPr>
                    <w:t>2</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top"/>
                </w:tcPr>
                <w:p>
                  <w:pPr>
                    <w:pStyle w:val="76"/>
                    <w:rPr>
                      <w:rFonts w:ascii="宋体" w:hAnsi="宋体"/>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3</w:t>
                  </w:r>
                </w:p>
              </w:tc>
              <w:tc>
                <w:tcPr>
                  <w:tcW w:w="1582" w:type="pct"/>
                  <w:noWrap w:val="0"/>
                  <w:vAlign w:val="center"/>
                </w:tcPr>
                <w:p>
                  <w:pPr>
                    <w:pStyle w:val="76"/>
                    <w:rPr>
                      <w:rFonts w:ascii="宋体" w:hAnsi="宋体"/>
                      <w:sz w:val="21"/>
                      <w:highlight w:val="none"/>
                    </w:rPr>
                  </w:pPr>
                  <w:r>
                    <w:rPr>
                      <w:rFonts w:hint="eastAsia" w:ascii="宋体" w:hAnsi="宋体"/>
                      <w:sz w:val="21"/>
                      <w:highlight w:val="none"/>
                    </w:rPr>
                    <w:t>布袋除尘器</w:t>
                  </w:r>
                </w:p>
              </w:tc>
              <w:tc>
                <w:tcPr>
                  <w:tcW w:w="615" w:type="pct"/>
                  <w:noWrap w:val="0"/>
                  <w:vAlign w:val="top"/>
                </w:tcPr>
                <w:p>
                  <w:pPr>
                    <w:pStyle w:val="76"/>
                    <w:rPr>
                      <w:rFonts w:hint="eastAsia" w:ascii="宋体" w:hAnsi="宋体" w:eastAsia="宋体"/>
                      <w:sz w:val="21"/>
                      <w:highlight w:val="none"/>
                      <w:lang w:eastAsia="zh-CN"/>
                    </w:rPr>
                  </w:pPr>
                  <w:r>
                    <w:rPr>
                      <w:rFonts w:hint="eastAsia" w:ascii="宋体" w:hAnsi="宋体"/>
                      <w:sz w:val="21"/>
                      <w:highlight w:val="none"/>
                      <w:lang w:val="en-US" w:eastAsia="zh-CN"/>
                    </w:rPr>
                    <w:t>1</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top"/>
                </w:tcPr>
                <w:p>
                  <w:pPr>
                    <w:pStyle w:val="76"/>
                    <w:rPr>
                      <w:rFonts w:ascii="宋体" w:hAnsi="宋体"/>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4</w:t>
                  </w:r>
                </w:p>
              </w:tc>
              <w:tc>
                <w:tcPr>
                  <w:tcW w:w="1582" w:type="pct"/>
                  <w:noWrap w:val="0"/>
                  <w:vAlign w:val="center"/>
                </w:tcPr>
                <w:p>
                  <w:pPr>
                    <w:pStyle w:val="76"/>
                    <w:rPr>
                      <w:rFonts w:ascii="宋体" w:hAnsi="宋体"/>
                      <w:sz w:val="21"/>
                      <w:highlight w:val="none"/>
                    </w:rPr>
                  </w:pPr>
                  <w:r>
                    <w:rPr>
                      <w:rFonts w:hint="eastAsia" w:ascii="宋体" w:hAnsi="宋体"/>
                      <w:sz w:val="21"/>
                      <w:highlight w:val="none"/>
                    </w:rPr>
                    <w:t>鼓风机</w:t>
                  </w:r>
                </w:p>
              </w:tc>
              <w:tc>
                <w:tcPr>
                  <w:tcW w:w="615" w:type="pct"/>
                  <w:noWrap w:val="0"/>
                  <w:vAlign w:val="top"/>
                </w:tcPr>
                <w:p>
                  <w:pPr>
                    <w:pStyle w:val="76"/>
                    <w:rPr>
                      <w:rFonts w:hint="eastAsia" w:ascii="宋体" w:hAnsi="宋体" w:eastAsia="宋体"/>
                      <w:sz w:val="21"/>
                      <w:highlight w:val="none"/>
                      <w:lang w:val="en-US" w:eastAsia="zh-CN"/>
                    </w:rPr>
                  </w:pPr>
                  <w:r>
                    <w:rPr>
                      <w:rFonts w:hint="eastAsia" w:ascii="宋体" w:hAnsi="宋体"/>
                      <w:sz w:val="21"/>
                      <w:highlight w:val="none"/>
                      <w:lang w:val="en-US" w:eastAsia="zh-CN"/>
                    </w:rPr>
                    <w:t>1</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top"/>
                </w:tcPr>
                <w:p>
                  <w:pPr>
                    <w:pStyle w:val="76"/>
                    <w:rPr>
                      <w:rFonts w:ascii="宋体" w:hAnsi="宋体"/>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ascii="宋体" w:hAnsi="宋体"/>
                      <w:sz w:val="21"/>
                      <w:highlight w:val="none"/>
                    </w:rPr>
                  </w:pPr>
                  <w:r>
                    <w:rPr>
                      <w:rFonts w:hint="eastAsia" w:ascii="宋体" w:hAnsi="宋体"/>
                      <w:sz w:val="21"/>
                      <w:highlight w:val="none"/>
                    </w:rPr>
                    <w:t>5</w:t>
                  </w:r>
                </w:p>
              </w:tc>
              <w:tc>
                <w:tcPr>
                  <w:tcW w:w="1582" w:type="pct"/>
                  <w:noWrap w:val="0"/>
                  <w:vAlign w:val="center"/>
                </w:tcPr>
                <w:p>
                  <w:pPr>
                    <w:pStyle w:val="76"/>
                    <w:rPr>
                      <w:rFonts w:ascii="宋体" w:hAnsi="宋体"/>
                      <w:sz w:val="21"/>
                      <w:highlight w:val="none"/>
                    </w:rPr>
                  </w:pPr>
                  <w:r>
                    <w:rPr>
                      <w:rFonts w:hint="eastAsia" w:ascii="宋体" w:hAnsi="宋体"/>
                      <w:sz w:val="21"/>
                      <w:highlight w:val="none"/>
                    </w:rPr>
                    <w:t>引风机</w:t>
                  </w:r>
                </w:p>
              </w:tc>
              <w:tc>
                <w:tcPr>
                  <w:tcW w:w="615" w:type="pct"/>
                  <w:noWrap w:val="0"/>
                  <w:vAlign w:val="top"/>
                </w:tcPr>
                <w:p>
                  <w:pPr>
                    <w:pStyle w:val="76"/>
                    <w:rPr>
                      <w:rFonts w:hint="eastAsia" w:ascii="宋体" w:hAnsi="宋体" w:eastAsia="宋体"/>
                      <w:sz w:val="21"/>
                      <w:highlight w:val="none"/>
                      <w:lang w:val="en-US" w:eastAsia="zh-CN"/>
                    </w:rPr>
                  </w:pPr>
                  <w:r>
                    <w:rPr>
                      <w:rFonts w:hint="eastAsia" w:ascii="宋体" w:hAnsi="宋体"/>
                      <w:sz w:val="21"/>
                      <w:highlight w:val="none"/>
                      <w:lang w:val="en-US" w:eastAsia="zh-CN"/>
                    </w:rPr>
                    <w:t>1</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top"/>
                </w:tcPr>
                <w:p>
                  <w:pPr>
                    <w:pStyle w:val="76"/>
                    <w:rPr>
                      <w:rFonts w:ascii="宋体" w:hAnsi="宋体"/>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pPr>
                    <w:pStyle w:val="76"/>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6</w:t>
                  </w:r>
                </w:p>
              </w:tc>
              <w:tc>
                <w:tcPr>
                  <w:tcW w:w="1582" w:type="pct"/>
                  <w:noWrap w:val="0"/>
                  <w:vAlign w:val="center"/>
                </w:tcPr>
                <w:p>
                  <w:pPr>
                    <w:pStyle w:val="76"/>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环氧树脂罐</w:t>
                  </w:r>
                </w:p>
              </w:tc>
              <w:tc>
                <w:tcPr>
                  <w:tcW w:w="615" w:type="pct"/>
                  <w:noWrap w:val="0"/>
                  <w:vAlign w:val="top"/>
                </w:tcPr>
                <w:p>
                  <w:pPr>
                    <w:pStyle w:val="76"/>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1</w:t>
                  </w:r>
                </w:p>
              </w:tc>
              <w:tc>
                <w:tcPr>
                  <w:tcW w:w="528" w:type="pct"/>
                  <w:noWrap w:val="0"/>
                  <w:vAlign w:val="top"/>
                </w:tcPr>
                <w:p>
                  <w:pPr>
                    <w:pStyle w:val="76"/>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rPr>
                    <w:t>台</w:t>
                  </w:r>
                </w:p>
              </w:tc>
              <w:tc>
                <w:tcPr>
                  <w:tcW w:w="1855" w:type="pct"/>
                  <w:noWrap w:val="0"/>
                  <w:vAlign w:val="top"/>
                </w:tcPr>
                <w:p>
                  <w:pPr>
                    <w:pStyle w:val="76"/>
                    <w:rPr>
                      <w:rFonts w:hint="eastAsia" w:ascii="宋体" w:hAnsi="宋体" w:eastAsia="宋体" w:cs="Times New Roman"/>
                      <w:sz w:val="21"/>
                      <w:highlight w:val="none"/>
                      <w:lang w:val="en-US" w:eastAsia="zh-CN"/>
                    </w:rPr>
                  </w:pPr>
                  <w:r>
                    <w:rPr>
                      <w:rFonts w:hint="eastAsia" w:ascii="宋体" w:hAnsi="宋体" w:eastAsia="宋体" w:cs="Times New Roman"/>
                      <w:sz w:val="21"/>
                      <w:highlight w:val="none"/>
                      <w:lang w:val="en-US" w:eastAsia="zh-CN"/>
                    </w:rPr>
                    <w:t>用来制备纯水，放置于锅炉房内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9" w:type="pct"/>
                  <w:gridSpan w:val="2"/>
                  <w:noWrap w:val="0"/>
                  <w:vAlign w:val="top"/>
                </w:tcPr>
                <w:p>
                  <w:pPr>
                    <w:pStyle w:val="76"/>
                    <w:rPr>
                      <w:rFonts w:ascii="宋体" w:hAnsi="宋体"/>
                      <w:sz w:val="21"/>
                      <w:highlight w:val="none"/>
                    </w:rPr>
                  </w:pPr>
                  <w:r>
                    <w:rPr>
                      <w:rFonts w:hint="eastAsia" w:ascii="宋体" w:hAnsi="宋体"/>
                      <w:sz w:val="21"/>
                      <w:highlight w:val="none"/>
                    </w:rPr>
                    <w:t>合计</w:t>
                  </w:r>
                </w:p>
              </w:tc>
              <w:tc>
                <w:tcPr>
                  <w:tcW w:w="615" w:type="pct"/>
                  <w:noWrap w:val="0"/>
                  <w:vAlign w:val="top"/>
                </w:tcPr>
                <w:p>
                  <w:pPr>
                    <w:pStyle w:val="76"/>
                    <w:rPr>
                      <w:rFonts w:hint="eastAsia" w:ascii="宋体" w:hAnsi="宋体" w:eastAsia="宋体"/>
                      <w:sz w:val="21"/>
                      <w:highlight w:val="none"/>
                      <w:lang w:val="en-US" w:eastAsia="zh-CN"/>
                    </w:rPr>
                  </w:pPr>
                  <w:r>
                    <w:rPr>
                      <w:rFonts w:hint="eastAsia" w:ascii="宋体" w:hAnsi="宋体"/>
                      <w:sz w:val="21"/>
                      <w:highlight w:val="none"/>
                      <w:lang w:val="en-US" w:eastAsia="zh-CN"/>
                    </w:rPr>
                    <w:t>7</w:t>
                  </w:r>
                </w:p>
              </w:tc>
              <w:tc>
                <w:tcPr>
                  <w:tcW w:w="528" w:type="pct"/>
                  <w:noWrap w:val="0"/>
                  <w:vAlign w:val="top"/>
                </w:tcPr>
                <w:p>
                  <w:pPr>
                    <w:pStyle w:val="76"/>
                    <w:rPr>
                      <w:rFonts w:ascii="宋体" w:hAnsi="宋体"/>
                      <w:sz w:val="21"/>
                      <w:highlight w:val="none"/>
                    </w:rPr>
                  </w:pPr>
                  <w:r>
                    <w:rPr>
                      <w:rFonts w:hint="eastAsia" w:ascii="宋体" w:hAnsi="宋体"/>
                      <w:sz w:val="21"/>
                      <w:highlight w:val="none"/>
                    </w:rPr>
                    <w:t>台</w:t>
                  </w:r>
                </w:p>
              </w:tc>
              <w:tc>
                <w:tcPr>
                  <w:tcW w:w="1855" w:type="pct"/>
                  <w:noWrap w:val="0"/>
                  <w:vAlign w:val="center"/>
                </w:tcPr>
                <w:p>
                  <w:pPr>
                    <w:pStyle w:val="76"/>
                    <w:rPr>
                      <w:rFonts w:ascii="宋体" w:hAnsi="宋体"/>
                      <w:sz w:val="21"/>
                      <w:highlight w:val="none"/>
                    </w:rPr>
                  </w:pPr>
                </w:p>
              </w:tc>
            </w:tr>
          </w:tbl>
          <w:p>
            <w:pPr>
              <w:autoSpaceDE w:val="0"/>
              <w:autoSpaceDN w:val="0"/>
              <w:adjustRightInd w:val="0"/>
              <w:snapToGrid w:val="0"/>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3、原辅材料消耗</w:t>
            </w:r>
          </w:p>
          <w:p>
            <w:pPr>
              <w:spacing w:line="420" w:lineRule="atLeast"/>
              <w:ind w:firstLine="470" w:firstLineChars="196"/>
              <w:rPr>
                <w:rFonts w:ascii="宋体" w:hAnsi="宋体"/>
                <w:bCs/>
                <w:sz w:val="24"/>
                <w:highlight w:val="none"/>
              </w:rPr>
            </w:pPr>
            <w:r>
              <w:rPr>
                <w:rFonts w:ascii="宋体" w:hAnsi="宋体"/>
                <w:bCs/>
                <w:sz w:val="24"/>
                <w:highlight w:val="none"/>
              </w:rPr>
              <w:fldChar w:fldCharType="begin"/>
            </w:r>
            <w:r>
              <w:rPr>
                <w:rFonts w:ascii="宋体" w:hAnsi="宋体"/>
                <w:bCs/>
                <w:sz w:val="24"/>
                <w:highlight w:val="none"/>
              </w:rPr>
              <w:instrText xml:space="preserve"> </w:instrText>
            </w:r>
            <w:r>
              <w:rPr>
                <w:rFonts w:hint="eastAsia" w:ascii="宋体" w:hAnsi="宋体"/>
                <w:bCs/>
                <w:sz w:val="24"/>
                <w:highlight w:val="none"/>
              </w:rPr>
              <w:instrText xml:space="preserve">= 1 \* GB2</w:instrText>
            </w:r>
            <w:r>
              <w:rPr>
                <w:rFonts w:ascii="宋体" w:hAnsi="宋体"/>
                <w:bCs/>
                <w:sz w:val="24"/>
                <w:highlight w:val="none"/>
              </w:rPr>
              <w:instrText xml:space="preserve"> </w:instrText>
            </w:r>
            <w:r>
              <w:rPr>
                <w:rFonts w:ascii="宋体" w:hAnsi="宋体"/>
                <w:bCs/>
                <w:sz w:val="24"/>
                <w:highlight w:val="none"/>
              </w:rPr>
              <w:fldChar w:fldCharType="separate"/>
            </w:r>
            <w:r>
              <w:rPr>
                <w:rFonts w:hint="eastAsia" w:ascii="宋体" w:hAnsi="宋体"/>
                <w:bCs/>
                <w:sz w:val="24"/>
                <w:highlight w:val="none"/>
              </w:rPr>
              <w:t>⑴</w:t>
            </w:r>
            <w:r>
              <w:rPr>
                <w:rFonts w:ascii="宋体" w:hAnsi="宋体"/>
                <w:bCs/>
                <w:sz w:val="24"/>
                <w:highlight w:val="none"/>
              </w:rPr>
              <w:fldChar w:fldCharType="end"/>
            </w:r>
            <w:r>
              <w:rPr>
                <w:rFonts w:hint="eastAsia" w:ascii="宋体" w:hAnsi="宋体"/>
                <w:bCs/>
                <w:sz w:val="24"/>
                <w:highlight w:val="none"/>
              </w:rPr>
              <w:t>原辅材料及动力消耗</w:t>
            </w:r>
          </w:p>
          <w:p>
            <w:pPr>
              <w:pStyle w:val="20"/>
              <w:widowControl w:val="0"/>
              <w:autoSpaceDE w:val="0"/>
              <w:autoSpaceDN w:val="0"/>
              <w:spacing w:before="0" w:beforeAutospacing="0" w:after="0" w:afterAutospacing="0" w:line="360" w:lineRule="auto"/>
              <w:ind w:firstLine="480" w:firstLineChars="200"/>
              <w:jc w:val="both"/>
              <w:rPr>
                <w:highlight w:val="none"/>
              </w:rPr>
            </w:pPr>
            <w:r>
              <w:rPr>
                <w:highlight w:val="none"/>
              </w:rPr>
              <w:t>本项目</w:t>
            </w:r>
            <w:r>
              <w:rPr>
                <w:rFonts w:hint="eastAsia"/>
                <w:highlight w:val="none"/>
              </w:rPr>
              <w:t>原辅材料及动力消耗情况见下表。</w:t>
            </w:r>
          </w:p>
          <w:p>
            <w:pPr>
              <w:adjustRightInd w:val="0"/>
              <w:snapToGrid w:val="0"/>
              <w:jc w:val="center"/>
              <w:rPr>
                <w:rFonts w:ascii="宋体" w:hAnsi="宋体"/>
                <w:b/>
                <w:bCs/>
                <w:szCs w:val="21"/>
                <w:highlight w:val="none"/>
                <w:u w:val="single"/>
              </w:rPr>
            </w:pPr>
            <w:r>
              <w:rPr>
                <w:rFonts w:hint="eastAsia" w:ascii="宋体" w:hAnsi="宋体"/>
                <w:b/>
                <w:bCs/>
                <w:szCs w:val="21"/>
                <w:highlight w:val="none"/>
                <w:u w:val="single"/>
              </w:rPr>
              <w:t>表2-3   原辅材料及动力消耗情况一览表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108" w:type="dxa"/>
                <w:bottom w:w="0" w:type="dxa"/>
                <w:right w:w="108" w:type="dxa"/>
              </w:tblCellMar>
            </w:tblPr>
            <w:tblGrid>
              <w:gridCol w:w="950"/>
              <w:gridCol w:w="3025"/>
              <w:gridCol w:w="1674"/>
              <w:gridCol w:w="1279"/>
              <w:gridCol w:w="11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4" w:hRule="atLeast"/>
                <w:jc w:val="center"/>
              </w:trPr>
              <w:tc>
                <w:tcPr>
                  <w:tcW w:w="587" w:type="pct"/>
                  <w:noWrap w:val="0"/>
                  <w:vAlign w:val="center"/>
                </w:tcPr>
                <w:p>
                  <w:pPr>
                    <w:jc w:val="center"/>
                    <w:rPr>
                      <w:rFonts w:ascii="宋体" w:hAnsi="宋体"/>
                      <w:szCs w:val="21"/>
                      <w:highlight w:val="none"/>
                    </w:rPr>
                  </w:pPr>
                  <w:bookmarkStart w:id="2" w:name="_Toc19130"/>
                  <w:bookmarkStart w:id="3" w:name="_Toc29933"/>
                  <w:r>
                    <w:rPr>
                      <w:rFonts w:ascii="宋体" w:hAnsi="宋体"/>
                      <w:szCs w:val="21"/>
                      <w:highlight w:val="none"/>
                    </w:rPr>
                    <w:t>序号</w:t>
                  </w:r>
                </w:p>
              </w:tc>
              <w:tc>
                <w:tcPr>
                  <w:tcW w:w="1869" w:type="pct"/>
                  <w:noWrap w:val="0"/>
                  <w:vAlign w:val="center"/>
                </w:tcPr>
                <w:p>
                  <w:pPr>
                    <w:jc w:val="center"/>
                    <w:rPr>
                      <w:rFonts w:ascii="宋体" w:hAnsi="宋体"/>
                      <w:szCs w:val="21"/>
                      <w:highlight w:val="none"/>
                    </w:rPr>
                  </w:pPr>
                  <w:r>
                    <w:rPr>
                      <w:rFonts w:ascii="宋体" w:hAnsi="宋体"/>
                      <w:szCs w:val="21"/>
                      <w:highlight w:val="none"/>
                    </w:rPr>
                    <w:t>名称</w:t>
                  </w:r>
                </w:p>
              </w:tc>
              <w:tc>
                <w:tcPr>
                  <w:tcW w:w="1034" w:type="pct"/>
                  <w:noWrap w:val="0"/>
                  <w:vAlign w:val="center"/>
                </w:tcPr>
                <w:p>
                  <w:pPr>
                    <w:jc w:val="center"/>
                    <w:rPr>
                      <w:rFonts w:ascii="宋体" w:hAnsi="宋体"/>
                      <w:szCs w:val="21"/>
                      <w:highlight w:val="none"/>
                    </w:rPr>
                  </w:pPr>
                  <w:r>
                    <w:rPr>
                      <w:rFonts w:ascii="宋体" w:hAnsi="宋体"/>
                      <w:szCs w:val="21"/>
                      <w:highlight w:val="none"/>
                    </w:rPr>
                    <w:t>用量</w:t>
                  </w:r>
                </w:p>
              </w:tc>
              <w:tc>
                <w:tcPr>
                  <w:tcW w:w="790" w:type="pct"/>
                  <w:noWrap w:val="0"/>
                  <w:vAlign w:val="center"/>
                </w:tcPr>
                <w:p>
                  <w:pPr>
                    <w:jc w:val="center"/>
                    <w:rPr>
                      <w:rFonts w:ascii="宋体" w:hAnsi="宋体"/>
                      <w:szCs w:val="21"/>
                      <w:highlight w:val="none"/>
                    </w:rPr>
                  </w:pPr>
                  <w:r>
                    <w:rPr>
                      <w:rFonts w:ascii="宋体" w:hAnsi="宋体"/>
                      <w:szCs w:val="21"/>
                      <w:highlight w:val="none"/>
                    </w:rPr>
                    <w:t>单位</w:t>
                  </w:r>
                </w:p>
              </w:tc>
              <w:tc>
                <w:tcPr>
                  <w:tcW w:w="720" w:type="pct"/>
                  <w:noWrap w:val="0"/>
                  <w:vAlign w:val="center"/>
                </w:tcPr>
                <w:p>
                  <w:pPr>
                    <w:jc w:val="center"/>
                    <w:rPr>
                      <w:rFonts w:ascii="宋体" w:hAnsi="宋体"/>
                      <w:szCs w:val="21"/>
                      <w:highlight w:val="none"/>
                    </w:rPr>
                  </w:pPr>
                  <w:r>
                    <w:rPr>
                      <w:rFonts w:ascii="宋体" w:hAnsi="宋体"/>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4" w:hRule="atLeast"/>
                <w:jc w:val="center"/>
              </w:trPr>
              <w:tc>
                <w:tcPr>
                  <w:tcW w:w="587" w:type="pct"/>
                  <w:noWrap w:val="0"/>
                  <w:vAlign w:val="center"/>
                </w:tcPr>
                <w:p>
                  <w:pPr>
                    <w:jc w:val="center"/>
                    <w:rPr>
                      <w:rFonts w:ascii="宋体" w:hAnsi="宋体"/>
                      <w:szCs w:val="21"/>
                      <w:highlight w:val="none"/>
                    </w:rPr>
                  </w:pPr>
                  <w:r>
                    <w:rPr>
                      <w:rFonts w:hint="eastAsia" w:ascii="宋体" w:hAnsi="宋体"/>
                      <w:szCs w:val="21"/>
                      <w:highlight w:val="none"/>
                    </w:rPr>
                    <w:t>1</w:t>
                  </w:r>
                </w:p>
              </w:tc>
              <w:tc>
                <w:tcPr>
                  <w:tcW w:w="1869" w:type="pct"/>
                  <w:noWrap w:val="0"/>
                  <w:vAlign w:val="bottom"/>
                </w:tcPr>
                <w:p>
                  <w:pPr>
                    <w:widowControl/>
                    <w:jc w:val="center"/>
                    <w:textAlignment w:val="bottom"/>
                    <w:rPr>
                      <w:rFonts w:ascii="宋体" w:hAnsi="宋体" w:cs="宋体"/>
                      <w:szCs w:val="21"/>
                      <w:highlight w:val="none"/>
                    </w:rPr>
                  </w:pPr>
                  <w:r>
                    <w:rPr>
                      <w:rFonts w:hint="eastAsia" w:ascii="宋体" w:hAnsi="宋体" w:cs="宋体"/>
                      <w:kern w:val="0"/>
                      <w:szCs w:val="21"/>
                      <w:highlight w:val="none"/>
                    </w:rPr>
                    <w:t>生物质</w:t>
                  </w:r>
                </w:p>
              </w:tc>
              <w:tc>
                <w:tcPr>
                  <w:tcW w:w="1735" w:type="dxa"/>
                  <w:noWrap w:val="0"/>
                  <w:vAlign w:val="center"/>
                </w:tcPr>
                <w:p>
                  <w:pPr>
                    <w:widowControl/>
                    <w:jc w:val="center"/>
                    <w:textAlignment w:val="center"/>
                    <w:rPr>
                      <w:rFonts w:ascii="宋体" w:hAnsi="宋体" w:cs="宋体"/>
                      <w:szCs w:val="21"/>
                      <w:highlight w:val="none"/>
                    </w:rPr>
                  </w:pPr>
                  <w:r>
                    <w:rPr>
                      <w:rFonts w:hint="eastAsia" w:ascii="宋体" w:hAnsi="宋体" w:cs="宋体"/>
                      <w:szCs w:val="21"/>
                      <w:highlight w:val="none"/>
                      <w:lang w:val="en-US" w:eastAsia="zh-CN"/>
                    </w:rPr>
                    <w:t>880</w:t>
                  </w:r>
                </w:p>
              </w:tc>
              <w:tc>
                <w:tcPr>
                  <w:tcW w:w="790" w:type="pct"/>
                  <w:noWrap w:val="0"/>
                  <w:vAlign w:val="center"/>
                </w:tcPr>
                <w:p>
                  <w:pPr>
                    <w:jc w:val="center"/>
                    <w:rPr>
                      <w:rFonts w:ascii="宋体" w:hAnsi="宋体"/>
                      <w:szCs w:val="21"/>
                      <w:highlight w:val="none"/>
                    </w:rPr>
                  </w:pPr>
                  <w:r>
                    <w:rPr>
                      <w:rFonts w:ascii="宋体" w:hAnsi="宋体"/>
                      <w:szCs w:val="21"/>
                      <w:highlight w:val="none"/>
                    </w:rPr>
                    <w:t>t/a</w:t>
                  </w:r>
                </w:p>
              </w:tc>
              <w:tc>
                <w:tcPr>
                  <w:tcW w:w="720" w:type="pct"/>
                  <w:noWrap w:val="0"/>
                  <w:vAlign w:val="center"/>
                </w:tcPr>
                <w:p>
                  <w:pPr>
                    <w:jc w:val="center"/>
                    <w:rPr>
                      <w:rFonts w:ascii="宋体" w:hAnsi="宋体"/>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4" w:hRule="atLeast"/>
                <w:jc w:val="center"/>
              </w:trPr>
              <w:tc>
                <w:tcPr>
                  <w:tcW w:w="587" w:type="pct"/>
                  <w:noWrap w:val="0"/>
                  <w:vAlign w:val="center"/>
                </w:tcPr>
                <w:p>
                  <w:pPr>
                    <w:jc w:val="center"/>
                    <w:rPr>
                      <w:rFonts w:ascii="宋体" w:hAnsi="宋体"/>
                      <w:kern w:val="0"/>
                      <w:szCs w:val="21"/>
                      <w:highlight w:val="none"/>
                    </w:rPr>
                  </w:pPr>
                  <w:r>
                    <w:rPr>
                      <w:rFonts w:hint="eastAsia" w:ascii="宋体" w:hAnsi="宋体"/>
                      <w:kern w:val="0"/>
                      <w:szCs w:val="21"/>
                      <w:highlight w:val="none"/>
                    </w:rPr>
                    <w:t>2</w:t>
                  </w:r>
                </w:p>
              </w:tc>
              <w:tc>
                <w:tcPr>
                  <w:tcW w:w="1869" w:type="pct"/>
                  <w:noWrap w:val="0"/>
                  <w:vAlign w:val="center"/>
                </w:tcPr>
                <w:p>
                  <w:pPr>
                    <w:jc w:val="center"/>
                    <w:rPr>
                      <w:rFonts w:ascii="宋体" w:hAnsi="宋体"/>
                      <w:szCs w:val="21"/>
                      <w:highlight w:val="none"/>
                    </w:rPr>
                  </w:pPr>
                  <w:r>
                    <w:rPr>
                      <w:rFonts w:ascii="宋体" w:hAnsi="宋体"/>
                      <w:szCs w:val="21"/>
                      <w:highlight w:val="none"/>
                    </w:rPr>
                    <w:t>水</w:t>
                  </w:r>
                </w:p>
              </w:tc>
              <w:tc>
                <w:tcPr>
                  <w:tcW w:w="1735" w:type="dxa"/>
                  <w:noWrap w:val="0"/>
                  <w:vAlign w:val="center"/>
                </w:tcPr>
                <w:p>
                  <w:pPr>
                    <w:widowControl/>
                    <w:jc w:val="center"/>
                    <w:textAlignment w:val="center"/>
                    <w:rPr>
                      <w:rFonts w:hint="default" w:ascii="宋体" w:hAnsi="宋体"/>
                      <w:szCs w:val="21"/>
                      <w:highlight w:val="none"/>
                      <w:lang w:val="en-US"/>
                    </w:rPr>
                  </w:pPr>
                  <w:r>
                    <w:rPr>
                      <w:rFonts w:hint="eastAsia" w:ascii="宋体" w:hAnsi="宋体"/>
                      <w:szCs w:val="21"/>
                      <w:highlight w:val="none"/>
                      <w:lang w:val="en-US" w:eastAsia="zh-CN"/>
                    </w:rPr>
                    <w:t>225</w:t>
                  </w:r>
                </w:p>
              </w:tc>
              <w:tc>
                <w:tcPr>
                  <w:tcW w:w="790" w:type="pct"/>
                  <w:noWrap w:val="0"/>
                  <w:vAlign w:val="center"/>
                </w:tcPr>
                <w:p>
                  <w:pPr>
                    <w:jc w:val="center"/>
                    <w:rPr>
                      <w:rFonts w:hint="default" w:ascii="宋体" w:hAnsi="宋体" w:eastAsia="宋体"/>
                      <w:szCs w:val="21"/>
                      <w:highlight w:val="none"/>
                      <w:lang w:val="en-US" w:eastAsia="zh-CN"/>
                    </w:rPr>
                  </w:pPr>
                  <w:r>
                    <w:rPr>
                      <w:rFonts w:ascii="宋体" w:hAnsi="宋体"/>
                      <w:szCs w:val="21"/>
                      <w:highlight w:val="none"/>
                    </w:rPr>
                    <w:t>m</w:t>
                  </w:r>
                  <w:r>
                    <w:rPr>
                      <w:rFonts w:ascii="宋体" w:hAnsi="宋体"/>
                      <w:szCs w:val="21"/>
                      <w:highlight w:val="none"/>
                      <w:vertAlign w:val="superscript"/>
                    </w:rPr>
                    <w:t>3</w:t>
                  </w:r>
                  <w:r>
                    <w:rPr>
                      <w:rFonts w:ascii="宋体" w:hAnsi="宋体"/>
                      <w:szCs w:val="21"/>
                      <w:highlight w:val="none"/>
                    </w:rPr>
                    <w:t>/</w:t>
                  </w:r>
                  <w:r>
                    <w:rPr>
                      <w:rFonts w:hint="eastAsia" w:ascii="宋体" w:hAnsi="宋体"/>
                      <w:szCs w:val="21"/>
                      <w:highlight w:val="none"/>
                      <w:lang w:val="en-US" w:eastAsia="zh-CN"/>
                    </w:rPr>
                    <w:t>a</w:t>
                  </w:r>
                </w:p>
              </w:tc>
              <w:tc>
                <w:tcPr>
                  <w:tcW w:w="720" w:type="pct"/>
                  <w:noWrap w:val="0"/>
                  <w:vAlign w:val="center"/>
                </w:tcPr>
                <w:p>
                  <w:pPr>
                    <w:jc w:val="center"/>
                    <w:rPr>
                      <w:rFonts w:ascii="宋体" w:hAnsi="宋体"/>
                      <w:szCs w:val="21"/>
                      <w:highlight w:val="none"/>
                    </w:rPr>
                  </w:pPr>
                </w:p>
              </w:tc>
            </w:tr>
            <w:bookmarkEnd w:id="2"/>
            <w:bookmarkEnd w:id="3"/>
          </w:tbl>
          <w:p>
            <w:pPr>
              <w:pStyle w:val="20"/>
              <w:widowControl w:val="0"/>
              <w:autoSpaceDE w:val="0"/>
              <w:autoSpaceDN w:val="0"/>
              <w:spacing w:before="0" w:beforeAutospacing="0" w:after="0" w:afterAutospacing="0"/>
              <w:jc w:val="both"/>
              <w:rPr>
                <w:highlight w:val="yellow"/>
              </w:rPr>
            </w:pPr>
          </w:p>
          <w:p>
            <w:pPr>
              <w:spacing w:line="420" w:lineRule="atLeast"/>
              <w:ind w:firstLine="470" w:firstLineChars="196"/>
              <w:rPr>
                <w:rFonts w:ascii="宋体" w:hAnsi="宋体"/>
                <w:bCs/>
                <w:sz w:val="24"/>
                <w:highlight w:val="none"/>
              </w:rPr>
            </w:pPr>
            <w:r>
              <w:rPr>
                <w:rFonts w:hint="eastAsia" w:ascii="宋体" w:hAnsi="宋体"/>
                <w:bCs/>
                <w:sz w:val="24"/>
                <w:highlight w:val="none"/>
              </w:rPr>
              <w:t>⑵生物质成分</w:t>
            </w:r>
          </w:p>
          <w:p>
            <w:pPr>
              <w:pStyle w:val="20"/>
              <w:widowControl w:val="0"/>
              <w:autoSpaceDE w:val="0"/>
              <w:autoSpaceDN w:val="0"/>
              <w:spacing w:before="0" w:beforeAutospacing="0" w:after="0" w:afterAutospacing="0" w:line="360" w:lineRule="auto"/>
              <w:ind w:firstLine="480" w:firstLineChars="200"/>
              <w:jc w:val="both"/>
              <w:rPr>
                <w:rFonts w:cs="宋体"/>
                <w:highlight w:val="none"/>
              </w:rPr>
            </w:pPr>
            <w:r>
              <w:rPr>
                <w:rFonts w:hint="eastAsia"/>
                <w:highlight w:val="none"/>
              </w:rPr>
              <w:t>本项目生物质燃料为成型颗粒，组分检测报告见附件。</w:t>
            </w:r>
          </w:p>
          <w:p>
            <w:pPr>
              <w:adjustRightInd w:val="0"/>
              <w:snapToGrid w:val="0"/>
              <w:jc w:val="center"/>
              <w:rPr>
                <w:rFonts w:hint="eastAsia" w:ascii="宋体" w:hAnsi="宋体"/>
                <w:b/>
                <w:bCs/>
                <w:szCs w:val="21"/>
                <w:highlight w:val="none"/>
                <w:u w:val="single"/>
              </w:rPr>
            </w:pPr>
          </w:p>
          <w:p>
            <w:pPr>
              <w:adjustRightInd w:val="0"/>
              <w:snapToGrid w:val="0"/>
              <w:jc w:val="center"/>
              <w:rPr>
                <w:rFonts w:ascii="宋体" w:hAnsi="宋体"/>
                <w:b/>
                <w:bCs/>
                <w:szCs w:val="21"/>
                <w:highlight w:val="yellow"/>
                <w:u w:val="single"/>
              </w:rPr>
            </w:pPr>
            <w:r>
              <w:rPr>
                <w:rFonts w:hint="eastAsia" w:ascii="宋体" w:hAnsi="宋体"/>
                <w:b/>
                <w:bCs/>
                <w:szCs w:val="21"/>
                <w:highlight w:val="none"/>
                <w:u w:val="single"/>
              </w:rPr>
              <w:t>表2-4   生物质燃料组分</w:t>
            </w:r>
          </w:p>
          <w:tbl>
            <w:tblPr>
              <w:tblStyle w:val="23"/>
              <w:tblW w:w="5000" w:type="pct"/>
              <w:jc w:val="center"/>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337"/>
              <w:gridCol w:w="1577"/>
              <w:gridCol w:w="1819"/>
              <w:gridCol w:w="2360"/>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项目</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符号</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单位</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数值</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全水</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M</w:t>
                  </w:r>
                  <w:r>
                    <w:rPr>
                      <w:rStyle w:val="77"/>
                      <w:rFonts w:hint="eastAsia" w:ascii="宋体" w:hAnsi="宋体"/>
                      <w:szCs w:val="21"/>
                      <w:highlight w:val="none"/>
                    </w:rPr>
                    <w:t>t</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6.7</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空气干燥基水分</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Mad</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0.69</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空气干燥基灰分</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Aad</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11.43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空气干燥基挥发分</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Vad</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71.5</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tcBorders>
                    <w:bottom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干燥无灰基挥发分</w:t>
                  </w:r>
                </w:p>
              </w:tc>
              <w:tc>
                <w:tcPr>
                  <w:tcW w:w="974" w:type="pct"/>
                  <w:tcBorders>
                    <w:bottom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Vdaf</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81.37</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tcBorders>
                    <w:top w:val="single" w:color="auto" w:sz="4" w:space="0"/>
                    <w:bottom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固定碳</w:t>
                  </w:r>
                </w:p>
              </w:tc>
              <w:tc>
                <w:tcPr>
                  <w:tcW w:w="974" w:type="pct"/>
                  <w:tcBorders>
                    <w:top w:val="single" w:color="auto" w:sz="4" w:space="0"/>
                    <w:bottom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hint="eastAsia" w:ascii="宋体" w:hAnsi="宋体"/>
                      <w:szCs w:val="21"/>
                      <w:highlight w:val="none"/>
                    </w:rPr>
                    <w:t>Fcad</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16.37</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tcBorders>
                    <w:top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空气干燥基高位发热量</w:t>
                  </w:r>
                </w:p>
              </w:tc>
              <w:tc>
                <w:tcPr>
                  <w:tcW w:w="974" w:type="pct"/>
                  <w:tcBorders>
                    <w:top w:val="single" w:color="auto" w:sz="4" w:space="0"/>
                  </w:tcBorders>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Ggr.v.ad</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Cal/g</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4103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44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收到基低位发热量</w:t>
                  </w:r>
                </w:p>
              </w:tc>
              <w:tc>
                <w:tcPr>
                  <w:tcW w:w="97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Qnet.v.ar</w:t>
                  </w:r>
                </w:p>
              </w:tc>
              <w:tc>
                <w:tcPr>
                  <w:tcW w:w="1124"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C</w:t>
                  </w:r>
                  <w:r>
                    <w:rPr>
                      <w:rStyle w:val="77"/>
                      <w:rFonts w:ascii="宋体" w:hAnsi="宋体"/>
                      <w:szCs w:val="21"/>
                      <w:highlight w:val="none"/>
                    </w:rPr>
                    <w:cr/>
                  </w:r>
                  <w:r>
                    <w:rPr>
                      <w:rStyle w:val="77"/>
                      <w:rFonts w:ascii="宋体" w:hAnsi="宋体"/>
                      <w:szCs w:val="21"/>
                      <w:highlight w:val="none"/>
                    </w:rPr>
                    <w:t>l/g</w:t>
                  </w:r>
                </w:p>
              </w:tc>
              <w:tc>
                <w:tcPr>
                  <w:tcW w:w="1458" w:type="pct"/>
                  <w:noWrap w:val="0"/>
                  <w:vAlign w:val="center"/>
                </w:tcPr>
                <w:p>
                  <w:pPr>
                    <w:snapToGrid w:val="0"/>
                    <w:ind w:firstLine="107" w:firstLineChars="51"/>
                    <w:jc w:val="center"/>
                    <w:rPr>
                      <w:rStyle w:val="77"/>
                      <w:rFonts w:ascii="宋体" w:hAnsi="宋体"/>
                      <w:szCs w:val="21"/>
                      <w:highlight w:val="none"/>
                    </w:rPr>
                  </w:pPr>
                  <w:r>
                    <w:rPr>
                      <w:rStyle w:val="77"/>
                      <w:rFonts w:ascii="宋体" w:hAnsi="宋体"/>
                      <w:szCs w:val="21"/>
                      <w:highlight w:val="none"/>
                    </w:rPr>
                    <w:t>3771</w:t>
                  </w:r>
                </w:p>
              </w:tc>
            </w:tr>
          </w:tbl>
          <w:p>
            <w:pPr>
              <w:ind w:firstLine="480" w:firstLineChars="200"/>
              <w:outlineLvl w:val="0"/>
              <w:rPr>
                <w:rFonts w:ascii="宋体" w:hAnsi="宋体"/>
                <w:sz w:val="24"/>
                <w:highlight w:val="yellow"/>
              </w:rPr>
            </w:pPr>
          </w:p>
          <w:p>
            <w:pPr>
              <w:spacing w:line="360" w:lineRule="auto"/>
              <w:ind w:firstLine="470" w:firstLineChars="196"/>
              <w:rPr>
                <w:rFonts w:ascii="宋体" w:hAnsi="宋体" w:cs="宋体"/>
                <w:bCs/>
                <w:iCs/>
                <w:sz w:val="24"/>
                <w:highlight w:val="none"/>
              </w:rPr>
            </w:pPr>
            <w:r>
              <w:rPr>
                <w:rFonts w:hint="eastAsia" w:ascii="宋体" w:hAnsi="宋体" w:cs="宋体"/>
                <w:bCs/>
                <w:iCs/>
                <w:sz w:val="24"/>
                <w:highlight w:val="none"/>
              </w:rPr>
              <w:t>经查阅资料，生物质燃料元素组成见下表。</w:t>
            </w:r>
          </w:p>
          <w:p>
            <w:pPr>
              <w:adjustRightInd w:val="0"/>
              <w:snapToGrid w:val="0"/>
              <w:jc w:val="center"/>
              <w:rPr>
                <w:rFonts w:ascii="宋体" w:hAnsi="宋体"/>
                <w:b/>
                <w:bCs/>
                <w:szCs w:val="21"/>
                <w:highlight w:val="none"/>
                <w:u w:val="single"/>
              </w:rPr>
            </w:pPr>
            <w:r>
              <w:rPr>
                <w:rFonts w:hint="eastAsia" w:ascii="宋体" w:hAnsi="宋体"/>
                <w:b/>
                <w:bCs/>
                <w:szCs w:val="21"/>
                <w:highlight w:val="none"/>
                <w:u w:val="single"/>
              </w:rPr>
              <w:t>表2-5   生物质燃料元素组成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572"/>
              <w:gridCol w:w="1572"/>
              <w:gridCol w:w="1572"/>
              <w:gridCol w:w="1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noWrap w:val="0"/>
                  <w:vAlign w:val="top"/>
                </w:tcPr>
                <w:p>
                  <w:pPr>
                    <w:tabs>
                      <w:tab w:val="center" w:pos="1049"/>
                      <w:tab w:val="right" w:pos="2099"/>
                    </w:tabs>
                    <w:jc w:val="left"/>
                    <w:rPr>
                      <w:rFonts w:ascii="宋体" w:hAnsi="宋体" w:cs="宋体"/>
                      <w:bCs/>
                      <w:iCs/>
                      <w:szCs w:val="21"/>
                      <w:highlight w:val="none"/>
                    </w:rPr>
                  </w:pPr>
                  <w:r>
                    <w:rPr>
                      <w:rFonts w:hint="eastAsia" w:ascii="宋体" w:hAnsi="宋体" w:cs="宋体"/>
                      <w:bCs/>
                      <w:iCs/>
                      <w:szCs w:val="21"/>
                      <w:highlight w:val="none"/>
                    </w:rPr>
                    <w:tab/>
                  </w:r>
                  <w:r>
                    <w:rPr>
                      <w:rFonts w:hint="eastAsia" w:ascii="宋体" w:hAnsi="宋体" w:cs="宋体"/>
                      <w:bCs/>
                      <w:iCs/>
                      <w:szCs w:val="21"/>
                      <w:highlight w:val="none"/>
                    </w:rPr>
                    <w:t>燃料</w:t>
                  </w:r>
                  <w:r>
                    <w:rPr>
                      <w:rFonts w:hint="eastAsia" w:ascii="宋体" w:hAnsi="宋体" w:cs="宋体"/>
                      <w:bCs/>
                      <w:iCs/>
                      <w:szCs w:val="21"/>
                      <w:highlight w:val="none"/>
                    </w:rPr>
                    <w:tab/>
                  </w:r>
                </w:p>
              </w:tc>
              <w:tc>
                <w:tcPr>
                  <w:tcW w:w="971" w:type="pct"/>
                  <w:noWrap w:val="0"/>
                  <w:vAlign w:val="top"/>
                </w:tcPr>
                <w:p>
                  <w:pPr>
                    <w:jc w:val="center"/>
                    <w:rPr>
                      <w:rFonts w:ascii="宋体" w:hAnsi="宋体" w:cs="宋体"/>
                      <w:bCs/>
                      <w:iCs/>
                      <w:szCs w:val="21"/>
                      <w:highlight w:val="none"/>
                    </w:rPr>
                  </w:pPr>
                  <w:r>
                    <w:rPr>
                      <w:rFonts w:hint="eastAsia" w:ascii="宋体" w:hAnsi="宋体" w:cs="宋体"/>
                      <w:bCs/>
                      <w:iCs/>
                      <w:szCs w:val="21"/>
                      <w:highlight w:val="none"/>
                    </w:rPr>
                    <w:t>S</w:t>
                  </w:r>
                </w:p>
              </w:tc>
              <w:tc>
                <w:tcPr>
                  <w:tcW w:w="971" w:type="pct"/>
                  <w:noWrap w:val="0"/>
                  <w:vAlign w:val="top"/>
                </w:tcPr>
                <w:p>
                  <w:pPr>
                    <w:jc w:val="center"/>
                    <w:rPr>
                      <w:rFonts w:ascii="宋体" w:hAnsi="宋体" w:cs="宋体"/>
                      <w:bCs/>
                      <w:iCs/>
                      <w:szCs w:val="21"/>
                      <w:highlight w:val="none"/>
                    </w:rPr>
                  </w:pPr>
                  <w:r>
                    <w:rPr>
                      <w:rFonts w:hint="eastAsia" w:ascii="宋体" w:hAnsi="宋体" w:cs="宋体"/>
                      <w:bCs/>
                      <w:iCs/>
                      <w:szCs w:val="21"/>
                      <w:highlight w:val="none"/>
                    </w:rPr>
                    <w:t>N</w:t>
                  </w:r>
                </w:p>
              </w:tc>
              <w:tc>
                <w:tcPr>
                  <w:tcW w:w="971" w:type="pct"/>
                  <w:noWrap w:val="0"/>
                  <w:vAlign w:val="top"/>
                </w:tcPr>
                <w:p>
                  <w:pPr>
                    <w:jc w:val="center"/>
                    <w:rPr>
                      <w:rFonts w:ascii="宋体" w:hAnsi="宋体" w:cs="宋体"/>
                      <w:bCs/>
                      <w:iCs/>
                      <w:szCs w:val="21"/>
                      <w:highlight w:val="none"/>
                    </w:rPr>
                  </w:pPr>
                  <w:r>
                    <w:rPr>
                      <w:rFonts w:hint="eastAsia" w:ascii="宋体" w:hAnsi="宋体" w:cs="宋体"/>
                      <w:bCs/>
                      <w:iCs/>
                      <w:szCs w:val="21"/>
                      <w:highlight w:val="none"/>
                    </w:rPr>
                    <w:t>H</w:t>
                  </w:r>
                </w:p>
              </w:tc>
              <w:tc>
                <w:tcPr>
                  <w:tcW w:w="971" w:type="pct"/>
                  <w:noWrap w:val="0"/>
                  <w:vAlign w:val="top"/>
                </w:tcPr>
                <w:p>
                  <w:pPr>
                    <w:jc w:val="center"/>
                    <w:rPr>
                      <w:rFonts w:ascii="宋体" w:hAnsi="宋体" w:cs="宋体"/>
                      <w:bCs/>
                      <w:iCs/>
                      <w:szCs w:val="21"/>
                      <w:highlight w:val="none"/>
                    </w:rPr>
                  </w:pPr>
                  <w:r>
                    <w:rPr>
                      <w:rFonts w:hint="eastAsia" w:ascii="宋体" w:hAnsi="宋体" w:cs="宋体"/>
                      <w:bCs/>
                      <w:iCs/>
                      <w:szCs w:val="21"/>
                      <w:highlight w:val="none"/>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5" w:type="pct"/>
                  <w:noWrap w:val="0"/>
                  <w:vAlign w:val="center"/>
                </w:tcPr>
                <w:p>
                  <w:pPr>
                    <w:jc w:val="center"/>
                    <w:rPr>
                      <w:rFonts w:ascii="宋体" w:hAnsi="宋体" w:cs="宋体"/>
                      <w:bCs/>
                      <w:iCs/>
                      <w:szCs w:val="21"/>
                      <w:highlight w:val="none"/>
                    </w:rPr>
                  </w:pPr>
                  <w:r>
                    <w:rPr>
                      <w:rFonts w:hint="eastAsia" w:ascii="宋体" w:hAnsi="宋体" w:cs="宋体"/>
                      <w:bCs/>
                      <w:iCs/>
                      <w:szCs w:val="21"/>
                      <w:highlight w:val="none"/>
                    </w:rPr>
                    <w:t>生物质成型原料</w:t>
                  </w:r>
                </w:p>
              </w:tc>
              <w:tc>
                <w:tcPr>
                  <w:tcW w:w="971" w:type="pct"/>
                  <w:noWrap w:val="0"/>
                  <w:vAlign w:val="center"/>
                </w:tcPr>
                <w:p>
                  <w:pPr>
                    <w:jc w:val="center"/>
                    <w:rPr>
                      <w:rFonts w:ascii="宋体" w:hAnsi="宋体" w:cs="宋体"/>
                      <w:bCs/>
                      <w:iCs/>
                      <w:szCs w:val="21"/>
                      <w:highlight w:val="none"/>
                    </w:rPr>
                  </w:pPr>
                  <w:r>
                    <w:rPr>
                      <w:rFonts w:hint="eastAsia" w:ascii="宋体" w:hAnsi="宋体" w:cs="宋体"/>
                      <w:bCs/>
                      <w:iCs/>
                      <w:szCs w:val="21"/>
                      <w:highlight w:val="none"/>
                    </w:rPr>
                    <w:t>0.02%-0.04%</w:t>
                  </w:r>
                </w:p>
              </w:tc>
              <w:tc>
                <w:tcPr>
                  <w:tcW w:w="971" w:type="pct"/>
                  <w:noWrap w:val="0"/>
                  <w:vAlign w:val="center"/>
                </w:tcPr>
                <w:p>
                  <w:pPr>
                    <w:jc w:val="center"/>
                    <w:rPr>
                      <w:rFonts w:ascii="宋体" w:hAnsi="宋体" w:cs="宋体"/>
                      <w:bCs/>
                      <w:iCs/>
                      <w:szCs w:val="21"/>
                      <w:highlight w:val="none"/>
                    </w:rPr>
                  </w:pPr>
                  <w:r>
                    <w:rPr>
                      <w:rFonts w:hint="eastAsia" w:ascii="宋体" w:hAnsi="宋体" w:cs="宋体"/>
                      <w:bCs/>
                      <w:iCs/>
                      <w:szCs w:val="21"/>
                      <w:highlight w:val="none"/>
                    </w:rPr>
                    <w:t>0.3%-1.59%</w:t>
                  </w:r>
                </w:p>
              </w:tc>
              <w:tc>
                <w:tcPr>
                  <w:tcW w:w="971" w:type="pct"/>
                  <w:noWrap w:val="0"/>
                  <w:vAlign w:val="center"/>
                </w:tcPr>
                <w:p>
                  <w:pPr>
                    <w:jc w:val="center"/>
                    <w:rPr>
                      <w:rFonts w:ascii="宋体" w:hAnsi="宋体" w:cs="宋体"/>
                      <w:bCs/>
                      <w:iCs/>
                      <w:szCs w:val="21"/>
                      <w:highlight w:val="none"/>
                    </w:rPr>
                  </w:pPr>
                  <w:r>
                    <w:rPr>
                      <w:rFonts w:hint="eastAsia" w:ascii="宋体" w:hAnsi="宋体" w:cs="宋体"/>
                      <w:bCs/>
                      <w:iCs/>
                      <w:szCs w:val="21"/>
                      <w:highlight w:val="none"/>
                    </w:rPr>
                    <w:t>5.24%-6.7%</w:t>
                  </w:r>
                </w:p>
              </w:tc>
              <w:tc>
                <w:tcPr>
                  <w:tcW w:w="971" w:type="pct"/>
                  <w:noWrap w:val="0"/>
                  <w:vAlign w:val="center"/>
                </w:tcPr>
                <w:p>
                  <w:pPr>
                    <w:jc w:val="center"/>
                    <w:rPr>
                      <w:rFonts w:ascii="宋体" w:hAnsi="宋体" w:cs="宋体"/>
                      <w:bCs/>
                      <w:iCs/>
                      <w:szCs w:val="21"/>
                      <w:highlight w:val="none"/>
                    </w:rPr>
                  </w:pPr>
                  <w:r>
                    <w:rPr>
                      <w:rFonts w:hint="eastAsia" w:ascii="宋体" w:hAnsi="宋体" w:cs="宋体"/>
                      <w:bCs/>
                      <w:iCs/>
                      <w:szCs w:val="21"/>
                      <w:highlight w:val="none"/>
                    </w:rPr>
                    <w:t>41%-54.9%</w:t>
                  </w:r>
                </w:p>
              </w:tc>
            </w:tr>
          </w:tbl>
          <w:p>
            <w:pPr>
              <w:outlineLvl w:val="0"/>
              <w:rPr>
                <w:rFonts w:ascii="宋体" w:hAnsi="宋体"/>
                <w:szCs w:val="21"/>
                <w:highlight w:val="none"/>
              </w:rPr>
            </w:pPr>
            <w:r>
              <w:rPr>
                <w:rFonts w:hint="eastAsia" w:ascii="宋体" w:hAnsi="宋体"/>
                <w:szCs w:val="21"/>
                <w:highlight w:val="none"/>
              </w:rPr>
              <w:t>注：本项目生物质含硫量取0.03%。</w:t>
            </w:r>
          </w:p>
          <w:p>
            <w:pPr>
              <w:ind w:firstLine="480" w:firstLineChars="200"/>
              <w:outlineLvl w:val="0"/>
              <w:rPr>
                <w:rFonts w:ascii="宋体" w:hAnsi="宋体"/>
                <w:sz w:val="24"/>
                <w:highlight w:val="none"/>
              </w:rPr>
            </w:pPr>
          </w:p>
          <w:p>
            <w:pPr>
              <w:autoSpaceDE w:val="0"/>
              <w:autoSpaceDN w:val="0"/>
              <w:adjustRightInd w:val="0"/>
              <w:snapToGrid w:val="0"/>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4、公用工程</w:t>
            </w:r>
          </w:p>
          <w:p>
            <w:pPr>
              <w:pStyle w:val="18"/>
              <w:tabs>
                <w:tab w:val="left" w:pos="0"/>
                <w:tab w:val="left" w:pos="900"/>
                <w:tab w:val="left" w:pos="1365"/>
              </w:tabs>
              <w:spacing w:after="0" w:line="360" w:lineRule="auto"/>
              <w:ind w:left="0" w:leftChars="0" w:firstLine="480" w:firstLineChars="200"/>
              <w:rPr>
                <w:rFonts w:hint="eastAsia" w:ascii="宋体" w:hAnsi="宋体"/>
                <w:sz w:val="24"/>
                <w:szCs w:val="36"/>
                <w:highlight w:val="none"/>
              </w:rPr>
            </w:pPr>
            <w:r>
              <w:rPr>
                <w:rFonts w:hint="eastAsia" w:ascii="宋体" w:hAnsi="宋体"/>
                <w:sz w:val="24"/>
                <w:szCs w:val="36"/>
                <w:highlight w:val="none"/>
              </w:rPr>
              <w:t>（1）给水</w:t>
            </w:r>
          </w:p>
          <w:p>
            <w:pPr>
              <w:pStyle w:val="18"/>
              <w:tabs>
                <w:tab w:val="left" w:pos="0"/>
                <w:tab w:val="left" w:pos="900"/>
                <w:tab w:val="left" w:pos="1365"/>
              </w:tabs>
              <w:spacing w:after="0" w:line="360" w:lineRule="auto"/>
              <w:ind w:left="0" w:leftChars="0" w:firstLine="480" w:firstLineChars="200"/>
              <w:rPr>
                <w:rFonts w:hint="eastAsia" w:ascii="宋体" w:hAnsi="宋体" w:eastAsia="宋体" w:cs="Times New Roman"/>
                <w:sz w:val="24"/>
                <w:szCs w:val="36"/>
                <w:highlight w:val="none"/>
                <w:lang w:val="en-US" w:eastAsia="zh-CN"/>
              </w:rPr>
            </w:pPr>
            <w:r>
              <w:rPr>
                <w:rFonts w:hint="eastAsia" w:ascii="宋体" w:hAnsi="宋体" w:eastAsia="宋体" w:cs="Times New Roman"/>
                <w:sz w:val="24"/>
                <w:szCs w:val="36"/>
                <w:highlight w:val="none"/>
                <w:lang w:val="en-US" w:eastAsia="zh-CN"/>
              </w:rPr>
              <w:t xml:space="preserve">本项目不新增劳动定员，无生活污水。项目运营过程中用水主要为锅炉补水及软化水设备用水，根据企业提供的资料，锅炉补水量为2t/d（180t/a），其中171t/a（约95%）转化为蒸汽供箱梁预制件蒸汽养护使用，剩余9t/a为锅炉排污水，程软化水设备转化率约 </w:t>
            </w:r>
            <w:r>
              <w:rPr>
                <w:rFonts w:hint="default" w:ascii="宋体" w:hAnsi="宋体" w:eastAsia="宋体" w:cs="Times New Roman"/>
                <w:sz w:val="24"/>
                <w:szCs w:val="36"/>
                <w:highlight w:val="none"/>
                <w:lang w:val="en-US" w:eastAsia="zh-CN"/>
              </w:rPr>
              <w:t>80%</w:t>
            </w:r>
            <w:r>
              <w:rPr>
                <w:rFonts w:hint="eastAsia" w:ascii="宋体" w:hAnsi="宋体" w:eastAsia="宋体" w:cs="Times New Roman"/>
                <w:sz w:val="24"/>
                <w:szCs w:val="36"/>
                <w:highlight w:val="none"/>
                <w:lang w:val="en-US" w:eastAsia="zh-CN"/>
              </w:rPr>
              <w:t>。则项目新鲜水用量为225</w:t>
            </w:r>
            <w:r>
              <w:rPr>
                <w:rFonts w:hint="default" w:ascii="宋体" w:hAnsi="宋体" w:eastAsia="宋体" w:cs="Times New Roman"/>
                <w:sz w:val="24"/>
                <w:szCs w:val="36"/>
                <w:highlight w:val="none"/>
                <w:lang w:val="en-US" w:eastAsia="zh-CN"/>
              </w:rPr>
              <w:t>t/a</w:t>
            </w:r>
            <w:r>
              <w:rPr>
                <w:rFonts w:hint="eastAsia" w:ascii="宋体" w:hAnsi="宋体" w:eastAsia="宋体" w:cs="Times New Roman"/>
                <w:sz w:val="24"/>
                <w:szCs w:val="36"/>
                <w:highlight w:val="none"/>
                <w:lang w:val="en-US" w:eastAsia="zh-CN"/>
              </w:rPr>
              <w:t>。</w:t>
            </w:r>
          </w:p>
          <w:p>
            <w:pPr>
              <w:pStyle w:val="18"/>
              <w:numPr>
                <w:ilvl w:val="0"/>
                <w:numId w:val="6"/>
              </w:numPr>
              <w:tabs>
                <w:tab w:val="left" w:pos="0"/>
                <w:tab w:val="left" w:pos="900"/>
                <w:tab w:val="left" w:pos="1365"/>
              </w:tabs>
              <w:spacing w:after="0" w:line="360" w:lineRule="auto"/>
              <w:ind w:left="0" w:leftChars="0" w:firstLine="480" w:firstLineChars="200"/>
              <w:rPr>
                <w:rFonts w:hint="eastAsia" w:ascii="宋体" w:hAnsi="宋体"/>
                <w:sz w:val="24"/>
                <w:szCs w:val="36"/>
                <w:highlight w:val="none"/>
              </w:rPr>
            </w:pPr>
            <w:r>
              <w:rPr>
                <w:rFonts w:hint="eastAsia" w:ascii="宋体" w:hAnsi="宋体"/>
                <w:sz w:val="24"/>
                <w:szCs w:val="36"/>
                <w:highlight w:val="none"/>
                <w:lang w:val="en-US" w:eastAsia="zh-CN"/>
              </w:rPr>
              <w:t>排</w:t>
            </w:r>
            <w:r>
              <w:rPr>
                <w:rFonts w:hint="eastAsia" w:ascii="宋体" w:hAnsi="宋体"/>
                <w:sz w:val="24"/>
                <w:szCs w:val="36"/>
                <w:highlight w:val="none"/>
              </w:rPr>
              <w:t>水</w:t>
            </w:r>
          </w:p>
          <w:p>
            <w:pPr>
              <w:pStyle w:val="18"/>
              <w:tabs>
                <w:tab w:val="left" w:pos="0"/>
                <w:tab w:val="left" w:pos="900"/>
                <w:tab w:val="left" w:pos="1365"/>
              </w:tabs>
              <w:spacing w:after="0" w:line="360" w:lineRule="auto"/>
              <w:ind w:left="0" w:leftChars="0" w:firstLine="480" w:firstLineChars="200"/>
              <w:rPr>
                <w:rFonts w:hint="default" w:ascii="宋体" w:hAnsi="宋体" w:eastAsia="宋体" w:cs="Times New Roman"/>
                <w:sz w:val="24"/>
                <w:szCs w:val="36"/>
                <w:highlight w:val="none"/>
                <w:lang w:val="en-US" w:eastAsia="zh-CN"/>
              </w:rPr>
            </w:pPr>
            <w:r>
              <w:rPr>
                <w:rFonts w:hint="eastAsia" w:ascii="宋体" w:hAnsi="宋体" w:eastAsia="宋体" w:cs="Times New Roman"/>
                <w:sz w:val="24"/>
                <w:szCs w:val="36"/>
                <w:highlight w:val="none"/>
                <w:lang w:val="en-US" w:eastAsia="zh-CN"/>
              </w:rPr>
              <w:t>锅炉废水排放量为9t/a；软水制备过程中浓水产生量为45</w:t>
            </w:r>
            <w:r>
              <w:rPr>
                <w:rFonts w:hint="default" w:ascii="宋体" w:hAnsi="宋体" w:eastAsia="宋体" w:cs="Times New Roman"/>
                <w:sz w:val="24"/>
                <w:szCs w:val="36"/>
                <w:highlight w:val="none"/>
                <w:lang w:val="en-US" w:eastAsia="zh-CN"/>
              </w:rPr>
              <w:t>t/a</w:t>
            </w:r>
            <w:r>
              <w:rPr>
                <w:rFonts w:hint="eastAsia" w:ascii="宋体" w:hAnsi="宋体" w:eastAsia="宋体" w:cs="Times New Roman"/>
                <w:sz w:val="24"/>
                <w:szCs w:val="36"/>
                <w:highlight w:val="none"/>
                <w:lang w:val="en-US" w:eastAsia="zh-CN"/>
              </w:rPr>
              <w:t>。锅炉废水和反冲洗废水排入厂区内现有化粪池，定期清掏作用于附近农田施肥，不排入地表水体。</w:t>
            </w:r>
          </w:p>
          <w:p>
            <w:pPr>
              <w:pStyle w:val="18"/>
              <w:tabs>
                <w:tab w:val="left" w:pos="0"/>
                <w:tab w:val="left" w:pos="900"/>
                <w:tab w:val="left" w:pos="1365"/>
              </w:tabs>
              <w:spacing w:after="0" w:line="360" w:lineRule="auto"/>
              <w:ind w:left="0" w:leftChars="0" w:firstLine="480" w:firstLineChars="200"/>
              <w:rPr>
                <w:rFonts w:hint="eastAsia" w:ascii="宋体" w:hAnsi="宋体"/>
                <w:sz w:val="24"/>
                <w:szCs w:val="28"/>
                <w:highlight w:val="none"/>
              </w:rPr>
            </w:pPr>
            <w:r>
              <w:rPr>
                <w:rFonts w:hint="eastAsia" w:ascii="宋体" w:hAnsi="宋体"/>
                <w:sz w:val="24"/>
                <w:szCs w:val="28"/>
                <w:highlight w:val="none"/>
              </w:rPr>
              <w:t>本项目给排水平衡见图1。</w:t>
            </w:r>
          </w:p>
          <w:p>
            <w:pPr>
              <w:pStyle w:val="18"/>
              <w:tabs>
                <w:tab w:val="left" w:pos="0"/>
                <w:tab w:val="left" w:pos="900"/>
                <w:tab w:val="left" w:pos="1365"/>
              </w:tabs>
              <w:spacing w:after="0" w:line="360" w:lineRule="auto"/>
              <w:ind w:left="0" w:leftChars="0" w:firstLine="480" w:firstLineChars="200"/>
              <w:rPr>
                <w:rFonts w:hint="eastAsia" w:ascii="宋体" w:hAnsi="宋体"/>
                <w:sz w:val="24"/>
                <w:szCs w:val="28"/>
                <w:highlight w:val="none"/>
              </w:rPr>
            </w:pPr>
          </w:p>
          <w:p>
            <w:pPr>
              <w:pStyle w:val="18"/>
              <w:tabs>
                <w:tab w:val="left" w:pos="0"/>
                <w:tab w:val="left" w:pos="900"/>
                <w:tab w:val="left" w:pos="1365"/>
              </w:tabs>
              <w:spacing w:after="0" w:line="360" w:lineRule="auto"/>
              <w:ind w:left="0" w:leftChars="0" w:firstLine="480" w:firstLineChars="200"/>
              <w:rPr>
                <w:rFonts w:hint="eastAsia" w:ascii="宋体" w:hAnsi="宋体"/>
                <w:sz w:val="24"/>
                <w:szCs w:val="28"/>
                <w:highlight w:val="none"/>
              </w:rPr>
            </w:pPr>
          </w:p>
          <w:p>
            <w:pPr>
              <w:pStyle w:val="18"/>
              <w:tabs>
                <w:tab w:val="left" w:pos="0"/>
                <w:tab w:val="left" w:pos="900"/>
                <w:tab w:val="left" w:pos="1365"/>
              </w:tabs>
              <w:spacing w:after="0" w:line="360" w:lineRule="auto"/>
              <w:ind w:left="0" w:leftChars="0" w:firstLine="480" w:firstLineChars="200"/>
              <w:rPr>
                <w:rFonts w:hint="eastAsia" w:ascii="宋体" w:hAnsi="宋体"/>
                <w:sz w:val="24"/>
                <w:szCs w:val="28"/>
                <w:highlight w:val="none"/>
              </w:rPr>
            </w:pPr>
          </w:p>
          <w:p>
            <w:pPr>
              <w:pStyle w:val="18"/>
              <w:tabs>
                <w:tab w:val="left" w:pos="0"/>
                <w:tab w:val="left" w:pos="900"/>
                <w:tab w:val="left" w:pos="1365"/>
              </w:tabs>
              <w:spacing w:after="0" w:line="360" w:lineRule="auto"/>
              <w:ind w:left="0" w:leftChars="0" w:firstLine="480" w:firstLineChars="200"/>
              <w:rPr>
                <w:rFonts w:ascii="宋体" w:hAnsi="宋体"/>
                <w:sz w:val="24"/>
                <w:szCs w:val="36"/>
                <w:highlight w:val="yellow"/>
              </w:rPr>
            </w:pPr>
          </w:p>
          <w:p>
            <w:pPr>
              <w:pStyle w:val="18"/>
              <w:tabs>
                <w:tab w:val="left" w:pos="0"/>
                <w:tab w:val="left" w:pos="900"/>
                <w:tab w:val="left" w:pos="1365"/>
              </w:tabs>
              <w:spacing w:after="0" w:line="360" w:lineRule="auto"/>
              <w:ind w:left="0" w:leftChars="0" w:firstLine="480" w:firstLineChars="200"/>
              <w:rPr>
                <w:rFonts w:ascii="宋体" w:hAnsi="宋体"/>
                <w:sz w:val="24"/>
                <w:szCs w:val="36"/>
                <w:highlight w:val="yellow"/>
              </w:rPr>
            </w:pPr>
            <w:r>
              <w:rPr>
                <w:sz w:val="24"/>
              </w:rPr>
              <mc:AlternateContent>
                <mc:Choice Requires="wps">
                  <w:drawing>
                    <wp:anchor distT="0" distB="0" distL="114300" distR="114300" simplePos="0" relativeHeight="251679744" behindDoc="0" locked="0" layoutInCell="1" allowOverlap="1">
                      <wp:simplePos x="0" y="0"/>
                      <wp:positionH relativeFrom="column">
                        <wp:posOffset>3102610</wp:posOffset>
                      </wp:positionH>
                      <wp:positionV relativeFrom="paragraph">
                        <wp:posOffset>38735</wp:posOffset>
                      </wp:positionV>
                      <wp:extent cx="760730" cy="247650"/>
                      <wp:effectExtent l="0" t="0" r="0" b="0"/>
                      <wp:wrapNone/>
                      <wp:docPr id="21" name="矩形 558"/>
                      <wp:cNvGraphicFramePr/>
                      <a:graphic xmlns:a="http://schemas.openxmlformats.org/drawingml/2006/main">
                        <a:graphicData uri="http://schemas.microsoft.com/office/word/2010/wordprocessingShape">
                          <wps:wsp>
                            <wps:cNvSpPr/>
                            <wps:spPr>
                              <a:xfrm>
                                <a:off x="0" y="0"/>
                                <a:ext cx="760730" cy="247650"/>
                              </a:xfrm>
                              <a:prstGeom prst="rect">
                                <a:avLst/>
                              </a:prstGeom>
                              <a:noFill/>
                              <a:ln>
                                <a:noFill/>
                              </a:ln>
                            </wps:spPr>
                            <wps:txbx>
                              <w:txbxContent>
                                <w:p>
                                  <w:pPr>
                                    <w:rPr>
                                      <w:rFonts w:hint="default" w:eastAsia="宋体"/>
                                      <w:lang w:val="en-US" w:eastAsia="zh-CN"/>
                                    </w:rPr>
                                  </w:pPr>
                                  <w:r>
                                    <w:rPr>
                                      <w:rFonts w:hint="eastAsia"/>
                                      <w:lang w:val="en-US" w:eastAsia="zh-CN"/>
                                    </w:rPr>
                                    <w:t>损耗171</w:t>
                                  </w:r>
                                </w:p>
                              </w:txbxContent>
                            </wps:txbx>
                            <wps:bodyPr vert="horz" wrap="square" anchor="t" anchorCtr="0" upright="1"/>
                          </wps:wsp>
                        </a:graphicData>
                      </a:graphic>
                    </wp:anchor>
                  </w:drawing>
                </mc:Choice>
                <mc:Fallback>
                  <w:pict>
                    <v:rect id="矩形 558" o:spid="_x0000_s1026" o:spt="1" style="position:absolute;left:0pt;margin-left:244.3pt;margin-top:3.05pt;height:19.5pt;width:59.9pt;z-index:251679744;mso-width-relative:page;mso-height-relative:page;" filled="f" stroked="f" coordsize="21600,21600" o:gfxdata="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61xr2AAAAAgBAAAPAAAAAAAAAAEAIAAAACIAAABkcnMvZG93bnJl&#10;di54bWxQSwECFAAUAAAACACHTuJA8qkyJ8QBAAB2AwAADgAAAAAAAAABACAAAAAnAQAAZHJzL2Uy&#10;b0RvYy54bWxQSwUGAAAAAAYABgBZAQAAXQUAAAAA&#10;">
                      <v:fill on="f" focussize="0,0"/>
                      <v:stroke on="f"/>
                      <v:imagedata o:title=""/>
                      <o:lock v:ext="edit" aspectratio="f"/>
                      <v:textbox>
                        <w:txbxContent>
                          <w:p>
                            <w:pPr>
                              <w:rPr>
                                <w:rFonts w:hint="default" w:eastAsia="宋体"/>
                                <w:lang w:val="en-US" w:eastAsia="zh-CN"/>
                              </w:rPr>
                            </w:pPr>
                            <w:r>
                              <w:rPr>
                                <w:rFonts w:hint="eastAsia"/>
                                <w:lang w:val="en-US" w:eastAsia="zh-CN"/>
                              </w:rPr>
                              <w:t>损耗171</w:t>
                            </w:r>
                          </w:p>
                        </w:txbxContent>
                      </v:textbox>
                    </v:rect>
                  </w:pict>
                </mc:Fallback>
              </mc:AlternateContent>
            </w:r>
          </w:p>
          <w:p>
            <w:pPr>
              <w:pStyle w:val="18"/>
              <w:tabs>
                <w:tab w:val="left" w:pos="0"/>
                <w:tab w:val="left" w:pos="900"/>
                <w:tab w:val="left" w:pos="1365"/>
              </w:tabs>
              <w:spacing w:after="0" w:line="360" w:lineRule="auto"/>
              <w:ind w:left="0" w:leftChars="0" w:firstLine="480" w:firstLineChars="200"/>
              <w:rPr>
                <w:rFonts w:ascii="宋体" w:hAnsi="宋体"/>
                <w:sz w:val="24"/>
                <w:szCs w:val="36"/>
                <w:highlight w:val="yellow"/>
              </w:rPr>
            </w:pPr>
            <w:r>
              <w:rPr>
                <w:sz w:val="24"/>
              </w:rPr>
              <mc:AlternateContent>
                <mc:Choice Requires="wps">
                  <w:drawing>
                    <wp:anchor distT="0" distB="0" distL="114300" distR="114300" simplePos="0" relativeHeight="251678720" behindDoc="0" locked="0" layoutInCell="1" allowOverlap="1">
                      <wp:simplePos x="0" y="0"/>
                      <wp:positionH relativeFrom="column">
                        <wp:posOffset>2569210</wp:posOffset>
                      </wp:positionH>
                      <wp:positionV relativeFrom="paragraph">
                        <wp:posOffset>277495</wp:posOffset>
                      </wp:positionV>
                      <wp:extent cx="485775" cy="247650"/>
                      <wp:effectExtent l="0" t="0" r="0" b="0"/>
                      <wp:wrapNone/>
                      <wp:docPr id="20" name="矩形 557"/>
                      <wp:cNvGraphicFramePr/>
                      <a:graphic xmlns:a="http://schemas.openxmlformats.org/drawingml/2006/main">
                        <a:graphicData uri="http://schemas.microsoft.com/office/word/2010/wordprocessingShape">
                          <wps:wsp>
                            <wps:cNvSpPr/>
                            <wps:spPr>
                              <a:xfrm>
                                <a:off x="0" y="0"/>
                                <a:ext cx="485775" cy="247650"/>
                              </a:xfrm>
                              <a:prstGeom prst="rect">
                                <a:avLst/>
                              </a:prstGeom>
                              <a:noFill/>
                              <a:ln>
                                <a:noFill/>
                              </a:ln>
                            </wps:spPr>
                            <wps:txbx>
                              <w:txbxContent>
                                <w:p>
                                  <w:pPr>
                                    <w:rPr>
                                      <w:rFonts w:hint="default" w:eastAsia="宋体"/>
                                      <w:lang w:val="en-US" w:eastAsia="zh-CN"/>
                                    </w:rPr>
                                  </w:pPr>
                                  <w:r>
                                    <w:rPr>
                                      <w:rFonts w:hint="eastAsia"/>
                                      <w:lang w:val="en-US" w:eastAsia="zh-CN"/>
                                    </w:rPr>
                                    <w:t>180</w:t>
                                  </w:r>
                                </w:p>
                              </w:txbxContent>
                            </wps:txbx>
                            <wps:bodyPr wrap="square" upright="1"/>
                          </wps:wsp>
                        </a:graphicData>
                      </a:graphic>
                    </wp:anchor>
                  </w:drawing>
                </mc:Choice>
                <mc:Fallback>
                  <w:pict>
                    <v:rect id="矩形 557" o:spid="_x0000_s1026" o:spt="1" style="position:absolute;left:0pt;margin-left:202.3pt;margin-top:21.85pt;height:19.5pt;width:38.25pt;z-index:251678720;mso-width-relative:page;mso-height-relative:page;" filled="f" stroked="f" coordsize="21600,21600" o:gfxdata="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dtf&#10;mNoAAAAJAQAADwAAAAAAAAABACAAAAAiAAAAZHJzL2Rvd25yZXYueG1sUEsBAhQAFAAAAAgAh07i&#10;QJ7y0CiuAQAAUQMAAA4AAAAAAAAAAQAgAAAAKQEAAGRycy9lMm9Eb2MueG1sUEsFBgAAAAAGAAYA&#10;WQEAAEkFAAAAAA==&#10;">
                      <v:fill on="f" focussize="0,0"/>
                      <v:stroke on="f"/>
                      <v:imagedata o:title=""/>
                      <o:lock v:ext="edit" aspectratio="f"/>
                      <v:textbox>
                        <w:txbxContent>
                          <w:p>
                            <w:pPr>
                              <w:rPr>
                                <w:rFonts w:hint="default" w:eastAsia="宋体"/>
                                <w:lang w:val="en-US" w:eastAsia="zh-CN"/>
                              </w:rPr>
                            </w:pPr>
                            <w:r>
                              <w:rPr>
                                <w:rFonts w:hint="eastAsia"/>
                                <w:lang w:val="en-US" w:eastAsia="zh-CN"/>
                              </w:rPr>
                              <w:t>180</w:t>
                            </w:r>
                          </w:p>
                        </w:txbxContent>
                      </v:textbox>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1231265</wp:posOffset>
                      </wp:positionH>
                      <wp:positionV relativeFrom="paragraph">
                        <wp:posOffset>241935</wp:posOffset>
                      </wp:positionV>
                      <wp:extent cx="485775" cy="247650"/>
                      <wp:effectExtent l="0" t="0" r="0" b="0"/>
                      <wp:wrapNone/>
                      <wp:docPr id="5" name="矩形 538"/>
                      <wp:cNvGraphicFramePr/>
                      <a:graphic xmlns:a="http://schemas.openxmlformats.org/drawingml/2006/main">
                        <a:graphicData uri="http://schemas.microsoft.com/office/word/2010/wordprocessingShape">
                          <wps:wsp>
                            <wps:cNvSpPr/>
                            <wps:spPr>
                              <a:xfrm>
                                <a:off x="0" y="0"/>
                                <a:ext cx="485775" cy="247650"/>
                              </a:xfrm>
                              <a:prstGeom prst="rect">
                                <a:avLst/>
                              </a:prstGeom>
                              <a:noFill/>
                              <a:ln>
                                <a:noFill/>
                              </a:ln>
                            </wps:spPr>
                            <wps:txbx>
                              <w:txbxContent>
                                <w:p>
                                  <w:pPr>
                                    <w:rPr>
                                      <w:rFonts w:hint="default" w:eastAsia="宋体"/>
                                      <w:lang w:val="en-US" w:eastAsia="zh-CN"/>
                                    </w:rPr>
                                  </w:pPr>
                                  <w:r>
                                    <w:rPr>
                                      <w:rFonts w:hint="eastAsia"/>
                                      <w:lang w:val="en-US" w:eastAsia="zh-CN"/>
                                    </w:rPr>
                                    <w:t>225</w:t>
                                  </w:r>
                                </w:p>
                              </w:txbxContent>
                            </wps:txbx>
                            <wps:bodyPr vert="horz" wrap="square" anchor="t" anchorCtr="0" upright="1"/>
                          </wps:wsp>
                        </a:graphicData>
                      </a:graphic>
                    </wp:anchor>
                  </w:drawing>
                </mc:Choice>
                <mc:Fallback>
                  <w:pict>
                    <v:rect id="矩形 538" o:spid="_x0000_s1026" o:spt="1" style="position:absolute;left:0pt;margin-left:96.95pt;margin-top:19.05pt;height:19.5pt;width:38.25pt;z-index:251663360;mso-width-relative:page;mso-height-relative:page;" filled="f" stroked="f" coordsize="21600,21600" o:gfxdata="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86gQNoAAAAJAQAADwAAAAAAAAABACAAAAAiAAAAZHJzL2Rvd25y&#10;ZXYueG1sUEsBAhQAFAAAAAgAh07iQGnzCWvDAQAAdQMAAA4AAAAAAAAAAQAgAAAAKQEAAGRycy9l&#10;Mm9Eb2MueG1sUEsFBgAAAAAGAAYAWQEAAF4FAAAAAA==&#10;">
                      <v:fill on="f" focussize="0,0"/>
                      <v:stroke on="f"/>
                      <v:imagedata o:title=""/>
                      <o:lock v:ext="edit" aspectratio="f"/>
                      <v:textbox>
                        <w:txbxContent>
                          <w:p>
                            <w:pPr>
                              <w:rPr>
                                <w:rFonts w:hint="default" w:eastAsia="宋体"/>
                                <w:lang w:val="en-US" w:eastAsia="zh-CN"/>
                              </w:rPr>
                            </w:pPr>
                            <w:r>
                              <w:rPr>
                                <w:rFonts w:hint="eastAsia"/>
                                <w:lang w:val="en-US" w:eastAsia="zh-CN"/>
                              </w:rPr>
                              <w:t>225</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3281045</wp:posOffset>
                      </wp:positionH>
                      <wp:positionV relativeFrom="paragraph">
                        <wp:posOffset>65405</wp:posOffset>
                      </wp:positionV>
                      <wp:extent cx="412750" cy="223520"/>
                      <wp:effectExtent l="6350" t="0" r="55880" b="6350"/>
                      <wp:wrapNone/>
                      <wp:docPr id="7" name="自选图形 540"/>
                      <wp:cNvGraphicFramePr/>
                      <a:graphic xmlns:a="http://schemas.openxmlformats.org/drawingml/2006/main">
                        <a:graphicData uri="http://schemas.microsoft.com/office/word/2010/wordprocessingShape">
                          <wps:wsp>
                            <wps:cNvCnPr>
                              <a:stCxn id="3" idx="0"/>
                            </wps:cNvCnPr>
                            <wps:spPr>
                              <a:xfrm rot="-5400000">
                                <a:off x="0" y="0"/>
                                <a:ext cx="412750" cy="223520"/>
                              </a:xfrm>
                              <a:prstGeom prst="bentConnector3">
                                <a:avLst>
                                  <a:gd name="adj1" fmla="val 49847"/>
                                </a:avLst>
                              </a:prstGeom>
                              <a:ln w="12700" cap="flat" cmpd="sng">
                                <a:solidFill>
                                  <a:srgbClr val="000000"/>
                                </a:solidFill>
                                <a:prstDash val="dash"/>
                                <a:miter/>
                                <a:headEnd type="none" w="med" len="med"/>
                                <a:tailEnd type="arrow" w="med" len="med"/>
                              </a:ln>
                            </wps:spPr>
                            <wps:bodyPr/>
                          </wps:wsp>
                        </a:graphicData>
                      </a:graphic>
                    </wp:anchor>
                  </w:drawing>
                </mc:Choice>
                <mc:Fallback>
                  <w:pict>
                    <v:shape id="自选图形 540" o:spid="_x0000_s1026" o:spt="34" type="#_x0000_t34" style="position:absolute;left:0pt;margin-left:258.35pt;margin-top:5.15pt;height:17.6pt;width:32.5pt;rotation:-5898240f;z-index:251665408;mso-width-relative:page;mso-height-relative:page;" filled="f" stroked="t" coordsize="21600,21600" o:gfxdata="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ixptkAAAAJAQAADwAAAAAAAAABACAAAAAiAAAAZHJzL2Rvd25yZXYu&#10;eG1sUEsBAhQAFAAAAAgAh07iQJVpAdYzAgAAUgQAAA4AAAAAAAAAAQAgAAAAKAEAAGRycy9lMm9E&#10;b2MueG1sUEsFBgAAAAAGAAYAWQEAAM0FAAAAAA==&#10;" adj="10767">
                      <v:fill on="f" focussize="0,0"/>
                      <v:stroke weight="1pt" color="#000000" joinstyle="miter" dashstyle="dash" endarrow="open"/>
                      <v:imagedata o:title=""/>
                      <o:lock v:ext="edit" aspectratio="f"/>
                    </v:shape>
                  </w:pict>
                </mc:Fallback>
              </mc:AlternateContent>
            </w:r>
          </w:p>
          <w:p>
            <w:pPr>
              <w:pStyle w:val="78"/>
              <w:spacing w:line="240" w:lineRule="auto"/>
              <w:ind w:firstLine="0" w:firstLineChars="0"/>
              <w:jc w:val="center"/>
              <w:rPr>
                <w:highlight w:val="yellow"/>
              </w:rPr>
            </w:pPr>
            <w:r>
              <w:rPr>
                <w:sz w:val="24"/>
              </w:rPr>
              <mc:AlternateContent>
                <mc:Choice Requires="wps">
                  <w:drawing>
                    <wp:anchor distT="0" distB="0" distL="114300" distR="114300" simplePos="0" relativeHeight="251673600" behindDoc="0" locked="0" layoutInCell="1" allowOverlap="1">
                      <wp:simplePos x="0" y="0"/>
                      <wp:positionH relativeFrom="column">
                        <wp:posOffset>1699260</wp:posOffset>
                      </wp:positionH>
                      <wp:positionV relativeFrom="paragraph">
                        <wp:posOffset>60325</wp:posOffset>
                      </wp:positionV>
                      <wp:extent cx="876300" cy="295910"/>
                      <wp:effectExtent l="4445" t="4445" r="14605" b="23495"/>
                      <wp:wrapNone/>
                      <wp:docPr id="15" name="矩形 551"/>
                      <wp:cNvGraphicFramePr/>
                      <a:graphic xmlns:a="http://schemas.openxmlformats.org/drawingml/2006/main">
                        <a:graphicData uri="http://schemas.microsoft.com/office/word/2010/wordprocessingShape">
                          <wps:wsp>
                            <wps:cNvSpPr/>
                            <wps:spPr>
                              <a:xfrm>
                                <a:off x="0" y="0"/>
                                <a:ext cx="87630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软化水设备</w:t>
                                  </w:r>
                                </w:p>
                              </w:txbxContent>
                            </wps:txbx>
                            <wps:bodyPr vert="horz" wrap="square" anchor="t" anchorCtr="0" upright="1"/>
                          </wps:wsp>
                        </a:graphicData>
                      </a:graphic>
                    </wp:anchor>
                  </w:drawing>
                </mc:Choice>
                <mc:Fallback>
                  <w:pict>
                    <v:rect id="矩形 551" o:spid="_x0000_s1026" o:spt="1" style="position:absolute;left:0pt;margin-left:133.8pt;margin-top:4.75pt;height:23.3pt;width:69pt;z-index:251673600;mso-width-relative:page;mso-height-relative:page;" fillcolor="#FFFFFF" filled="t" stroked="t" coordsize="21600,21600" o:gfxdata="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8VjP&#10;1gAAAAgBAAAPAAAAAAAAAAEAIAAAACIAAABkcnMvZG93bnJldi54bWxQSwECFAAUAAAACACHTuJA&#10;8ybFGiMCAABeBAAADgAAAAAAAAABACAAAAAlAQAAZHJzL2Uyb0RvYy54bWxQSwUGAAAAAAYABgBZ&#10;AQAAug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软化水设备</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2996565</wp:posOffset>
                      </wp:positionH>
                      <wp:positionV relativeFrom="paragraph">
                        <wp:posOffset>94615</wp:posOffset>
                      </wp:positionV>
                      <wp:extent cx="771525" cy="295910"/>
                      <wp:effectExtent l="4445" t="4445" r="5080" b="23495"/>
                      <wp:wrapNone/>
                      <wp:docPr id="3" name="矩形 535"/>
                      <wp:cNvGraphicFramePr/>
                      <a:graphic xmlns:a="http://schemas.openxmlformats.org/drawingml/2006/main">
                        <a:graphicData uri="http://schemas.microsoft.com/office/word/2010/wordprocessingShape">
                          <wps:wsp>
                            <wps:cNvSpPr/>
                            <wps:spPr>
                              <a:xfrm>
                                <a:off x="0" y="0"/>
                                <a:ext cx="77152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蒸汽锅炉</w:t>
                                  </w:r>
                                </w:p>
                              </w:txbxContent>
                            </wps:txbx>
                            <wps:bodyPr vert="horz" wrap="square" anchor="t" anchorCtr="0" upright="1"/>
                          </wps:wsp>
                        </a:graphicData>
                      </a:graphic>
                    </wp:anchor>
                  </w:drawing>
                </mc:Choice>
                <mc:Fallback>
                  <w:pict>
                    <v:rect id="矩形 535" o:spid="_x0000_s1026" o:spt="1" style="position:absolute;left:0pt;margin-left:235.95pt;margin-top:7.45pt;height:23.3pt;width:60.75pt;z-index:251661312;mso-width-relative:page;mso-height-relative:page;" fillcolor="#FFFFFF" filled="t" stroked="t" coordsize="21600,21600" o:gfxdata="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CFO&#10;b9gAAAAJAQAADwAAAAAAAAABACAAAAAiAAAAZHJzL2Rvd25yZXYueG1sUEsBAhQAFAAAAAgAh07i&#10;QEGCex4iAgAAXQQAAA4AAAAAAAAAAQAgAAAAJwEAAGRycy9lMm9Eb2MueG1sUEsFBgAAAAAGAAYA&#10;WQEAALs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蒸汽锅炉</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612140</wp:posOffset>
                      </wp:positionH>
                      <wp:positionV relativeFrom="paragraph">
                        <wp:posOffset>81915</wp:posOffset>
                      </wp:positionV>
                      <wp:extent cx="685800" cy="295910"/>
                      <wp:effectExtent l="4445" t="4445" r="14605" b="23495"/>
                      <wp:wrapNone/>
                      <wp:docPr id="1" name="矩形 533"/>
                      <wp:cNvGraphicFramePr/>
                      <a:graphic xmlns:a="http://schemas.openxmlformats.org/drawingml/2006/main">
                        <a:graphicData uri="http://schemas.microsoft.com/office/word/2010/wordprocessingShape">
                          <wps:wsp>
                            <wps:cNvSpPr/>
                            <wps:spPr>
                              <a:xfrm>
                                <a:off x="0" y="0"/>
                                <a:ext cx="68580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新鲜水</w:t>
                                  </w:r>
                                </w:p>
                              </w:txbxContent>
                            </wps:txbx>
                            <wps:bodyPr vert="horz" wrap="square" anchor="t" anchorCtr="0" upright="1"/>
                          </wps:wsp>
                        </a:graphicData>
                      </a:graphic>
                    </wp:anchor>
                  </w:drawing>
                </mc:Choice>
                <mc:Fallback>
                  <w:pict>
                    <v:rect id="矩形 533" o:spid="_x0000_s1026" o:spt="1" style="position:absolute;left:0pt;margin-left:48.2pt;margin-top:6.45pt;height:23.3pt;width:54pt;z-index:251659264;mso-width-relative:page;mso-height-relative:page;" fillcolor="#FFFFFF" filled="t" stroked="t" coordsize="21600,21600" o:gfxdata="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VZYv&#10;1gAAAAgBAAAPAAAAAAAAAAEAIAAAACIAAABkcnMvZG93bnJldi54bWxQSwECFAAUAAAACACHTuJA&#10;ueJfXiMCAABdBAAADgAAAAAAAAABACAAAAAlAQAAZHJzL2Uyb0RvYy54bWxQSwUGAAAAAAYABgBZ&#10;AQAAugU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新鲜水</w:t>
                            </w:r>
                          </w:p>
                        </w:txbxContent>
                      </v:textbox>
                    </v:rect>
                  </w:pict>
                </mc:Fallback>
              </mc:AlternateContent>
            </w:r>
          </w:p>
          <w:p>
            <w:pPr>
              <w:pStyle w:val="78"/>
              <w:spacing w:line="240" w:lineRule="auto"/>
              <w:ind w:firstLine="0" w:firstLineChars="0"/>
              <w:jc w:val="center"/>
              <w:rPr>
                <w:highlight w:val="yellow"/>
              </w:rPr>
            </w:pPr>
            <w:r>
              <w:rPr>
                <w:sz w:val="24"/>
              </w:rPr>
              <mc:AlternateContent>
                <mc:Choice Requires="wps">
                  <w:drawing>
                    <wp:anchor distT="0" distB="0" distL="114300" distR="114300" simplePos="0" relativeHeight="251677696" behindDoc="0" locked="0" layoutInCell="1" allowOverlap="1">
                      <wp:simplePos x="0" y="0"/>
                      <wp:positionH relativeFrom="column">
                        <wp:posOffset>2593340</wp:posOffset>
                      </wp:positionH>
                      <wp:positionV relativeFrom="paragraph">
                        <wp:posOffset>64770</wp:posOffset>
                      </wp:positionV>
                      <wp:extent cx="390525" cy="9525"/>
                      <wp:effectExtent l="0" t="41910" r="9525" b="62865"/>
                      <wp:wrapNone/>
                      <wp:docPr id="19" name="直线 556"/>
                      <wp:cNvGraphicFramePr/>
                      <a:graphic xmlns:a="http://schemas.openxmlformats.org/drawingml/2006/main">
                        <a:graphicData uri="http://schemas.microsoft.com/office/word/2010/wordprocessingShape">
                          <wps:wsp>
                            <wps:cNvCnPr/>
                            <wps:spPr>
                              <a:xfrm>
                                <a:off x="0" y="0"/>
                                <a:ext cx="3905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56" o:spid="_x0000_s1026" o:spt="20" style="position:absolute;left:0pt;margin-left:204.2pt;margin-top:5.1pt;height:0.75pt;width:30.75pt;z-index:251677696;mso-width-relative:page;mso-height-relative:page;" filled="f" stroked="t" coordsize="21600,21600" o:gfxdata="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z8nazZAAAACQEAAA8AAAAAAAAAAQAgAAAAIgAAAGRycy9kb3ducmV2LnhtbFBLAQIUABQAAAAI&#10;AIdO4kDlw2qf7AEAAOEDAAAOAAAAAAAAAAEAIAAAACgBAABkcnMvZTJvRG9jLnhtbFBLBQYAAAAA&#10;BgAGAFkBAACG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1297940</wp:posOffset>
                      </wp:positionH>
                      <wp:positionV relativeFrom="paragraph">
                        <wp:posOffset>49530</wp:posOffset>
                      </wp:positionV>
                      <wp:extent cx="390525" cy="9525"/>
                      <wp:effectExtent l="0" t="41910" r="9525" b="62865"/>
                      <wp:wrapNone/>
                      <wp:docPr id="2" name="直线 534"/>
                      <wp:cNvGraphicFramePr/>
                      <a:graphic xmlns:a="http://schemas.openxmlformats.org/drawingml/2006/main">
                        <a:graphicData uri="http://schemas.microsoft.com/office/word/2010/wordprocessingShape">
                          <wps:wsp>
                            <wps:cNvCnPr/>
                            <wps:spPr>
                              <a:xfrm>
                                <a:off x="0" y="0"/>
                                <a:ext cx="3905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34" o:spid="_x0000_s1026" o:spt="20" style="position:absolute;left:0pt;margin-left:102.2pt;margin-top:3.9pt;height:0.75pt;width:30.75pt;z-index:251660288;mso-width-relative:page;mso-height-relative:page;" filled="f" stroked="t" coordsize="21600,21600" o:gfxdata="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FTJjZAAAABwEAAA8AAAAAAAAAAQAgAAAAIgAAAGRycy9kb3ducmV2LnhtbFBLAQIUABQAAAAI&#10;AIdO4kDC1OBF7AEAAOADAAAOAAAAAAAAAAEAIAAAACgBAABkcnMvZTJvRG9jLnhtbFBLBQYAAAAA&#10;BgAGAFkBAACGBQAAAAA=&#10;">
                      <v:fill on="f" focussize="0,0"/>
                      <v:stroke color="#000000" joinstyle="round" endarrow="open"/>
                      <v:imagedata o:title=""/>
                      <o:lock v:ext="edit" aspectratio="f"/>
                    </v:line>
                  </w:pict>
                </mc:Fallback>
              </mc:AlternateContent>
            </w:r>
          </w:p>
          <w:p>
            <w:pPr>
              <w:pStyle w:val="78"/>
              <w:spacing w:line="240" w:lineRule="auto"/>
              <w:ind w:firstLine="0" w:firstLineChars="0"/>
              <w:jc w:val="center"/>
              <w:rPr>
                <w:highlight w:val="yellow"/>
              </w:rPr>
            </w:pPr>
            <w:r>
              <w:rPr>
                <w:sz w:val="24"/>
              </w:rPr>
              <mc:AlternateContent>
                <mc:Choice Requires="wps">
                  <w:drawing>
                    <wp:anchor distT="0" distB="0" distL="114300" distR="114300" simplePos="0" relativeHeight="251664384" behindDoc="0" locked="0" layoutInCell="1" allowOverlap="1">
                      <wp:simplePos x="0" y="0"/>
                      <wp:positionH relativeFrom="column">
                        <wp:posOffset>3068320</wp:posOffset>
                      </wp:positionH>
                      <wp:positionV relativeFrom="paragraph">
                        <wp:posOffset>97155</wp:posOffset>
                      </wp:positionV>
                      <wp:extent cx="248285" cy="247650"/>
                      <wp:effectExtent l="0" t="0" r="18415" b="0"/>
                      <wp:wrapNone/>
                      <wp:docPr id="6" name="矩形 539"/>
                      <wp:cNvGraphicFramePr/>
                      <a:graphic xmlns:a="http://schemas.openxmlformats.org/drawingml/2006/main">
                        <a:graphicData uri="http://schemas.microsoft.com/office/word/2010/wordprocessingShape">
                          <wps:wsp>
                            <wps:cNvSpPr/>
                            <wps:spPr>
                              <a:xfrm>
                                <a:off x="0" y="0"/>
                                <a:ext cx="248285" cy="247650"/>
                              </a:xfrm>
                              <a:prstGeom prst="rect">
                                <a:avLst/>
                              </a:prstGeom>
                              <a:solidFill>
                                <a:srgbClr val="FFFFFF"/>
                              </a:solidFill>
                              <a:ln>
                                <a:noFill/>
                              </a:ln>
                            </wps:spPr>
                            <wps:txbx>
                              <w:txbxContent>
                                <w:p>
                                  <w:pPr>
                                    <w:rPr>
                                      <w:rFonts w:hint="default" w:eastAsia="宋体"/>
                                      <w:lang w:val="en-US" w:eastAsia="zh-CN"/>
                                    </w:rPr>
                                  </w:pPr>
                                  <w:r>
                                    <w:rPr>
                                      <w:rFonts w:hint="eastAsia"/>
                                      <w:lang w:val="en-US" w:eastAsia="zh-CN"/>
                                    </w:rPr>
                                    <w:t>9</w:t>
                                  </w:r>
                                </w:p>
                              </w:txbxContent>
                            </wps:txbx>
                            <wps:bodyPr vert="horz" wrap="square" anchor="t" anchorCtr="0" upright="1"/>
                          </wps:wsp>
                        </a:graphicData>
                      </a:graphic>
                    </wp:anchor>
                  </w:drawing>
                </mc:Choice>
                <mc:Fallback>
                  <w:pict>
                    <v:rect id="矩形 539" o:spid="_x0000_s1026" o:spt="1" style="position:absolute;left:0pt;margin-left:241.6pt;margin-top:7.65pt;height:19.5pt;width:19.55pt;z-index:251664384;mso-width-relative:page;mso-height-relative:page;" fillcolor="#FFFFFF" filled="t" stroked="f" coordsize="21600,21600" o:gfxdata="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bTd6tYAAAAJAQAADwAAAAAAAAAB&#10;ACAAAAAiAAAAZHJzL2Rvd25yZXYueG1sUEsBAhQAFAAAAAgAh07iQOjPO6nZAQAAngMAAA4AAAAA&#10;AAAAAQAgAAAAJQEAAGRycy9lMm9Eb2MueG1sUEsFBgAAAAAGAAYAWQEAAHAFAAAAAA==&#10;">
                      <v:fill on="t" focussize="0,0"/>
                      <v:stroke on="f"/>
                      <v:imagedata o:title=""/>
                      <o:lock v:ext="edit" aspectratio="f"/>
                      <v:textbox>
                        <w:txbxContent>
                          <w:p>
                            <w:pPr>
                              <w:rPr>
                                <w:rFonts w:hint="default" w:eastAsia="宋体"/>
                                <w:lang w:val="en-US" w:eastAsia="zh-CN"/>
                              </w:rPr>
                            </w:pPr>
                            <w:r>
                              <w:rPr>
                                <w:rFonts w:hint="eastAsia"/>
                                <w:lang w:val="en-US" w:eastAsia="zh-CN"/>
                              </w:rPr>
                              <w:t>9</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3274060</wp:posOffset>
                      </wp:positionH>
                      <wp:positionV relativeFrom="paragraph">
                        <wp:posOffset>100330</wp:posOffset>
                      </wp:positionV>
                      <wp:extent cx="1045845" cy="295910"/>
                      <wp:effectExtent l="0" t="0" r="0" b="0"/>
                      <wp:wrapNone/>
                      <wp:docPr id="23" name="矩形 560"/>
                      <wp:cNvGraphicFramePr/>
                      <a:graphic xmlns:a="http://schemas.openxmlformats.org/drawingml/2006/main">
                        <a:graphicData uri="http://schemas.microsoft.com/office/word/2010/wordprocessingShape">
                          <wps:wsp>
                            <wps:cNvSpPr/>
                            <wps:spPr>
                              <a:xfrm>
                                <a:off x="0" y="0"/>
                                <a:ext cx="1045845" cy="295910"/>
                              </a:xfrm>
                              <a:prstGeom prst="rect">
                                <a:avLst/>
                              </a:prstGeom>
                              <a:noFill/>
                              <a:ln>
                                <a:noFill/>
                              </a:ln>
                            </wps:spPr>
                            <wps:txbx>
                              <w:txbxContent>
                                <w:p>
                                  <w:pPr>
                                    <w:jc w:val="both"/>
                                    <w:rPr>
                                      <w:rFonts w:hint="default" w:eastAsia="宋体"/>
                                      <w:lang w:val="en-US" w:eastAsia="zh-CN"/>
                                    </w:rPr>
                                  </w:pPr>
                                  <w:r>
                                    <w:rPr>
                                      <w:rFonts w:hint="eastAsia" w:eastAsia="宋体"/>
                                      <w:lang w:val="en-US" w:eastAsia="zh-CN"/>
                                    </w:rPr>
                                    <w:t>锅炉废水</w:t>
                                  </w:r>
                                </w:p>
                              </w:txbxContent>
                            </wps:txbx>
                            <wps:bodyPr vert="horz" wrap="square" anchor="t" anchorCtr="0" upright="1"/>
                          </wps:wsp>
                        </a:graphicData>
                      </a:graphic>
                    </wp:anchor>
                  </w:drawing>
                </mc:Choice>
                <mc:Fallback>
                  <w:pict>
                    <v:rect id="矩形 560" o:spid="_x0000_s1026" o:spt="1" style="position:absolute;left:0pt;margin-left:257.8pt;margin-top:7.9pt;height:23.3pt;width:82.35pt;z-index:251681792;mso-width-relative:page;mso-height-relative:page;" filled="f" stroked="f" coordsize="21600,21600" o:gfxdata="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MIZrfaAAAACQEAAA8AAAAAAAAAAQAgAAAAIgAAAGRycy9kb3du&#10;cmV2LnhtbFBLAQIUABQAAAAIAIdO4kC+xTUvxAEAAHcDAAAOAAAAAAAAAAEAIAAAACkBAABkcnMv&#10;ZTJvRG9jLnhtbFBLBQYAAAAABgAGAFkBAABfBQAAAAA=&#10;">
                      <v:fill on="f" focussize="0,0"/>
                      <v:stroke on="f"/>
                      <v:imagedata o:title=""/>
                      <o:lock v:ext="edit" aspectratio="f"/>
                      <v:textbox>
                        <w:txbxContent>
                          <w:p>
                            <w:pPr>
                              <w:jc w:val="both"/>
                              <w:rPr>
                                <w:rFonts w:hint="default" w:eastAsia="宋体"/>
                                <w:lang w:val="en-US" w:eastAsia="zh-CN"/>
                              </w:rPr>
                            </w:pPr>
                            <w:r>
                              <w:rPr>
                                <w:rFonts w:hint="eastAsia" w:eastAsia="宋体"/>
                                <w:lang w:val="en-US" w:eastAsia="zh-CN"/>
                              </w:rPr>
                              <w:t>锅炉废水</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3354705</wp:posOffset>
                      </wp:positionH>
                      <wp:positionV relativeFrom="paragraph">
                        <wp:posOffset>73660</wp:posOffset>
                      </wp:positionV>
                      <wp:extent cx="9525" cy="368935"/>
                      <wp:effectExtent l="41910" t="0" r="62865" b="12065"/>
                      <wp:wrapNone/>
                      <wp:docPr id="22" name="直线 559"/>
                      <wp:cNvGraphicFramePr/>
                      <a:graphic xmlns:a="http://schemas.openxmlformats.org/drawingml/2006/main">
                        <a:graphicData uri="http://schemas.microsoft.com/office/word/2010/wordprocessingShape">
                          <wps:wsp>
                            <wps:cNvCnPr/>
                            <wps:spPr>
                              <a:xfrm>
                                <a:off x="0" y="0"/>
                                <a:ext cx="9525" cy="3689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59" o:spid="_x0000_s1026" o:spt="20" style="position:absolute;left:0pt;margin-left:264.15pt;margin-top:5.8pt;height:29.05pt;width:0.75pt;z-index:251680768;mso-width-relative:page;mso-height-relative:page;" filled="f" stroked="t" coordsize="21600,21600" o:gfxdata="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yxpdoAAAAJAQAADwAAAAAAAAABACAAAAAiAAAAZHJzL2Rvd25yZXYueG1sUEsBAhQAFAAA&#10;AAgAh07iQLjeDhvtAQAA4QMAAA4AAAAAAAAAAQAgAAAAKQ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1917065</wp:posOffset>
                      </wp:positionH>
                      <wp:positionV relativeFrom="paragraph">
                        <wp:posOffset>106680</wp:posOffset>
                      </wp:positionV>
                      <wp:extent cx="993140" cy="295910"/>
                      <wp:effectExtent l="0" t="0" r="0" b="0"/>
                      <wp:wrapNone/>
                      <wp:docPr id="18" name="矩形 555"/>
                      <wp:cNvGraphicFramePr/>
                      <a:graphic xmlns:a="http://schemas.openxmlformats.org/drawingml/2006/main">
                        <a:graphicData uri="http://schemas.microsoft.com/office/word/2010/wordprocessingShape">
                          <wps:wsp>
                            <wps:cNvSpPr/>
                            <wps:spPr>
                              <a:xfrm>
                                <a:off x="0" y="0"/>
                                <a:ext cx="993140" cy="295910"/>
                              </a:xfrm>
                              <a:prstGeom prst="rect">
                                <a:avLst/>
                              </a:prstGeom>
                              <a:noFill/>
                              <a:ln>
                                <a:noFill/>
                              </a:ln>
                            </wps:spPr>
                            <wps:txbx>
                              <w:txbxContent>
                                <w:p>
                                  <w:pPr>
                                    <w:jc w:val="center"/>
                                    <w:rPr>
                                      <w:rFonts w:hint="default" w:eastAsia="宋体"/>
                                      <w:lang w:val="en-US" w:eastAsia="zh-CN"/>
                                    </w:rPr>
                                  </w:pPr>
                                  <w:r>
                                    <w:rPr>
                                      <w:rFonts w:hint="eastAsia" w:eastAsia="宋体"/>
                                      <w:lang w:val="en-US" w:eastAsia="zh-CN"/>
                                    </w:rPr>
                                    <w:t>纯水制备废水</w:t>
                                  </w:r>
                                </w:p>
                              </w:txbxContent>
                            </wps:txbx>
                            <wps:bodyPr vert="horz" wrap="square" anchor="t" anchorCtr="0" upright="1"/>
                          </wps:wsp>
                        </a:graphicData>
                      </a:graphic>
                    </wp:anchor>
                  </w:drawing>
                </mc:Choice>
                <mc:Fallback>
                  <w:pict>
                    <v:rect id="矩形 555" o:spid="_x0000_s1026" o:spt="1" style="position:absolute;left:0pt;margin-left:150.95pt;margin-top:8.4pt;height:23.3pt;width:78.2pt;z-index:251676672;mso-width-relative:page;mso-height-relative:page;" filled="f" stroked="f" coordsize="21600,21600" o:gfxdata="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j02C9oAAAAJAQAADwAAAAAAAAABACAAAAAiAAAAZHJzL2Rvd25y&#10;ZXYueG1sUEsBAhQAFAAAAAgAh07iQDc59vTDAQAAdgMAAA4AAAAAAAAAAQAgAAAAKQEAAGRycy9l&#10;Mm9Eb2MueG1sUEsFBgAAAAAGAAYAWQEAAF4FAAAAAA==&#10;">
                      <v:fill on="f" focussize="0,0"/>
                      <v:stroke on="f"/>
                      <v:imagedata o:title=""/>
                      <o:lock v:ext="edit" aspectratio="f"/>
                      <v:textbox>
                        <w:txbxContent>
                          <w:p>
                            <w:pPr>
                              <w:jc w:val="center"/>
                              <w:rPr>
                                <w:rFonts w:hint="default" w:eastAsia="宋体"/>
                                <w:lang w:val="en-US" w:eastAsia="zh-CN"/>
                              </w:rPr>
                            </w:pPr>
                            <w:r>
                              <w:rPr>
                                <w:rFonts w:hint="eastAsia" w:eastAsia="宋体"/>
                                <w:lang w:val="en-US" w:eastAsia="zh-CN"/>
                              </w:rPr>
                              <w:t>纯水制备废水</w:t>
                            </w:r>
                          </w:p>
                        </w:txbxContent>
                      </v:textbox>
                    </v:rect>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2040890</wp:posOffset>
                      </wp:positionH>
                      <wp:positionV relativeFrom="paragraph">
                        <wp:posOffset>34925</wp:posOffset>
                      </wp:positionV>
                      <wp:extent cx="635" cy="428625"/>
                      <wp:effectExtent l="48895" t="0" r="64770" b="9525"/>
                      <wp:wrapNone/>
                      <wp:docPr id="16" name="直线 552"/>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52" o:spid="_x0000_s1026" o:spt="20" style="position:absolute;left:0pt;margin-left:160.7pt;margin-top:2.75pt;height:33.75pt;width:0.05pt;z-index:251674624;mso-width-relative:page;mso-height-relative:page;" filled="f" stroked="t" coordsize="21600,21600" o:gfxdata="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MMdS9gAAAAIAQAADwAAAAAAAAABACAAAAAiAAAAZHJzL2Rvd25yZXYueG1sUEsBAhQAFAAA&#10;AAgAh07iQJFFL8HvAQAA4AMAAA4AAAAAAAAAAQAgAAAAJw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1751965</wp:posOffset>
                      </wp:positionH>
                      <wp:positionV relativeFrom="paragraph">
                        <wp:posOffset>123825</wp:posOffset>
                      </wp:positionV>
                      <wp:extent cx="327025" cy="247650"/>
                      <wp:effectExtent l="0" t="0" r="0" b="0"/>
                      <wp:wrapNone/>
                      <wp:docPr id="17" name="矩形 553"/>
                      <wp:cNvGraphicFramePr/>
                      <a:graphic xmlns:a="http://schemas.openxmlformats.org/drawingml/2006/main">
                        <a:graphicData uri="http://schemas.microsoft.com/office/word/2010/wordprocessingShape">
                          <wps:wsp>
                            <wps:cNvSpPr/>
                            <wps:spPr>
                              <a:xfrm>
                                <a:off x="0" y="0"/>
                                <a:ext cx="327025" cy="247650"/>
                              </a:xfrm>
                              <a:prstGeom prst="rect">
                                <a:avLst/>
                              </a:prstGeom>
                              <a:noFill/>
                              <a:ln>
                                <a:noFill/>
                              </a:ln>
                            </wps:spPr>
                            <wps:txbx>
                              <w:txbxContent>
                                <w:p>
                                  <w:pPr>
                                    <w:rPr>
                                      <w:rFonts w:hint="default" w:eastAsia="宋体"/>
                                      <w:lang w:val="en-US" w:eastAsia="zh-CN"/>
                                    </w:rPr>
                                  </w:pPr>
                                  <w:r>
                                    <w:rPr>
                                      <w:rFonts w:hint="eastAsia"/>
                                      <w:lang w:val="en-US" w:eastAsia="zh-CN"/>
                                    </w:rPr>
                                    <w:t>45</w:t>
                                  </w:r>
                                </w:p>
                              </w:txbxContent>
                            </wps:txbx>
                            <wps:bodyPr vert="horz" wrap="square" anchor="t" anchorCtr="0" upright="1"/>
                          </wps:wsp>
                        </a:graphicData>
                      </a:graphic>
                    </wp:anchor>
                  </w:drawing>
                </mc:Choice>
                <mc:Fallback>
                  <w:pict>
                    <v:rect id="矩形 553" o:spid="_x0000_s1026" o:spt="1" style="position:absolute;left:0pt;margin-left:137.95pt;margin-top:9.75pt;height:19.5pt;width:25.75pt;z-index:251675648;mso-width-relative:page;mso-height-relative:page;" filled="f" stroked="f" coordsize="21600,21600" o:gfxdata="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CxCQS2wAAAAkBAAAPAAAAAAAAAAEAIAAAACIAAABkcnMvZG93&#10;bnJldi54bWxQSwECFAAUAAAACACHTuJA3qjyocQBAAB2AwAADgAAAAAAAAABACAAAAAqAQAAZHJz&#10;L2Uyb0RvYy54bWxQSwUGAAAAAAYABgBZAQAAYAUAAAAA&#10;">
                      <v:fill on="f" focussize="0,0"/>
                      <v:stroke on="f"/>
                      <v:imagedata o:title=""/>
                      <o:lock v:ext="edit" aspectratio="f"/>
                      <v:textbox>
                        <w:txbxContent>
                          <w:p>
                            <w:pPr>
                              <w:rPr>
                                <w:rFonts w:hint="default" w:eastAsia="宋体"/>
                                <w:lang w:val="en-US" w:eastAsia="zh-CN"/>
                              </w:rPr>
                            </w:pPr>
                            <w:r>
                              <w:rPr>
                                <w:rFonts w:hint="eastAsia"/>
                                <w:lang w:val="en-US" w:eastAsia="zh-CN"/>
                              </w:rPr>
                              <w:t>45</w:t>
                            </w:r>
                          </w:p>
                        </w:txbxContent>
                      </v:textbox>
                    </v:rect>
                  </w:pict>
                </mc:Fallback>
              </mc:AlternateContent>
            </w:r>
          </w:p>
          <w:p>
            <w:pPr>
              <w:pStyle w:val="78"/>
              <w:spacing w:line="240" w:lineRule="auto"/>
              <w:ind w:firstLine="0" w:firstLineChars="0"/>
              <w:jc w:val="center"/>
              <w:rPr>
                <w:highlight w:val="yellow"/>
              </w:rPr>
            </w:pPr>
          </w:p>
          <w:p>
            <w:pPr>
              <w:pStyle w:val="78"/>
              <w:spacing w:line="240" w:lineRule="auto"/>
              <w:ind w:firstLine="0" w:firstLineChars="0"/>
              <w:jc w:val="center"/>
              <w:rPr>
                <w:highlight w:val="yellow"/>
              </w:rPr>
            </w:pPr>
            <w:r>
              <w:rPr>
                <w:sz w:val="24"/>
              </w:rPr>
              <mc:AlternateContent>
                <mc:Choice Requires="wps">
                  <w:drawing>
                    <wp:anchor distT="0" distB="0" distL="114300" distR="114300" simplePos="0" relativeHeight="251662336" behindDoc="0" locked="0" layoutInCell="1" allowOverlap="1">
                      <wp:simplePos x="0" y="0"/>
                      <wp:positionH relativeFrom="column">
                        <wp:posOffset>882015</wp:posOffset>
                      </wp:positionH>
                      <wp:positionV relativeFrom="paragraph">
                        <wp:posOffset>125730</wp:posOffset>
                      </wp:positionV>
                      <wp:extent cx="4037965" cy="295910"/>
                      <wp:effectExtent l="0" t="0" r="635" b="8890"/>
                      <wp:wrapNone/>
                      <wp:docPr id="4" name="矩形 537"/>
                      <wp:cNvGraphicFramePr/>
                      <a:graphic xmlns:a="http://schemas.openxmlformats.org/drawingml/2006/main">
                        <a:graphicData uri="http://schemas.microsoft.com/office/word/2010/wordprocessingShape">
                          <wps:wsp>
                            <wps:cNvSpPr/>
                            <wps:spPr>
                              <a:xfrm>
                                <a:off x="0" y="0"/>
                                <a:ext cx="4037965" cy="295910"/>
                              </a:xfrm>
                              <a:prstGeom prst="rect">
                                <a:avLst/>
                              </a:prstGeom>
                              <a:solidFill>
                                <a:srgbClr val="FFFFFF"/>
                              </a:solidFill>
                              <a:ln>
                                <a:noFill/>
                              </a:ln>
                            </wps:spPr>
                            <wps:txbx>
                              <w:txbxContent>
                                <w:p>
                                  <w:pPr>
                                    <w:jc w:val="center"/>
                                    <w:rPr>
                                      <w:rFonts w:hint="default" w:eastAsia="宋体"/>
                                      <w:lang w:val="en-US" w:eastAsia="zh-CN"/>
                                    </w:rPr>
                                  </w:pPr>
                                  <w:r>
                                    <w:rPr>
                                      <w:rFonts w:hint="eastAsia" w:ascii="宋体" w:hAnsi="宋体" w:eastAsia="宋体" w:cs="Times New Roman"/>
                                      <w:sz w:val="24"/>
                                      <w:szCs w:val="36"/>
                                      <w:highlight w:val="none"/>
                                      <w:lang w:val="en-US" w:eastAsia="zh-CN"/>
                                    </w:rPr>
                                    <w:t>厂区内现有</w:t>
                                  </w:r>
                                  <w:r>
                                    <w:rPr>
                                      <w:rFonts w:hint="eastAsia"/>
                                      <w:sz w:val="24"/>
                                      <w:szCs w:val="24"/>
                                    </w:rPr>
                                    <w:t>化粪池</w:t>
                                  </w:r>
                                  <w:r>
                                    <w:rPr>
                                      <w:rFonts w:hint="eastAsia" w:ascii="宋体" w:hAnsi="宋体" w:eastAsia="宋体" w:cs="Times New Roman"/>
                                      <w:sz w:val="24"/>
                                      <w:szCs w:val="36"/>
                                      <w:highlight w:val="none"/>
                                      <w:lang w:val="en-US" w:eastAsia="zh-CN"/>
                                    </w:rPr>
                                    <w:t>，定期清掏作用于附近农田施肥</w:t>
                                  </w:r>
                                </w:p>
                              </w:txbxContent>
                            </wps:txbx>
                            <wps:bodyPr vert="horz" wrap="square" anchor="t" anchorCtr="0" upright="1"/>
                          </wps:wsp>
                        </a:graphicData>
                      </a:graphic>
                    </wp:anchor>
                  </w:drawing>
                </mc:Choice>
                <mc:Fallback>
                  <w:pict>
                    <v:rect id="矩形 537" o:spid="_x0000_s1026" o:spt="1" style="position:absolute;left:0pt;margin-left:69.45pt;margin-top:9.9pt;height:23.3pt;width:317.95pt;z-index:251662336;mso-width-relative:page;mso-height-relative:page;" fillcolor="#FFFFFF" filled="t" stroked="f" coordsize="21600,21600" o:gfxdata="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iM+YfWAAAACQEAAA8AAAAAAAAA&#10;AQAgAAAAIgAAAGRycy9kb3ducmV2LnhtbFBLAQIUABQAAAAIAIdO4kBRkaFU2gEAAJ8DAAAOAAAA&#10;AAAAAAEAIAAAACUBAABkcnMvZTJvRG9jLnhtbFBLBQYAAAAABgAGAFkBAABxBQAAAAA=&#10;">
                      <v:fill on="t" focussize="0,0"/>
                      <v:stroke on="f"/>
                      <v:imagedata o:title=""/>
                      <o:lock v:ext="edit" aspectratio="f"/>
                      <v:textbox>
                        <w:txbxContent>
                          <w:p>
                            <w:pPr>
                              <w:jc w:val="center"/>
                              <w:rPr>
                                <w:rFonts w:hint="default" w:eastAsia="宋体"/>
                                <w:lang w:val="en-US" w:eastAsia="zh-CN"/>
                              </w:rPr>
                            </w:pPr>
                            <w:r>
                              <w:rPr>
                                <w:rFonts w:hint="eastAsia" w:ascii="宋体" w:hAnsi="宋体" w:eastAsia="宋体" w:cs="Times New Roman"/>
                                <w:sz w:val="24"/>
                                <w:szCs w:val="36"/>
                                <w:highlight w:val="none"/>
                                <w:lang w:val="en-US" w:eastAsia="zh-CN"/>
                              </w:rPr>
                              <w:t>厂区内现有</w:t>
                            </w:r>
                            <w:r>
                              <w:rPr>
                                <w:rFonts w:hint="eastAsia"/>
                                <w:sz w:val="24"/>
                                <w:szCs w:val="24"/>
                              </w:rPr>
                              <w:t>化粪池</w:t>
                            </w:r>
                            <w:r>
                              <w:rPr>
                                <w:rFonts w:hint="eastAsia" w:ascii="宋体" w:hAnsi="宋体" w:eastAsia="宋体" w:cs="Times New Roman"/>
                                <w:sz w:val="24"/>
                                <w:szCs w:val="36"/>
                                <w:highlight w:val="none"/>
                                <w:lang w:val="en-US" w:eastAsia="zh-CN"/>
                              </w:rPr>
                              <w:t>，定期清掏作用于附近农田施肥</w:t>
                            </w:r>
                          </w:p>
                        </w:txbxContent>
                      </v:textbox>
                    </v:rect>
                  </w:pict>
                </mc:Fallback>
              </mc:AlternateContent>
            </w:r>
          </w:p>
          <w:p>
            <w:pPr>
              <w:pStyle w:val="78"/>
              <w:spacing w:line="240" w:lineRule="auto"/>
              <w:ind w:firstLine="0" w:firstLineChars="0"/>
              <w:jc w:val="center"/>
              <w:rPr>
                <w:highlight w:val="yellow"/>
              </w:rPr>
            </w:pPr>
          </w:p>
          <w:p>
            <w:pPr>
              <w:pStyle w:val="78"/>
              <w:spacing w:line="240" w:lineRule="auto"/>
              <w:ind w:firstLine="0" w:firstLineChars="0"/>
              <w:jc w:val="center"/>
              <w:rPr>
                <w:highlight w:val="yellow"/>
              </w:rPr>
            </w:pPr>
          </w:p>
          <w:p>
            <w:pPr>
              <w:pStyle w:val="78"/>
              <w:spacing w:line="240" w:lineRule="auto"/>
              <w:ind w:firstLine="0" w:firstLineChars="0"/>
              <w:jc w:val="center"/>
              <w:rPr>
                <w:highlight w:val="yellow"/>
              </w:rPr>
            </w:pPr>
          </w:p>
          <w:p>
            <w:pPr>
              <w:pStyle w:val="78"/>
              <w:spacing w:line="240" w:lineRule="auto"/>
              <w:ind w:firstLine="0" w:firstLineChars="0"/>
              <w:jc w:val="center"/>
              <w:rPr>
                <w:rFonts w:hint="default" w:eastAsia="宋体"/>
                <w:highlight w:val="none"/>
                <w:lang w:val="en-US" w:eastAsia="zh-CN"/>
              </w:rPr>
            </w:pPr>
            <w:r>
              <w:rPr>
                <w:rFonts w:hint="eastAsia"/>
                <w:b/>
                <w:bCs/>
                <w:highlight w:val="none"/>
                <w:lang w:val="en-US" w:eastAsia="zh-CN"/>
              </w:rPr>
              <w:t>图1-1   项目水平衡图     t/a</w:t>
            </w:r>
          </w:p>
          <w:p>
            <w:pPr>
              <w:pStyle w:val="78"/>
              <w:spacing w:line="240" w:lineRule="auto"/>
              <w:ind w:firstLine="0" w:firstLineChars="0"/>
              <w:jc w:val="center"/>
              <w:rPr>
                <w:highlight w:val="yellow"/>
              </w:rPr>
            </w:pPr>
          </w:p>
          <w:p>
            <w:pPr>
              <w:autoSpaceDE w:val="0"/>
              <w:autoSpaceDN w:val="0"/>
              <w:adjustRightInd w:val="0"/>
              <w:snapToGrid w:val="0"/>
              <w:spacing w:line="360" w:lineRule="auto"/>
              <w:jc w:val="center"/>
              <w:rPr>
                <w:rFonts w:hint="eastAsia"/>
                <w:b/>
                <w:sz w:val="24"/>
                <w:highlight w:val="yellow"/>
              </w:rPr>
            </w:pPr>
          </w:p>
          <w:p>
            <w:pPr>
              <w:autoSpaceDE w:val="0"/>
              <w:autoSpaceDN w:val="0"/>
              <w:adjustRightInd w:val="0"/>
              <w:snapToGrid w:val="0"/>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⑶供电</w:t>
            </w:r>
          </w:p>
          <w:p>
            <w:pPr>
              <w:autoSpaceDE w:val="0"/>
              <w:autoSpaceDN w:val="0"/>
              <w:adjustRightInd w:val="0"/>
              <w:snapToGrid w:val="0"/>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本项目用电由当地供电管网提供，能够满足供电需求。</w:t>
            </w:r>
          </w:p>
          <w:p>
            <w:pPr>
              <w:numPr>
                <w:ilvl w:val="0"/>
                <w:numId w:val="0"/>
              </w:numPr>
              <w:autoSpaceDE w:val="0"/>
              <w:autoSpaceDN w:val="0"/>
              <w:adjustRightInd w:val="0"/>
              <w:snapToGrid w:val="0"/>
              <w:spacing w:line="360" w:lineRule="auto"/>
              <w:ind w:left="842" w:leftChars="0" w:hanging="360" w:firstLineChars="0"/>
              <w:rPr>
                <w:rFonts w:hint="eastAsia" w:ascii="宋体" w:hAnsi="宋体" w:cs="宋体"/>
                <w:bCs/>
                <w:sz w:val="24"/>
                <w:highlight w:val="none"/>
              </w:rPr>
            </w:pPr>
            <w:r>
              <w:rPr>
                <w:rFonts w:hint="eastAsia" w:ascii="宋体" w:hAnsi="宋体" w:eastAsia="宋体" w:cs="宋体"/>
                <w:bCs/>
                <w:kern w:val="2"/>
                <w:sz w:val="24"/>
                <w:szCs w:val="24"/>
                <w:lang w:val="en-US" w:eastAsia="zh-CN" w:bidi="ar-SA"/>
              </w:rPr>
              <w:t>⑷</w:t>
            </w:r>
            <w:r>
              <w:rPr>
                <w:rFonts w:hint="eastAsia" w:ascii="宋体" w:hAnsi="宋体" w:cs="宋体"/>
                <w:bCs/>
                <w:sz w:val="24"/>
                <w:highlight w:val="none"/>
              </w:rPr>
              <w:t>供暖</w:t>
            </w:r>
          </w:p>
          <w:p>
            <w:pPr>
              <w:autoSpaceDE w:val="0"/>
              <w:autoSpaceDN w:val="0"/>
              <w:adjustRightInd w:val="0"/>
              <w:snapToGrid w:val="0"/>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本项目</w:t>
            </w:r>
            <w:r>
              <w:rPr>
                <w:rFonts w:hint="eastAsia" w:ascii="宋体" w:hAnsi="宋体" w:cs="宋体"/>
                <w:bCs/>
                <w:sz w:val="24"/>
                <w:highlight w:val="none"/>
                <w:lang w:val="en-US" w:eastAsia="zh-CN"/>
              </w:rPr>
              <w:t>无办公区取暖</w:t>
            </w:r>
            <w:r>
              <w:rPr>
                <w:rFonts w:hint="eastAsia" w:ascii="宋体" w:hAnsi="宋体" w:cs="宋体"/>
                <w:bCs/>
                <w:sz w:val="24"/>
                <w:highlight w:val="none"/>
              </w:rPr>
              <w:t>。</w:t>
            </w:r>
          </w:p>
          <w:p>
            <w:pPr>
              <w:autoSpaceDE w:val="0"/>
              <w:autoSpaceDN w:val="0"/>
              <w:adjustRightInd w:val="0"/>
              <w:snapToGrid w:val="0"/>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5、劳动定员及工作班制</w:t>
            </w:r>
          </w:p>
          <w:p>
            <w:pPr>
              <w:autoSpaceDE w:val="0"/>
              <w:autoSpaceDN w:val="0"/>
              <w:adjustRightInd w:val="0"/>
              <w:snapToGrid w:val="0"/>
              <w:spacing w:line="360" w:lineRule="auto"/>
              <w:ind w:firstLine="480" w:firstLineChars="200"/>
              <w:rPr>
                <w:rFonts w:hint="eastAsia" w:ascii="宋体" w:hAnsi="宋体" w:cs="宋体"/>
                <w:bCs/>
                <w:sz w:val="24"/>
                <w:highlight w:val="none"/>
              </w:rPr>
            </w:pPr>
            <w:r>
              <w:rPr>
                <w:rFonts w:hint="eastAsia" w:cs="宋体"/>
                <w:bCs/>
                <w:sz w:val="24"/>
                <w:lang w:val="en-US" w:eastAsia="zh-CN"/>
              </w:rPr>
              <w:t>制梁场劳动定员100</w:t>
            </w:r>
            <w:r>
              <w:rPr>
                <w:rFonts w:hint="eastAsia" w:ascii="宋体" w:hAnsi="宋体" w:cs="宋体"/>
                <w:bCs/>
                <w:sz w:val="24"/>
              </w:rPr>
              <w:t>人，年运行</w:t>
            </w:r>
            <w:r>
              <w:rPr>
                <w:rFonts w:hint="eastAsia" w:cs="宋体"/>
                <w:bCs/>
                <w:sz w:val="24"/>
                <w:highlight w:val="none"/>
                <w:lang w:val="en-US" w:eastAsia="zh-CN"/>
              </w:rPr>
              <w:t>270</w:t>
            </w:r>
            <w:r>
              <w:rPr>
                <w:rFonts w:hint="eastAsia" w:ascii="宋体" w:hAnsi="宋体" w:cs="宋体"/>
                <w:bCs/>
                <w:sz w:val="24"/>
                <w:highlight w:val="none"/>
              </w:rPr>
              <w:t>d，每天</w:t>
            </w:r>
            <w:r>
              <w:rPr>
                <w:rFonts w:hint="eastAsia" w:cs="宋体"/>
                <w:bCs/>
                <w:sz w:val="24"/>
                <w:highlight w:val="none"/>
                <w:lang w:val="en-US" w:eastAsia="zh-CN"/>
              </w:rPr>
              <w:t>1</w:t>
            </w:r>
            <w:r>
              <w:rPr>
                <w:rFonts w:hint="eastAsia" w:ascii="宋体" w:hAnsi="宋体" w:cs="宋体"/>
                <w:bCs/>
                <w:sz w:val="24"/>
                <w:highlight w:val="none"/>
              </w:rPr>
              <w:t>班，每班</w:t>
            </w:r>
            <w:r>
              <w:rPr>
                <w:rFonts w:hint="eastAsia" w:cs="宋体"/>
                <w:bCs/>
                <w:sz w:val="24"/>
                <w:highlight w:val="none"/>
                <w:lang w:val="en-US" w:eastAsia="zh-CN"/>
              </w:rPr>
              <w:t>8</w:t>
            </w:r>
            <w:r>
              <w:rPr>
                <w:rFonts w:hint="eastAsia" w:ascii="宋体" w:hAnsi="宋体" w:cs="宋体"/>
                <w:bCs/>
                <w:sz w:val="24"/>
                <w:highlight w:val="none"/>
              </w:rPr>
              <w:t>h。经和企业沟通后，企业将现有人员合理分配，无需增加劳动定员。故本项目不新增劳动定员，供热时间共约</w:t>
            </w:r>
            <w:r>
              <w:rPr>
                <w:rFonts w:hint="eastAsia" w:cs="宋体"/>
                <w:bCs/>
                <w:sz w:val="24"/>
                <w:highlight w:val="none"/>
                <w:lang w:val="en-US" w:eastAsia="zh-CN"/>
              </w:rPr>
              <w:t>90</w:t>
            </w:r>
            <w:r>
              <w:rPr>
                <w:rFonts w:hint="eastAsia" w:ascii="宋体" w:hAnsi="宋体" w:cs="宋体"/>
                <w:bCs/>
                <w:sz w:val="24"/>
                <w:highlight w:val="none"/>
              </w:rPr>
              <w:t>d/a</w:t>
            </w:r>
            <w:r>
              <w:rPr>
                <w:rFonts w:hint="eastAsia" w:cs="宋体"/>
                <w:bCs/>
                <w:sz w:val="24"/>
                <w:highlight w:val="none"/>
                <w:lang w:eastAsia="zh-CN"/>
              </w:rPr>
              <w:t>（</w:t>
            </w:r>
            <w:r>
              <w:rPr>
                <w:rFonts w:hint="eastAsia" w:cs="宋体"/>
                <w:bCs/>
                <w:sz w:val="24"/>
                <w:highlight w:val="none"/>
                <w:lang w:val="en-US" w:eastAsia="zh-CN"/>
              </w:rPr>
              <w:t>10月-12月</w:t>
            </w:r>
            <w:r>
              <w:rPr>
                <w:rFonts w:hint="eastAsia" w:cs="宋体"/>
                <w:bCs/>
                <w:sz w:val="24"/>
                <w:highlight w:val="none"/>
                <w:lang w:eastAsia="zh-CN"/>
              </w:rPr>
              <w:t>），</w:t>
            </w:r>
            <w:r>
              <w:rPr>
                <w:rFonts w:hint="eastAsia" w:cs="宋体"/>
                <w:bCs/>
                <w:sz w:val="24"/>
                <w:highlight w:val="none"/>
                <w:lang w:val="en-US" w:eastAsia="zh-CN"/>
              </w:rPr>
              <w:t>每天运行24h</w:t>
            </w:r>
            <w:r>
              <w:rPr>
                <w:rFonts w:hint="eastAsia" w:ascii="宋体" w:hAnsi="宋体" w:cs="宋体"/>
                <w:bCs/>
                <w:sz w:val="24"/>
                <w:highlight w:val="none"/>
              </w:rPr>
              <w:t>。</w:t>
            </w:r>
          </w:p>
          <w:p>
            <w:pPr>
              <w:autoSpaceDE w:val="0"/>
              <w:autoSpaceDN w:val="0"/>
              <w:adjustRightInd w:val="0"/>
              <w:snapToGrid w:val="0"/>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6、项目总平面布置合理性分析</w:t>
            </w:r>
          </w:p>
          <w:p>
            <w:pPr>
              <w:autoSpaceDE w:val="0"/>
              <w:autoSpaceDN w:val="0"/>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本项目</w:t>
            </w:r>
            <w:r>
              <w:rPr>
                <w:rFonts w:hint="eastAsia" w:ascii="宋体" w:hAnsi="宋体" w:cs="宋体"/>
                <w:bCs/>
                <w:sz w:val="24"/>
                <w:highlight w:val="none"/>
              </w:rPr>
              <w:t>位于</w:t>
            </w:r>
            <w:r>
              <w:rPr>
                <w:rFonts w:hint="eastAsia" w:ascii="宋体" w:hAnsi="宋体" w:cs="宋体"/>
                <w:sz w:val="24"/>
                <w:highlight w:val="none"/>
                <w:lang w:val="en-US" w:eastAsia="zh-CN"/>
              </w:rPr>
              <w:t>吉林省白山市江源区大华村四社</w:t>
            </w:r>
            <w:r>
              <w:rPr>
                <w:rFonts w:hint="eastAsia" w:ascii="宋体" w:hAnsi="宋体" w:cs="宋体"/>
                <w:sz w:val="24"/>
                <w:lang w:val="en-US" w:eastAsia="zh-CN"/>
              </w:rPr>
              <w:t>中铁上海工程局集团有限公司肖家堡制梁场</w:t>
            </w:r>
            <w:r>
              <w:rPr>
                <w:rFonts w:hint="eastAsia" w:ascii="宋体" w:hAnsi="宋体" w:cs="宋体"/>
                <w:sz w:val="24"/>
                <w:highlight w:val="none"/>
                <w:lang w:val="en-US" w:eastAsia="zh-CN"/>
              </w:rPr>
              <w:t>内</w:t>
            </w:r>
            <w:r>
              <w:rPr>
                <w:rFonts w:hint="eastAsia" w:ascii="宋体" w:hAnsi="宋体" w:cs="宋体"/>
                <w:sz w:val="24"/>
                <w:highlight w:val="none"/>
              </w:rPr>
              <w:t>，</w:t>
            </w:r>
            <w:r>
              <w:rPr>
                <w:rFonts w:hint="eastAsia" w:ascii="宋体" w:hAnsi="宋体" w:cs="宋体"/>
                <w:sz w:val="24"/>
                <w:highlight w:val="none"/>
                <w:lang w:val="en-US" w:eastAsia="zh-CN"/>
              </w:rPr>
              <w:t>锅炉房</w:t>
            </w:r>
            <w:r>
              <w:rPr>
                <w:rFonts w:hint="eastAsia" w:ascii="宋体" w:hAnsi="宋体" w:cs="宋体"/>
                <w:sz w:val="24"/>
                <w:highlight w:val="none"/>
              </w:rPr>
              <w:t>总占地面积</w:t>
            </w:r>
            <w:r>
              <w:rPr>
                <w:rFonts w:hint="eastAsia" w:ascii="宋体" w:hAnsi="宋体" w:cs="宋体"/>
                <w:sz w:val="24"/>
                <w:highlight w:val="none"/>
                <w:lang w:val="en-US" w:eastAsia="zh-CN"/>
              </w:rPr>
              <w:t>200</w:t>
            </w:r>
            <w:r>
              <w:rPr>
                <w:rFonts w:hint="eastAsia" w:ascii="宋体" w:hAnsi="宋体" w:cs="宋体"/>
                <w:sz w:val="24"/>
                <w:highlight w:val="none"/>
              </w:rPr>
              <w:t>㎡。</w:t>
            </w:r>
          </w:p>
          <w:p>
            <w:pPr>
              <w:autoSpaceDE w:val="0"/>
              <w:autoSpaceDN w:val="0"/>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本项目位于</w:t>
            </w:r>
            <w:r>
              <w:rPr>
                <w:rFonts w:hint="eastAsia" w:ascii="宋体" w:hAnsi="宋体" w:cs="宋体"/>
                <w:sz w:val="24"/>
                <w:highlight w:val="none"/>
                <w:lang w:val="en-US" w:eastAsia="zh-CN"/>
              </w:rPr>
              <w:t>制梁场内</w:t>
            </w:r>
            <w:r>
              <w:rPr>
                <w:rFonts w:hint="eastAsia" w:ascii="宋体" w:hAnsi="宋体" w:cs="宋体"/>
                <w:sz w:val="24"/>
                <w:highlight w:val="none"/>
              </w:rPr>
              <w:t>，锅炉房</w:t>
            </w:r>
            <w:r>
              <w:rPr>
                <w:rFonts w:hint="eastAsia" w:ascii="宋体" w:hAnsi="宋体" w:cs="宋体"/>
                <w:sz w:val="24"/>
                <w:highlight w:val="none"/>
                <w:lang w:val="en-US" w:eastAsia="zh-CN"/>
              </w:rPr>
              <w:t>四周均为制梁场场地</w:t>
            </w:r>
            <w:r>
              <w:rPr>
                <w:rFonts w:hint="eastAsia" w:ascii="宋体" w:hAnsi="宋体" w:cs="宋体"/>
                <w:sz w:val="24"/>
                <w:highlight w:val="none"/>
              </w:rPr>
              <w:t>。平面布置图详见附图</w:t>
            </w:r>
            <w:r>
              <w:rPr>
                <w:rFonts w:hint="eastAsia" w:ascii="宋体" w:hAnsi="宋体" w:cs="宋体"/>
                <w:sz w:val="24"/>
                <w:highlight w:val="none"/>
                <w:lang w:val="en-US" w:eastAsia="zh-CN"/>
              </w:rPr>
              <w:t>2</w:t>
            </w:r>
            <w:r>
              <w:rPr>
                <w:rFonts w:hint="eastAsia" w:ascii="宋体" w:hAnsi="宋体" w:cs="宋体"/>
                <w:sz w:val="24"/>
                <w:highlight w:val="none"/>
              </w:rPr>
              <w:t>。</w:t>
            </w:r>
          </w:p>
          <w:p>
            <w:pPr>
              <w:autoSpaceDE w:val="0"/>
              <w:autoSpaceDN w:val="0"/>
              <w:adjustRightInd w:val="0"/>
              <w:snapToGrid w:val="0"/>
              <w:spacing w:line="360" w:lineRule="auto"/>
              <w:ind w:firstLine="480" w:firstLineChars="200"/>
              <w:rPr>
                <w:rFonts w:hint="eastAsia"/>
                <w:sz w:val="24"/>
                <w:highlight w:val="yellow"/>
              </w:rPr>
            </w:pPr>
            <w:r>
              <w:rPr>
                <w:rFonts w:hint="eastAsia"/>
                <w:sz w:val="24"/>
                <w:highlight w:val="none"/>
              </w:rPr>
              <w:t>本项目合理使用场地，方便生产联系和管理，尽量减少人流、货流交叉 干扰、污染，以确保生产运输和安全。项目周边无外环境制约因素。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51" w:type="dxa"/>
            <w:noWrap w:val="0"/>
            <w:vAlign w:val="center"/>
          </w:tcPr>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none"/>
              </w:rPr>
            </w:pPr>
          </w:p>
          <w:p>
            <w:pPr>
              <w:pStyle w:val="20"/>
              <w:adjustRightInd w:val="0"/>
              <w:snapToGrid w:val="0"/>
              <w:spacing w:before="0" w:beforeAutospacing="0" w:after="0" w:afterAutospacing="0"/>
              <w:jc w:val="center"/>
              <w:rPr>
                <w:rFonts w:hint="eastAsia" w:cs="宋体"/>
                <w:szCs w:val="24"/>
                <w:highlight w:val="none"/>
              </w:rPr>
            </w:pPr>
            <w:r>
              <w:rPr>
                <w:rFonts w:hint="eastAsia" w:cs="宋体"/>
                <w:szCs w:val="24"/>
                <w:highlight w:val="none"/>
              </w:rPr>
              <w:t>工艺流程和产排污环节</w:t>
            </w: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jc w:val="center"/>
              <w:rPr>
                <w:rFonts w:hint="eastAsia" w:cs="宋体"/>
                <w:szCs w:val="24"/>
                <w:highlight w:val="yellow"/>
              </w:rPr>
            </w:pPr>
          </w:p>
          <w:p>
            <w:pPr>
              <w:pStyle w:val="20"/>
              <w:adjustRightInd w:val="0"/>
              <w:snapToGrid w:val="0"/>
              <w:spacing w:before="0" w:beforeAutospacing="0" w:after="0" w:afterAutospacing="0"/>
              <w:rPr>
                <w:rFonts w:hint="eastAsia" w:cs="宋体"/>
                <w:szCs w:val="24"/>
                <w:highlight w:val="yellow"/>
              </w:rPr>
            </w:pPr>
          </w:p>
        </w:tc>
        <w:tc>
          <w:tcPr>
            <w:tcW w:w="8309" w:type="dxa"/>
            <w:noWrap w:val="0"/>
            <w:vAlign w:val="top"/>
          </w:tcPr>
          <w:p>
            <w:pPr>
              <w:shd w:val="clear" w:color="auto" w:fill="auto"/>
              <w:autoSpaceDE w:val="0"/>
              <w:autoSpaceDN w:val="0"/>
              <w:adjustRightInd w:val="0"/>
              <w:snapToGrid w:val="0"/>
              <w:spacing w:line="360" w:lineRule="auto"/>
              <w:ind w:firstLine="482" w:firstLineChars="200"/>
              <w:jc w:val="left"/>
              <w:rPr>
                <w:rFonts w:hint="eastAsia" w:ascii="宋体" w:hAnsi="宋体" w:cs="宋体"/>
                <w:b/>
                <w:sz w:val="24"/>
                <w:highlight w:val="none"/>
              </w:rPr>
            </w:pPr>
            <w:bookmarkStart w:id="4" w:name="OLE_LINK10"/>
            <w:r>
              <w:rPr>
                <w:rFonts w:hint="eastAsia" w:ascii="宋体" w:hAnsi="宋体" w:cs="宋体"/>
                <w:b/>
                <w:sz w:val="24"/>
                <w:highlight w:val="none"/>
              </w:rPr>
              <w:t>一、施工期</w:t>
            </w:r>
          </w:p>
          <w:p>
            <w:pPr>
              <w:shd w:val="clear" w:color="auto" w:fill="auto"/>
              <w:autoSpaceDE w:val="0"/>
              <w:autoSpaceDN w:val="0"/>
              <w:adjustRightInd w:val="0"/>
              <w:snapToGrid w:val="0"/>
              <w:spacing w:line="360" w:lineRule="auto"/>
              <w:ind w:firstLine="480" w:firstLineChars="200"/>
              <w:rPr>
                <w:rFonts w:hint="eastAsia"/>
                <w:sz w:val="24"/>
                <w:highlight w:val="none"/>
              </w:rPr>
            </w:pPr>
            <w:r>
              <w:rPr>
                <w:rFonts w:hint="eastAsia"/>
                <w:sz w:val="24"/>
                <w:highlight w:val="none"/>
              </w:rPr>
              <w:t>本项目施工期工艺如下：</w:t>
            </w:r>
          </w:p>
          <w:p>
            <w:pPr>
              <w:pStyle w:val="22"/>
              <w:ind w:firstLine="0"/>
              <w:jc w:val="center"/>
              <w:rPr>
                <w:rFonts w:hint="eastAsia" w:eastAsia="宋体"/>
                <w:vanish w:val="0"/>
                <w:highlight w:val="none"/>
                <w:lang w:eastAsia="zh-CN"/>
              </w:rPr>
            </w:pPr>
            <w:r>
              <w:rPr>
                <w:rFonts w:hint="eastAsia" w:eastAsia="宋体"/>
                <w:vanish/>
                <w:highlight w:val="none"/>
                <w:lang w:eastAsia="zh-CN"/>
              </w:rPr>
              <w:drawing>
                <wp:inline distT="0" distB="0" distL="114300" distR="114300">
                  <wp:extent cx="3981450" cy="1495425"/>
                  <wp:effectExtent l="0" t="0" r="0" b="9525"/>
                  <wp:docPr id="88" name="图片 27" descr="169570805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7" descr="1695708055489"/>
                          <pic:cNvPicPr>
                            <a:picLocks noChangeAspect="1"/>
                          </pic:cNvPicPr>
                        </pic:nvPicPr>
                        <pic:blipFill>
                          <a:blip r:embed="rId9"/>
                          <a:stretch>
                            <a:fillRect/>
                          </a:stretch>
                        </pic:blipFill>
                        <pic:spPr>
                          <a:xfrm>
                            <a:off x="0" y="0"/>
                            <a:ext cx="3981450" cy="1495425"/>
                          </a:xfrm>
                          <a:prstGeom prst="rect">
                            <a:avLst/>
                          </a:prstGeom>
                          <a:noFill/>
                          <a:ln>
                            <a:noFill/>
                          </a:ln>
                        </pic:spPr>
                      </pic:pic>
                    </a:graphicData>
                  </a:graphic>
                </wp:inline>
              </w:drawing>
            </w:r>
          </w:p>
          <w:p>
            <w:pPr>
              <w:pStyle w:val="22"/>
              <w:rPr>
                <w:rFonts w:hint="eastAsia" w:ascii="宋体" w:hAnsi="宋体" w:cs="宋体"/>
                <w:b/>
                <w:bCs/>
                <w:sz w:val="24"/>
                <w:szCs w:val="24"/>
                <w:highlight w:val="none"/>
              </w:rPr>
            </w:pPr>
          </w:p>
          <w:p>
            <w:pPr>
              <w:adjustRightInd w:val="0"/>
              <w:snapToGrid w:val="0"/>
              <w:spacing w:line="276" w:lineRule="auto"/>
              <w:ind w:firstLine="482" w:firstLineChars="200"/>
              <w:jc w:val="center"/>
              <w:rPr>
                <w:rFonts w:hint="eastAsia" w:ascii="宋体" w:hAnsi="宋体" w:cs="宋体"/>
                <w:b/>
                <w:bCs/>
                <w:kern w:val="0"/>
                <w:sz w:val="24"/>
                <w:highlight w:val="none"/>
              </w:rPr>
            </w:pPr>
            <w:r>
              <w:rPr>
                <w:rFonts w:hint="eastAsia" w:ascii="宋体" w:hAnsi="宋体" w:cs="宋体"/>
                <w:b/>
                <w:bCs/>
                <w:kern w:val="0"/>
                <w:sz w:val="24"/>
                <w:highlight w:val="none"/>
              </w:rPr>
              <w:t xml:space="preserve">图2   </w:t>
            </w:r>
            <w:bookmarkEnd w:id="4"/>
            <w:r>
              <w:rPr>
                <w:rFonts w:hint="eastAsia" w:ascii="宋体" w:hAnsi="宋体" w:cs="宋体"/>
                <w:b/>
                <w:bCs/>
                <w:kern w:val="0"/>
                <w:sz w:val="24"/>
                <w:highlight w:val="none"/>
              </w:rPr>
              <w:t>施工期</w:t>
            </w:r>
            <w:r>
              <w:rPr>
                <w:rFonts w:hint="eastAsia" w:ascii="宋体" w:hAnsi="宋体" w:cs="宋体"/>
                <w:b/>
                <w:bCs/>
                <w:kern w:val="0"/>
                <w:sz w:val="24"/>
                <w:highlight w:val="none"/>
                <w:lang w:val="en-US" w:eastAsia="zh-CN"/>
              </w:rPr>
              <w:t>工艺流程及</w:t>
            </w:r>
            <w:r>
              <w:rPr>
                <w:rFonts w:hint="eastAsia" w:ascii="宋体" w:hAnsi="宋体" w:cs="宋体"/>
                <w:b/>
                <w:bCs/>
                <w:kern w:val="0"/>
                <w:sz w:val="24"/>
                <w:highlight w:val="none"/>
              </w:rPr>
              <w:t>产排污节点图</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项目施工期主要污染因素为施工作业设备噪声、施工扬尘、废水和施工垃 </w:t>
            </w:r>
          </w:p>
          <w:p>
            <w:pPr>
              <w:autoSpaceDE w:val="0"/>
              <w:autoSpaceDN w:val="0"/>
              <w:adjustRightInd w:val="0"/>
              <w:snapToGrid w:val="0"/>
              <w:spacing w:line="360" w:lineRule="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圾等</w:t>
            </w:r>
            <w:r>
              <w:rPr>
                <w:rFonts w:hint="eastAsia" w:ascii="Times New Roman" w:hAnsi="Times New Roman" w:eastAsia="宋体" w:cs="Times New Roman"/>
                <w:sz w:val="24"/>
                <w:highlight w:val="none"/>
              </w:rPr>
              <w:t>。</w:t>
            </w:r>
          </w:p>
          <w:p>
            <w:pPr>
              <w:autoSpaceDE w:val="0"/>
              <w:autoSpaceDN w:val="0"/>
              <w:adjustRightInd w:val="0"/>
              <w:snapToGrid w:val="0"/>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二、运营期</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 xml:space="preserve">新鲜水经软水制备系统处理后供给锅炉，锅炉使用生物质成型燃料燃烧加 </w:t>
            </w:r>
          </w:p>
          <w:p>
            <w:pPr>
              <w:autoSpaceDE w:val="0"/>
              <w:autoSpaceDN w:val="0"/>
              <w:adjustRightInd w:val="0"/>
              <w:snapToGrid w:val="0"/>
              <w:spacing w:line="360" w:lineRule="auto"/>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 xml:space="preserve">热软水，使其蒸发为水蒸气，产生的蒸汽通过管道输送至现有工程需要用热的 </w:t>
            </w:r>
          </w:p>
          <w:p>
            <w:pPr>
              <w:autoSpaceDE w:val="0"/>
              <w:autoSpaceDN w:val="0"/>
              <w:adjustRightInd w:val="0"/>
              <w:snapToGrid w:val="0"/>
              <w:spacing w:line="360" w:lineRule="auto"/>
              <w:rPr>
                <w:rFonts w:hint="eastAsia"/>
                <w:sz w:val="24"/>
                <w:highlight w:val="none"/>
              </w:rPr>
            </w:pPr>
            <w:r>
              <w:rPr>
                <w:rFonts w:hint="eastAsia" w:ascii="Times New Roman" w:hAnsi="Times New Roman" w:eastAsia="宋体" w:cs="Times New Roman"/>
                <w:sz w:val="24"/>
                <w:highlight w:val="none"/>
                <w:lang w:val="en-US" w:eastAsia="zh-CN"/>
              </w:rPr>
              <w:t>生产工序。</w:t>
            </w:r>
          </w:p>
          <w:p>
            <w:pPr>
              <w:pStyle w:val="22"/>
              <w:spacing w:after="0"/>
              <w:ind w:left="0" w:leftChars="0" w:firstLine="0"/>
              <w:rPr>
                <w:rFonts w:hint="eastAsia" w:eastAsia="宋体"/>
                <w:vanish w:val="0"/>
                <w:highlight w:val="none"/>
                <w:lang w:eastAsia="zh-CN"/>
              </w:rPr>
            </w:pPr>
            <w:r>
              <w:rPr>
                <w:sz w:val="24"/>
              </w:rPr>
              <mc:AlternateContent>
                <mc:Choice Requires="wps">
                  <w:drawing>
                    <wp:anchor distT="0" distB="0" distL="114300" distR="114300" simplePos="0" relativeHeight="251672576" behindDoc="0" locked="0" layoutInCell="1" allowOverlap="1">
                      <wp:simplePos x="0" y="0"/>
                      <wp:positionH relativeFrom="page">
                        <wp:posOffset>4032885</wp:posOffset>
                      </wp:positionH>
                      <wp:positionV relativeFrom="page">
                        <wp:posOffset>2045970</wp:posOffset>
                      </wp:positionV>
                      <wp:extent cx="1428750" cy="438150"/>
                      <wp:effectExtent l="4445" t="5080" r="14605" b="13970"/>
                      <wp:wrapNone/>
                      <wp:docPr id="14" name="文本框 549"/>
                      <wp:cNvGraphicFramePr/>
                      <a:graphic xmlns:a="http://schemas.openxmlformats.org/drawingml/2006/main">
                        <a:graphicData uri="http://schemas.microsoft.com/office/word/2010/wordprocessingShape">
                          <wps:wsp>
                            <wps:cNvSpPr txBox="1"/>
                            <wps:spPr>
                              <a:xfrm>
                                <a:off x="0" y="0"/>
                                <a:ext cx="1428750"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文本框 549" o:spid="_x0000_s1026" o:spt="202" type="#_x0000_t202" style="position:absolute;left:0pt;margin-left:317.55pt;margin-top:161.1pt;height:34.5pt;width:112.5pt;mso-position-horizontal-relative:page;mso-position-vertical-relative:page;z-index:251672576;mso-width-relative:page;mso-height-relative:page;" fillcolor="#FFFFFF" filled="t" stroked="t" coordsize="21600,21600" o:gfxdata="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db9HrZAAAACwEAAA8AAAAAAAAAAQAgAAAAIgAAAGRycy9kb3ducmV2LnhtbFBLAQIU&#10;ABQAAAAIAIdO4kATizGuKwIAAGwEAAAOAAAAAAAAAAEAIAAAACgBAABkcnMvZTJvRG9jLnhtbFBL&#10;BQYAAAAABgAGAFkBAADFBQAAAAA=&#10;">
                      <v:fill on="t" focussize="0,0"/>
                      <v:stroke color="#000000" joinstyle="miter"/>
                      <v:imagedata o:title=""/>
                      <o:lock v:ext="edit" aspectratio="f"/>
                      <v:textbox>
                        <w:txbxContent>
                          <w:p/>
                        </w:txbxContent>
                      </v:textbox>
                    </v:shape>
                  </w:pict>
                </mc:Fallback>
              </mc:AlternateContent>
            </w:r>
            <w:r>
              <w:rPr>
                <w:sz w:val="24"/>
                <w:highlight w:val="none"/>
              </w:rPr>
              <mc:AlternateContent>
                <mc:Choice Requires="wps">
                  <w:drawing>
                    <wp:anchor distT="0" distB="0" distL="114300" distR="114300" simplePos="0" relativeHeight="251671552" behindDoc="0" locked="0" layoutInCell="1" allowOverlap="1">
                      <wp:simplePos x="0" y="0"/>
                      <wp:positionH relativeFrom="page">
                        <wp:posOffset>4166235</wp:posOffset>
                      </wp:positionH>
                      <wp:positionV relativeFrom="page">
                        <wp:posOffset>1706245</wp:posOffset>
                      </wp:positionV>
                      <wp:extent cx="1866900" cy="571500"/>
                      <wp:effectExtent l="5080" t="4445" r="13970" b="14605"/>
                      <wp:wrapNone/>
                      <wp:docPr id="13" name="文本框 547"/>
                      <wp:cNvGraphicFramePr/>
                      <a:graphic xmlns:a="http://schemas.openxmlformats.org/drawingml/2006/main">
                        <a:graphicData uri="http://schemas.microsoft.com/office/word/2010/wordprocessingShape">
                          <wps:wsp>
                            <wps:cNvSpPr txBox="1"/>
                            <wps:spPr>
                              <a:xfrm>
                                <a:off x="0" y="0"/>
                                <a:ext cx="186690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文本框 547" o:spid="_x0000_s1026" o:spt="202" type="#_x0000_t202" style="position:absolute;left:0pt;margin-left:328.05pt;margin-top:134.35pt;height:45pt;width:147pt;mso-position-horizontal-relative:page;mso-position-vertical-relative:page;z-index:251671552;mso-width-relative:page;mso-height-relative:page;" fillcolor="#FFFFFF" filled="t" stroked="t" coordsize="21600,21600" o:gfxdata="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cBMg2gAAAAsBAAAPAAAAAAAAAAEAIAAAACIAAABkcnMvZG93bnJldi54bWxQSwEC&#10;FAAUAAAACACHTuJAXSqzRysCAABsBAAADgAAAAAAAAABACAAAAApAQAAZHJzL2Uyb0RvYy54bWxQ&#10;SwUGAAAAAAYABgBZAQAAxgUAAAAA&#10;">
                      <v:fill on="t" focussize="0,0"/>
                      <v:stroke color="#000000" joinstyle="miter"/>
                      <v:imagedata o:title=""/>
                      <o:lock v:ext="edit" aspectratio="f"/>
                      <v:textbox>
                        <w:txbxContent>
                          <w:p/>
                        </w:txbxContent>
                      </v:textbox>
                    </v:shape>
                  </w:pict>
                </mc:Fallback>
              </mc:AlternateContent>
            </w:r>
            <w:r>
              <w:rPr>
                <w:sz w:val="24"/>
                <w:highlight w:val="none"/>
              </w:rPr>
              <mc:AlternateContent>
                <mc:Choice Requires="wps">
                  <w:drawing>
                    <wp:anchor distT="0" distB="0" distL="114300" distR="114300" simplePos="0" relativeHeight="251670528" behindDoc="0" locked="0" layoutInCell="1" allowOverlap="1">
                      <wp:simplePos x="0" y="0"/>
                      <wp:positionH relativeFrom="page">
                        <wp:posOffset>4528185</wp:posOffset>
                      </wp:positionH>
                      <wp:positionV relativeFrom="page">
                        <wp:posOffset>1782445</wp:posOffset>
                      </wp:positionV>
                      <wp:extent cx="1228725" cy="638175"/>
                      <wp:effectExtent l="4445" t="4445" r="5080" b="5080"/>
                      <wp:wrapNone/>
                      <wp:docPr id="12" name="文本框 546"/>
                      <wp:cNvGraphicFramePr/>
                      <a:graphic xmlns:a="http://schemas.openxmlformats.org/drawingml/2006/main">
                        <a:graphicData uri="http://schemas.microsoft.com/office/word/2010/wordprocessingShape">
                          <wps:wsp>
                            <wps:cNvSpPr txBox="1"/>
                            <wps:spPr>
                              <a:xfrm>
                                <a:off x="0" y="0"/>
                                <a:ext cx="1228725"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文本框 546" o:spid="_x0000_s1026" o:spt="202" type="#_x0000_t202" style="position:absolute;left:0pt;margin-left:356.55pt;margin-top:140.35pt;height:50.25pt;width:96.75pt;mso-position-horizontal-relative:page;mso-position-vertical-relative:page;z-index:251670528;mso-width-relative:page;mso-height-relative:page;" fillcolor="#FFFFFF" filled="t" stroked="t" coordsize="21600,21600" o:gfxdata="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PGq2gAAAAsBAAAPAAAAAAAAAAEAIAAAACIAAABkcnMvZG93bnJldi54bWxQSwEC&#10;FAAUAAAACACHTuJAScu9wCsCAABsBAAADgAAAAAAAAABACAAAAApAQAAZHJzL2Uyb0RvYy54bWxQ&#10;SwUGAAAAAAYABgBZAQAAxgUAAAAA&#10;">
                      <v:fill on="t" focussize="0,0"/>
                      <v:stroke color="#000000" joinstyle="miter"/>
                      <v:imagedata o:title=""/>
                      <o:lock v:ext="edit" aspectratio="f"/>
                      <v:textbox>
                        <w:txbxContent>
                          <w:p/>
                        </w:txbxContent>
                      </v:textbox>
                    </v:shape>
                  </w:pict>
                </mc:Fallback>
              </mc:AlternateContent>
            </w:r>
            <w:r>
              <w:rPr>
                <w:sz w:val="24"/>
                <w:highlight w:val="none"/>
              </w:rPr>
              <mc:AlternateContent>
                <mc:Choice Requires="wps">
                  <w:drawing>
                    <wp:anchor distT="0" distB="0" distL="114300" distR="114300" simplePos="0" relativeHeight="251669504" behindDoc="0" locked="0" layoutInCell="1" allowOverlap="1">
                      <wp:simplePos x="0" y="0"/>
                      <wp:positionH relativeFrom="page">
                        <wp:posOffset>4632960</wp:posOffset>
                      </wp:positionH>
                      <wp:positionV relativeFrom="page">
                        <wp:posOffset>1772920</wp:posOffset>
                      </wp:positionV>
                      <wp:extent cx="1276350" cy="685800"/>
                      <wp:effectExtent l="5080" t="4445" r="13970" b="14605"/>
                      <wp:wrapNone/>
                      <wp:docPr id="11" name="矩形 545"/>
                      <wp:cNvGraphicFramePr/>
                      <a:graphic xmlns:a="http://schemas.openxmlformats.org/drawingml/2006/main">
                        <a:graphicData uri="http://schemas.microsoft.com/office/word/2010/wordprocessingShape">
                          <wps:wsp>
                            <wps:cNvSpPr/>
                            <wps:spPr>
                              <a:xfrm>
                                <a:off x="0" y="0"/>
                                <a:ext cx="1276350" cy="685800"/>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545" o:spid="_x0000_s1026" o:spt="1" style="position:absolute;left:0pt;margin-left:364.8pt;margin-top:139.6pt;height:54pt;width:100.5pt;mso-position-horizontal-relative:page;mso-position-vertical-relative:page;z-index:251669504;mso-width-relative:page;mso-height-relative:page;" fillcolor="#FFFFFF" filled="t" stroked="t" coordsize="21600,21600" o:gfxdata="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1kGfdkA&#10;AAALAQAADwAAAAAAAAABACAAAAAiAAAAZHJzL2Rvd25yZXYueG1sUEsBAhQAFAAAAAgAh07iQKtC&#10;/9UeAgAAVAQAAA4AAAAAAAAAAQAgAAAAKAEAAGRycy9lMm9Eb2MueG1sUEsFBgAAAAAGAAYAWQEA&#10;ALgFAAAAAA==&#10;">
                      <v:fill on="t" focussize="0,0"/>
                      <v:stroke color="#000000" joinstyle="miter"/>
                      <v:imagedata o:title=""/>
                      <o:lock v:ext="edit" aspectratio="f"/>
                    </v:rect>
                  </w:pict>
                </mc:Fallback>
              </mc:AlternateContent>
            </w:r>
            <w:r>
              <w:rPr>
                <w:sz w:val="24"/>
                <w:highlight w:val="none"/>
              </w:rPr>
              <mc:AlternateContent>
                <mc:Choice Requires="wps">
                  <w:drawing>
                    <wp:anchor distT="0" distB="0" distL="114300" distR="114300" simplePos="0" relativeHeight="251668480" behindDoc="0" locked="0" layoutInCell="1" allowOverlap="1">
                      <wp:simplePos x="0" y="0"/>
                      <wp:positionH relativeFrom="page">
                        <wp:posOffset>4699635</wp:posOffset>
                      </wp:positionH>
                      <wp:positionV relativeFrom="page">
                        <wp:posOffset>1926590</wp:posOffset>
                      </wp:positionV>
                      <wp:extent cx="752475" cy="180975"/>
                      <wp:effectExtent l="4445" t="4445" r="5080" b="5080"/>
                      <wp:wrapNone/>
                      <wp:docPr id="10" name="矩形 544"/>
                      <wp:cNvGraphicFramePr/>
                      <a:graphic xmlns:a="http://schemas.openxmlformats.org/drawingml/2006/main">
                        <a:graphicData uri="http://schemas.microsoft.com/office/word/2010/wordprocessingShape">
                          <wps:wsp>
                            <wps:cNvSpPr/>
                            <wps:spPr>
                              <a:xfrm>
                                <a:off x="0" y="0"/>
                                <a:ext cx="752475" cy="180975"/>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544" o:spid="_x0000_s1026" o:spt="1" style="position:absolute;left:0pt;margin-left:370.05pt;margin-top:151.7pt;height:14.25pt;width:59.25pt;mso-position-horizontal-relative:page;mso-position-vertical-relative:page;z-index:251668480;mso-width-relative:page;mso-height-relative:page;" fillcolor="#FFFFFF" filled="t" stroked="t" coordsize="21600,21600" o:gfxdata="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me9MfZAAAACwEA&#10;AA8AAAAAAAAAAQAgAAAAIgAAAGRycy9kb3ducmV2LnhtbFBLAQIUABQAAAAIAIdO4kCepC7kGQIA&#10;AFMEAAAOAAAAAAAAAAEAIAAAACgBAABkcnMvZTJvRG9jLnhtbFBLBQYAAAAABgAGAFkBAACzBQAA&#10;AAA=&#10;">
                      <v:fill on="t" focussize="0,0"/>
                      <v:stroke color="#000000" joinstyle="miter"/>
                      <v:imagedata o:title=""/>
                      <o:lock v:ext="edit" aspectratio="f"/>
                    </v:rect>
                  </w:pict>
                </mc:Fallback>
              </mc:AlternateContent>
            </w:r>
            <w:r>
              <w:rPr>
                <w:sz w:val="16"/>
                <w:highlight w:val="none"/>
              </w:rPr>
              <mc:AlternateContent>
                <mc:Choice Requires="wps">
                  <w:drawing>
                    <wp:anchor distT="0" distB="0" distL="114300" distR="114300" simplePos="0" relativeHeight="251667456" behindDoc="0" locked="0" layoutInCell="1" allowOverlap="1">
                      <wp:simplePos x="0" y="0"/>
                      <wp:positionH relativeFrom="page">
                        <wp:posOffset>4051935</wp:posOffset>
                      </wp:positionH>
                      <wp:positionV relativeFrom="page">
                        <wp:posOffset>1957070</wp:posOffset>
                      </wp:positionV>
                      <wp:extent cx="1695450" cy="285750"/>
                      <wp:effectExtent l="4445" t="4445" r="14605" b="14605"/>
                      <wp:wrapNone/>
                      <wp:docPr id="9" name="矩形 543"/>
                      <wp:cNvGraphicFramePr/>
                      <a:graphic xmlns:a="http://schemas.openxmlformats.org/drawingml/2006/main">
                        <a:graphicData uri="http://schemas.microsoft.com/office/word/2010/wordprocessingShape">
                          <wps:wsp>
                            <wps:cNvSpPr/>
                            <wps:spPr>
                              <a:xfrm>
                                <a:off x="0" y="0"/>
                                <a:ext cx="1695450" cy="285750"/>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543" o:spid="_x0000_s1026" o:spt="1" style="position:absolute;left:0pt;margin-left:319.05pt;margin-top:154.1pt;height:22.5pt;width:133.5pt;mso-position-horizontal-relative:page;mso-position-vertical-relative:page;z-index:251667456;mso-width-relative:page;mso-height-relative:page;" fillcolor="#FFFFFF" filled="t" stroked="t" coordsize="21600,21600" o:gfxdata="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4GZIDYAAAACwEA&#10;AA8AAAAAAAAAAQAgAAAAIgAAAGRycy9kb3ducmV2LnhtbFBLAQIUABQAAAAIAIdO4kAqkSY+GgIA&#10;AFMEAAAOAAAAAAAAAAEAIAAAACcBAABkcnMvZTJvRG9jLnhtbFBLBQYAAAAABgAGAFkBAACzBQAA&#10;AAA=&#10;">
                      <v:fill on="t" focussize="0,0"/>
                      <v:stroke color="#000000" joinstyle="miter"/>
                      <v:imagedata o:title=""/>
                      <o:lock v:ext="edit" aspectratio="f"/>
                    </v:rect>
                  </w:pict>
                </mc:Fallback>
              </mc:AlternateContent>
            </w:r>
            <w:r>
              <w:rPr>
                <w:sz w:val="16"/>
                <w:highlight w:val="none"/>
              </w:rPr>
              <mc:AlternateContent>
                <mc:Choice Requires="wps">
                  <w:drawing>
                    <wp:anchor distT="0" distB="0" distL="114300" distR="114300" simplePos="0" relativeHeight="251666432" behindDoc="0" locked="0" layoutInCell="1" allowOverlap="1">
                      <wp:simplePos x="0" y="0"/>
                      <wp:positionH relativeFrom="page">
                        <wp:posOffset>3994785</wp:posOffset>
                      </wp:positionH>
                      <wp:positionV relativeFrom="page">
                        <wp:posOffset>1918970</wp:posOffset>
                      </wp:positionV>
                      <wp:extent cx="1800225" cy="438150"/>
                      <wp:effectExtent l="4445" t="4445" r="5080" b="14605"/>
                      <wp:wrapNone/>
                      <wp:docPr id="8" name="矩形 542"/>
                      <wp:cNvGraphicFramePr/>
                      <a:graphic xmlns:a="http://schemas.openxmlformats.org/drawingml/2006/main">
                        <a:graphicData uri="http://schemas.microsoft.com/office/word/2010/wordprocessingShape">
                          <wps:wsp>
                            <wps:cNvSpPr/>
                            <wps:spPr>
                              <a:xfrm>
                                <a:off x="0" y="0"/>
                                <a:ext cx="1800225" cy="438150"/>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542" o:spid="_x0000_s1026" o:spt="1" style="position:absolute;left:0pt;margin-left:314.55pt;margin-top:151.1pt;height:34.5pt;width:141.75pt;mso-position-horizontal-relative:page;mso-position-vertical-relative:page;z-index:251666432;mso-width-relative:page;mso-height-relative:page;" fillcolor="#FFFFFF" filled="t" stroked="t" coordsize="21600,21600" o:gfxdata="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4ioR9gAAAAL&#10;AQAADwAAAAAAAAABACAAAAAiAAAAZHJzL2Rvd25yZXYueG1sUEsBAhQAFAAAAAgAh07iQGRYa6sc&#10;AgAAUwQAAA4AAAAAAAAAAQAgAAAAJwEAAGRycy9lMm9Eb2MueG1sUEsFBgAAAAAGAAYAWQEAALUF&#10;AAAAAA==&#10;">
                      <v:fill on="t" focussize="0,0"/>
                      <v:stroke color="#000000" joinstyle="miter"/>
                      <v:imagedata o:title=""/>
                      <o:lock v:ext="edit" aspectratio="f"/>
                    </v:rect>
                  </w:pict>
                </mc:Fallback>
              </mc:AlternateContent>
            </w:r>
            <w:r>
              <w:rPr>
                <w:rFonts w:hint="eastAsia" w:eastAsia="宋体"/>
                <w:vanish/>
                <w:highlight w:val="none"/>
                <w:lang w:eastAsia="zh-CN"/>
              </w:rPr>
              <w:drawing>
                <wp:inline distT="0" distB="0" distL="114300" distR="114300">
                  <wp:extent cx="5138420" cy="2112645"/>
                  <wp:effectExtent l="0" t="0" r="5080" b="1905"/>
                  <wp:docPr id="89" name="图片 29" descr="5612644beaa1d45ed52e18072997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5612644beaa1d45ed52e1807299783f"/>
                          <pic:cNvPicPr>
                            <a:picLocks noChangeAspect="1"/>
                          </pic:cNvPicPr>
                        </pic:nvPicPr>
                        <pic:blipFill>
                          <a:blip r:embed="rId10"/>
                          <a:stretch>
                            <a:fillRect/>
                          </a:stretch>
                        </pic:blipFill>
                        <pic:spPr>
                          <a:xfrm>
                            <a:off x="0" y="0"/>
                            <a:ext cx="5138420" cy="2112645"/>
                          </a:xfrm>
                          <a:prstGeom prst="rect">
                            <a:avLst/>
                          </a:prstGeom>
                          <a:noFill/>
                          <a:ln>
                            <a:noFill/>
                          </a:ln>
                        </pic:spPr>
                      </pic:pic>
                    </a:graphicData>
                  </a:graphic>
                </wp:inline>
              </w:drawing>
            </w:r>
          </w:p>
          <w:p>
            <w:pPr>
              <w:pStyle w:val="40"/>
              <w:rPr>
                <w:rFonts w:ascii="宋体" w:hAnsi="宋体" w:eastAsia="宋体"/>
                <w:b/>
                <w:color w:val="auto"/>
                <w:szCs w:val="21"/>
                <w:highlight w:val="none"/>
              </w:rPr>
            </w:pPr>
            <w:r>
              <w:rPr>
                <w:rFonts w:ascii="宋体" w:hAnsi="宋体" w:eastAsia="宋体"/>
                <w:b/>
                <w:color w:val="auto"/>
                <w:szCs w:val="21"/>
                <w:highlight w:val="none"/>
              </w:rPr>
              <w:t>图</w:t>
            </w:r>
            <w:r>
              <w:rPr>
                <w:rFonts w:hint="eastAsia" w:ascii="宋体" w:hAnsi="宋体" w:eastAsia="宋体"/>
                <w:b/>
                <w:color w:val="auto"/>
                <w:szCs w:val="21"/>
                <w:highlight w:val="none"/>
              </w:rPr>
              <w:t>3   生物质</w:t>
            </w:r>
            <w:r>
              <w:rPr>
                <w:rFonts w:hint="eastAsia" w:ascii="宋体" w:hAnsi="宋体" w:eastAsia="宋体"/>
                <w:b/>
                <w:color w:val="auto"/>
                <w:szCs w:val="21"/>
                <w:highlight w:val="none"/>
                <w:lang w:val="en-US" w:eastAsia="zh-CN"/>
              </w:rPr>
              <w:t>蒸汽</w:t>
            </w:r>
            <w:r>
              <w:rPr>
                <w:rFonts w:hint="eastAsia" w:ascii="宋体" w:hAnsi="宋体" w:eastAsia="宋体"/>
                <w:b/>
                <w:color w:val="auto"/>
                <w:szCs w:val="21"/>
                <w:highlight w:val="none"/>
              </w:rPr>
              <w:t>锅炉</w:t>
            </w:r>
            <w:r>
              <w:rPr>
                <w:rFonts w:ascii="宋体" w:hAnsi="宋体" w:eastAsia="宋体"/>
                <w:b/>
                <w:color w:val="auto"/>
                <w:szCs w:val="21"/>
                <w:highlight w:val="none"/>
              </w:rPr>
              <w:t>运行流程及排污节点图</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 xml:space="preserve">主要产污环节： </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1</w:t>
            </w:r>
            <w:r>
              <w:rPr>
                <w:rFonts w:hint="eastAsia" w:ascii="Times New Roman" w:hAnsi="Times New Roman" w:eastAsia="宋体" w:cs="Times New Roman"/>
                <w:sz w:val="24"/>
                <w:highlight w:val="none"/>
                <w:lang w:val="en-US" w:eastAsia="zh-CN"/>
              </w:rPr>
              <w:t xml:space="preserve">）废气：项目运营期废气为生物质燃烧废气，主要污染因子为颗粒物、 </w:t>
            </w:r>
          </w:p>
          <w:p>
            <w:pPr>
              <w:autoSpaceDE w:val="0"/>
              <w:autoSpaceDN w:val="0"/>
              <w:adjustRightInd w:val="0"/>
              <w:snapToGrid w:val="0"/>
              <w:spacing w:line="360" w:lineRule="auto"/>
              <w:rPr>
                <w:rFonts w:hint="eastAsia"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SO</w:t>
            </w:r>
            <w:r>
              <w:rPr>
                <w:rFonts w:hint="default" w:ascii="Times New Roman" w:hAnsi="Times New Roman" w:eastAsia="宋体" w:cs="Times New Roman"/>
                <w:sz w:val="24"/>
                <w:highlight w:val="none"/>
                <w:vertAlign w:val="subscript"/>
                <w:lang w:val="en-US" w:eastAsia="zh-CN"/>
              </w:rPr>
              <w:t>2</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NO</w:t>
            </w:r>
            <w:r>
              <w:rPr>
                <w:rFonts w:hint="default" w:ascii="Times New Roman" w:hAnsi="Times New Roman" w:eastAsia="宋体" w:cs="Times New Roman"/>
                <w:sz w:val="24"/>
                <w:highlight w:val="none"/>
                <w:vertAlign w:val="subscript"/>
                <w:lang w:val="en-US" w:eastAsia="zh-CN"/>
              </w:rPr>
              <w:t>x</w:t>
            </w:r>
            <w:r>
              <w:rPr>
                <w:rFonts w:hint="eastAsia" w:ascii="Times New Roman" w:hAnsi="Times New Roman" w:eastAsia="宋体" w:cs="Times New Roman"/>
                <w:sz w:val="24"/>
                <w:highlight w:val="none"/>
                <w:lang w:val="en-US" w:eastAsia="zh-CN"/>
              </w:rPr>
              <w:t xml:space="preserve">、汞及其化合物以及烟气黑度。 </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2</w:t>
            </w:r>
            <w:r>
              <w:rPr>
                <w:rFonts w:hint="eastAsia" w:ascii="Times New Roman" w:hAnsi="Times New Roman" w:eastAsia="宋体" w:cs="Times New Roman"/>
                <w:sz w:val="24"/>
                <w:highlight w:val="none"/>
                <w:lang w:val="en-US" w:eastAsia="zh-CN"/>
              </w:rPr>
              <w:t xml:space="preserve">）废水：项目运营期废水主要为软水制备系统废水和锅炉定期排污水， </w:t>
            </w:r>
          </w:p>
          <w:p>
            <w:pPr>
              <w:autoSpaceDE w:val="0"/>
              <w:autoSpaceDN w:val="0"/>
              <w:adjustRightInd w:val="0"/>
              <w:snapToGrid w:val="0"/>
              <w:spacing w:line="360" w:lineRule="auto"/>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 xml:space="preserve">废水中主要污染因子为 </w:t>
            </w:r>
            <w:r>
              <w:rPr>
                <w:rFonts w:hint="default" w:ascii="Times New Roman" w:hAnsi="Times New Roman" w:eastAsia="宋体" w:cs="Times New Roman"/>
                <w:sz w:val="24"/>
                <w:highlight w:val="none"/>
                <w:lang w:val="en-US" w:eastAsia="zh-CN"/>
              </w:rPr>
              <w:t>COD</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 xml:space="preserve">SS </w:t>
            </w:r>
            <w:r>
              <w:rPr>
                <w:rFonts w:hint="eastAsia" w:ascii="Times New Roman" w:hAnsi="Times New Roman" w:eastAsia="宋体" w:cs="Times New Roman"/>
                <w:sz w:val="24"/>
                <w:highlight w:val="none"/>
                <w:lang w:val="en-US" w:eastAsia="zh-CN"/>
              </w:rPr>
              <w:t xml:space="preserve">等。 </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3</w:t>
            </w:r>
            <w:r>
              <w:rPr>
                <w:rFonts w:hint="eastAsia" w:ascii="Times New Roman" w:hAnsi="Times New Roman" w:eastAsia="宋体" w:cs="Times New Roman"/>
                <w:sz w:val="24"/>
                <w:highlight w:val="none"/>
                <w:lang w:val="en-US" w:eastAsia="zh-CN"/>
              </w:rPr>
              <w:t xml:space="preserve">）噪声：项目运营期噪声主要为水泵、风机等设备运行产生的噪声，噪声源强在 </w:t>
            </w:r>
            <w:r>
              <w:rPr>
                <w:rFonts w:hint="default" w:ascii="Times New Roman" w:hAnsi="Times New Roman" w:eastAsia="宋体" w:cs="Times New Roman"/>
                <w:sz w:val="24"/>
                <w:highlight w:val="none"/>
                <w:lang w:val="en-US" w:eastAsia="zh-CN"/>
              </w:rPr>
              <w:t>70~85dB(A)</w:t>
            </w:r>
            <w:r>
              <w:rPr>
                <w:rFonts w:hint="eastAsia" w:ascii="Times New Roman" w:hAnsi="Times New Roman" w:eastAsia="宋体" w:cs="Times New Roman"/>
                <w:sz w:val="24"/>
                <w:highlight w:val="none"/>
                <w:lang w:val="en-US" w:eastAsia="zh-CN"/>
              </w:rPr>
              <w:t xml:space="preserve">之间。 </w:t>
            </w:r>
          </w:p>
          <w:p>
            <w:pPr>
              <w:autoSpaceDE w:val="0"/>
              <w:autoSpaceDN w:val="0"/>
              <w:adjustRightInd w:val="0"/>
              <w:snapToGrid w:val="0"/>
              <w:spacing w:line="360" w:lineRule="auto"/>
              <w:ind w:firstLine="480" w:firstLineChars="200"/>
              <w:rPr>
                <w:rFonts w:hint="eastAsia"/>
                <w:highlight w:val="yellow"/>
              </w:rPr>
            </w:pP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4</w:t>
            </w:r>
            <w:r>
              <w:rPr>
                <w:rFonts w:hint="eastAsia" w:ascii="Times New Roman" w:hAnsi="Times New Roman" w:eastAsia="宋体" w:cs="Times New Roman"/>
                <w:sz w:val="24"/>
                <w:highlight w:val="none"/>
                <w:lang w:val="en-US" w:eastAsia="zh-CN"/>
              </w:rPr>
              <w:t>）固体废物：项目运营期固废主要为除尘器集尘、炉渣等。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47" w:hRule="atLeast"/>
          <w:jc w:val="center"/>
        </w:trPr>
        <w:tc>
          <w:tcPr>
            <w:tcW w:w="751" w:type="dxa"/>
            <w:noWrap w:val="0"/>
            <w:vAlign w:val="center"/>
          </w:tcPr>
          <w:p>
            <w:pPr>
              <w:pStyle w:val="20"/>
              <w:adjustRightInd w:val="0"/>
              <w:snapToGrid w:val="0"/>
              <w:spacing w:before="0" w:beforeAutospacing="0" w:after="0" w:afterAutospacing="0"/>
              <w:jc w:val="center"/>
              <w:rPr>
                <w:rFonts w:ascii="Times New Roman" w:hAnsi="Times New Roman"/>
                <w:szCs w:val="24"/>
                <w:highlight w:val="yellow"/>
              </w:rPr>
            </w:pPr>
            <w:r>
              <w:rPr>
                <w:rFonts w:ascii="Times New Roman" w:hAnsi="Times New Roman"/>
                <w:bCs/>
                <w:kern w:val="2"/>
                <w:szCs w:val="24"/>
                <w:highlight w:val="none"/>
              </w:rPr>
              <w:t>与项目有关的原有环境污染问题</w:t>
            </w:r>
          </w:p>
        </w:tc>
        <w:tc>
          <w:tcPr>
            <w:tcW w:w="8309" w:type="dxa"/>
            <w:noWrap w:val="0"/>
            <w:vAlign w:val="center"/>
          </w:tcPr>
          <w:p>
            <w:pPr>
              <w:widowControl/>
              <w:spacing w:line="360" w:lineRule="auto"/>
              <w:jc w:val="left"/>
              <w:rPr>
                <w:rFonts w:ascii="宋体" w:hAnsi="宋体" w:cs="宋体"/>
                <w:kern w:val="0"/>
                <w:sz w:val="24"/>
                <w:highlight w:val="none"/>
              </w:rPr>
            </w:pPr>
            <w:r>
              <w:rPr>
                <w:rFonts w:hint="eastAsia" w:ascii="宋体" w:hAnsi="宋体" w:cs="宋体"/>
                <w:b/>
                <w:bCs/>
                <w:kern w:val="0"/>
                <w:sz w:val="24"/>
                <w:highlight w:val="none"/>
              </w:rPr>
              <w:t>1、企业现有概况</w:t>
            </w:r>
          </w:p>
          <w:p>
            <w:pPr>
              <w:spacing w:line="460" w:lineRule="exact"/>
              <w:ind w:firstLine="480" w:firstLineChars="200"/>
              <w:textAlignment w:val="center"/>
              <w:rPr>
                <w:rFonts w:hint="eastAsia" w:eastAsia="宋体"/>
                <w:sz w:val="24"/>
                <w:szCs w:val="24"/>
                <w:lang w:eastAsia="zh-CN"/>
              </w:rPr>
            </w:pPr>
            <w:r>
              <w:rPr>
                <w:rFonts w:hint="eastAsia" w:ascii="宋体" w:hAnsi="宋体" w:eastAsia="宋体" w:cs="宋体"/>
                <w:kern w:val="0"/>
                <w:sz w:val="24"/>
                <w:highlight w:val="none"/>
                <w:lang w:val="en-US" w:eastAsia="zh-CN"/>
              </w:rPr>
              <w:t>江源区肖家堡梁场属于新建沈阳至白河高速铁路工程的临时工程，占地性质为旱地，占地面积为6.97hm</w:t>
            </w:r>
            <w:r>
              <w:rPr>
                <w:rFonts w:hint="eastAsia" w:ascii="宋体" w:hAnsi="宋体" w:eastAsia="宋体" w:cs="宋体"/>
                <w:kern w:val="0"/>
                <w:sz w:val="24"/>
                <w:highlight w:val="none"/>
                <w:vertAlign w:val="superscript"/>
                <w:lang w:val="en-US" w:eastAsia="zh-CN"/>
              </w:rPr>
              <w:t>2</w:t>
            </w:r>
            <w:r>
              <w:rPr>
                <w:rFonts w:hint="eastAsia" w:ascii="宋体" w:hAnsi="宋体" w:eastAsia="宋体" w:cs="宋体"/>
                <w:kern w:val="0"/>
                <w:sz w:val="24"/>
                <w:highlight w:val="none"/>
                <w:lang w:val="en-US" w:eastAsia="zh-CN"/>
              </w:rPr>
              <w:t>，</w:t>
            </w:r>
            <w:r>
              <w:rPr>
                <w:sz w:val="24"/>
                <w:szCs w:val="24"/>
              </w:rPr>
              <w:t>梁场主要分骨料存放、加工区；混凝土搅拌与泵送作业区；钢筋存放加工区；钢筋绑扎区；混凝土浇注及内模存放区；制梁区；存梁区、机加工及预埋件区；配电室、发电室、中心试验室；生活办公区等。场内除存梁区和生活区外均硬化，硬化材料以混凝土为主</w:t>
            </w:r>
            <w:r>
              <w:rPr>
                <w:rFonts w:hint="eastAsia"/>
                <w:sz w:val="24"/>
                <w:szCs w:val="24"/>
                <w:lang w:eastAsia="zh-CN"/>
              </w:rPr>
              <w:t>。</w:t>
            </w:r>
          </w:p>
          <w:p>
            <w:pPr>
              <w:widowControl/>
              <w:spacing w:line="360" w:lineRule="auto"/>
              <w:jc w:val="left"/>
              <w:rPr>
                <w:rFonts w:ascii="宋体" w:hAnsi="宋体" w:cs="宋体"/>
                <w:kern w:val="0"/>
                <w:sz w:val="24"/>
                <w:highlight w:val="none"/>
              </w:rPr>
            </w:pPr>
            <w:r>
              <w:rPr>
                <w:rFonts w:hint="eastAsia" w:ascii="宋体" w:hAnsi="宋体" w:cs="宋体"/>
                <w:b/>
                <w:bCs/>
                <w:kern w:val="0"/>
                <w:sz w:val="24"/>
                <w:highlight w:val="none"/>
              </w:rPr>
              <w:t>2、</w:t>
            </w:r>
            <w:r>
              <w:rPr>
                <w:rFonts w:hint="eastAsia" w:ascii="宋体" w:hAnsi="宋体" w:cs="宋体"/>
                <w:b/>
                <w:bCs/>
                <w:kern w:val="0"/>
                <w:sz w:val="24"/>
                <w:highlight w:val="none"/>
                <w:lang w:val="en-US" w:eastAsia="zh-CN"/>
              </w:rPr>
              <w:t>制梁场</w:t>
            </w:r>
            <w:r>
              <w:rPr>
                <w:rFonts w:hint="eastAsia" w:ascii="宋体" w:hAnsi="宋体" w:cs="宋体"/>
                <w:b/>
                <w:bCs/>
                <w:kern w:val="0"/>
                <w:sz w:val="24"/>
                <w:highlight w:val="none"/>
              </w:rPr>
              <w:t>环保手续履行情况</w:t>
            </w:r>
          </w:p>
          <w:p>
            <w:pPr>
              <w:widowControl/>
              <w:spacing w:line="360" w:lineRule="auto"/>
              <w:ind w:firstLine="480" w:firstLineChars="200"/>
              <w:jc w:val="left"/>
              <w:rPr>
                <w:rFonts w:hint="eastAsia" w:ascii="宋体" w:hAnsi="宋体" w:cs="宋体"/>
                <w:kern w:val="0"/>
                <w:sz w:val="24"/>
                <w:highlight w:val="yellow"/>
              </w:rPr>
            </w:pPr>
            <w:r>
              <w:rPr>
                <w:rFonts w:hint="eastAsia" w:ascii="宋体" w:hAnsi="宋体" w:eastAsia="宋体" w:cs="宋体"/>
                <w:kern w:val="0"/>
                <w:sz w:val="24"/>
                <w:highlight w:val="none"/>
                <w:lang w:val="en-US" w:eastAsia="zh-CN"/>
              </w:rPr>
              <w:t>中华人民共和国生态环境部于2020年5月6日以环审[2020]61号《关于新建沈阳至白河高速铁路环境影响报告书的批复》</w:t>
            </w:r>
            <w:r>
              <w:rPr>
                <w:rFonts w:hint="eastAsia" w:ascii="宋体" w:hAnsi="宋体" w:cs="宋体"/>
                <w:kern w:val="0"/>
                <w:sz w:val="24"/>
                <w:highlight w:val="none"/>
              </w:rPr>
              <w:t>予以批复</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该批复内容包含</w:t>
            </w:r>
            <w:r>
              <w:rPr>
                <w:rFonts w:hint="eastAsia" w:ascii="宋体" w:hAnsi="宋体" w:eastAsia="宋体" w:cs="宋体"/>
                <w:kern w:val="0"/>
                <w:sz w:val="24"/>
                <w:highlight w:val="none"/>
                <w:lang w:val="en-US" w:eastAsia="zh-CN"/>
              </w:rPr>
              <w:t>江源区肖家堡梁场临时工程</w:t>
            </w:r>
            <w:r>
              <w:rPr>
                <w:rFonts w:hint="eastAsia" w:ascii="宋体" w:hAnsi="宋体" w:cs="宋体"/>
                <w:kern w:val="0"/>
                <w:sz w:val="24"/>
                <w:highlight w:val="none"/>
              </w:rPr>
              <w:t>。详见附件。</w:t>
            </w:r>
          </w:p>
          <w:p>
            <w:pPr>
              <w:pStyle w:val="22"/>
              <w:rPr>
                <w:highlight w:val="yellow"/>
              </w:rPr>
            </w:pPr>
          </w:p>
          <w:p>
            <w:pPr>
              <w:widowControl/>
              <w:spacing w:line="360" w:lineRule="auto"/>
              <w:jc w:val="left"/>
              <w:rPr>
                <w:rFonts w:hint="eastAsia" w:ascii="宋体" w:hAnsi="宋体" w:cs="宋体"/>
                <w:b/>
                <w:bCs/>
                <w:kern w:val="0"/>
                <w:sz w:val="24"/>
                <w:highlight w:val="none"/>
              </w:rPr>
            </w:pPr>
            <w:r>
              <w:rPr>
                <w:rFonts w:hint="eastAsia" w:ascii="宋体" w:hAnsi="宋体" w:cs="宋体"/>
                <w:b/>
                <w:bCs/>
                <w:kern w:val="0"/>
                <w:sz w:val="24"/>
                <w:highlight w:val="none"/>
              </w:rPr>
              <w:t>3、</w:t>
            </w:r>
            <w:r>
              <w:rPr>
                <w:rFonts w:hint="eastAsia" w:ascii="宋体" w:hAnsi="宋体" w:eastAsia="宋体" w:cs="宋体"/>
                <w:b/>
                <w:bCs/>
                <w:kern w:val="0"/>
                <w:sz w:val="24"/>
                <w:highlight w:val="none"/>
                <w:lang w:val="en-US" w:eastAsia="zh-CN"/>
              </w:rPr>
              <w:t>肖家堡梁场</w:t>
            </w:r>
            <w:r>
              <w:rPr>
                <w:rFonts w:hint="eastAsia" w:ascii="宋体" w:hAnsi="宋体" w:eastAsia="宋体" w:cs="宋体"/>
                <w:b/>
                <w:bCs/>
                <w:kern w:val="0"/>
                <w:sz w:val="24"/>
                <w:highlight w:val="none"/>
              </w:rPr>
              <w:t>污染</w:t>
            </w:r>
            <w:r>
              <w:rPr>
                <w:rFonts w:hint="eastAsia" w:ascii="宋体" w:hAnsi="宋体" w:cs="宋体"/>
                <w:b/>
                <w:bCs/>
                <w:kern w:val="0"/>
                <w:sz w:val="24"/>
                <w:highlight w:val="none"/>
              </w:rPr>
              <w:t>物排放情况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lang w:val="en-US" w:eastAsia="zh-CN"/>
              </w:rPr>
            </w:pPr>
            <w:r>
              <w:rPr>
                <w:rFonts w:hint="eastAsia"/>
                <w:sz w:val="24"/>
                <w:szCs w:val="24"/>
                <w:lang w:val="en-US" w:eastAsia="zh-CN"/>
              </w:rPr>
              <w:t>废水：</w:t>
            </w:r>
          </w:p>
          <w:p>
            <w:pPr>
              <w:pStyle w:val="22"/>
              <w:rPr>
                <w:sz w:val="24"/>
                <w:szCs w:val="24"/>
              </w:rPr>
            </w:pPr>
          </w:p>
          <w:p>
            <w:pPr>
              <w:pStyle w:val="22"/>
              <w:rPr>
                <w:sz w:val="24"/>
                <w:szCs w:val="24"/>
              </w:rPr>
            </w:pPr>
          </w:p>
          <w:p>
            <w:pPr>
              <w:pStyle w:val="22"/>
              <w:rPr>
                <w:sz w:val="24"/>
                <w:szCs w:val="24"/>
              </w:rPr>
            </w:pPr>
          </w:p>
          <w:p>
            <w:pPr>
              <w:pStyle w:val="22"/>
              <w:rPr>
                <w:sz w:val="24"/>
                <w:szCs w:val="24"/>
              </w:rPr>
            </w:pPr>
          </w:p>
          <w:p>
            <w:pPr>
              <w:pStyle w:val="22"/>
              <w:rPr>
                <w:sz w:val="24"/>
                <w:szCs w:val="24"/>
              </w:rPr>
            </w:pPr>
          </w:p>
          <w:p>
            <w:pPr>
              <w:pStyle w:val="22"/>
            </w:pPr>
          </w:p>
          <w:p>
            <w:pPr>
              <w:pStyle w:val="22"/>
              <w:rPr>
                <w:sz w:val="24"/>
                <w:szCs w:val="24"/>
              </w:rPr>
            </w:pPr>
          </w:p>
          <w:p>
            <w:pPr>
              <w:pStyle w:val="22"/>
              <w:rPr>
                <w:sz w:val="24"/>
                <w:szCs w:val="24"/>
              </w:rPr>
            </w:pPr>
          </w:p>
          <w:p>
            <w:pPr>
              <w:pStyle w:val="22"/>
              <w:rPr>
                <w:sz w:val="24"/>
                <w:szCs w:val="24"/>
              </w:rPr>
            </w:pPr>
          </w:p>
          <w:p>
            <w:pPr>
              <w:pStyle w:val="22"/>
              <w:rPr>
                <w:sz w:val="24"/>
                <w:szCs w:val="24"/>
              </w:rPr>
            </w:pPr>
          </w:p>
          <w:p>
            <w:pPr>
              <w:pStyle w:val="22"/>
              <w:rPr>
                <w:sz w:val="24"/>
                <w:szCs w:val="24"/>
              </w:rPr>
            </w:pPr>
          </w:p>
          <w:p>
            <w:pPr>
              <w:pStyle w:val="22"/>
              <w:rPr>
                <w:sz w:val="24"/>
                <w:szCs w:val="24"/>
              </w:rPr>
            </w:pPr>
          </w:p>
          <w:p>
            <w:pPr>
              <w:pStyle w:val="22"/>
              <w:rPr>
                <w:rFonts w:hint="eastAsia"/>
                <w:sz w:val="24"/>
                <w:szCs w:val="24"/>
              </w:rPr>
            </w:pPr>
          </w:p>
          <w:p>
            <w:pPr>
              <w:widowControl/>
              <w:spacing w:line="360" w:lineRule="auto"/>
              <w:ind w:firstLine="480" w:firstLineChars="200"/>
              <w:jc w:val="left"/>
              <w:rPr>
                <w:rFonts w:hint="eastAsia"/>
                <w:sz w:val="24"/>
                <w:szCs w:val="24"/>
              </w:rPr>
            </w:pPr>
            <w:r>
              <w:rPr>
                <w:rFonts w:hint="eastAsia"/>
                <w:sz w:val="24"/>
                <w:szCs w:val="24"/>
              </w:rPr>
              <w:t>制梁场生产人员可能产生少量生活污水设置化粪池收集储存，定期抽排。制梁场施工作业车辆、机械清洗可能产生少量清洗废水，设置三级沉淀池，施工废水排入沉淀池，沉淀处理后循环利用。</w:t>
            </w:r>
          </w:p>
          <w:p>
            <w:pPr>
              <w:widowControl/>
              <w:spacing w:line="360" w:lineRule="auto"/>
              <w:ind w:firstLine="480" w:firstLineChars="200"/>
              <w:jc w:val="left"/>
              <w:rPr>
                <w:rFonts w:hint="eastAsia" w:eastAsia="宋体"/>
                <w:sz w:val="24"/>
                <w:szCs w:val="24"/>
                <w:lang w:val="en-US" w:eastAsia="zh-CN"/>
              </w:rPr>
            </w:pPr>
            <w:r>
              <w:rPr>
                <w:rFonts w:hint="eastAsia"/>
                <w:sz w:val="24"/>
                <w:szCs w:val="24"/>
                <w:lang w:val="en-US" w:eastAsia="zh-CN"/>
              </w:rPr>
              <w:t>噪声：</w:t>
            </w:r>
          </w:p>
          <w:p>
            <w:pPr>
              <w:widowControl/>
              <w:spacing w:line="360" w:lineRule="auto"/>
              <w:ind w:firstLine="480" w:firstLineChars="200"/>
              <w:jc w:val="left"/>
              <w:rPr>
                <w:rFonts w:hint="eastAsia"/>
                <w:sz w:val="24"/>
                <w:szCs w:val="24"/>
                <w:lang w:eastAsia="zh-CN"/>
              </w:rPr>
            </w:pPr>
            <w:r>
              <w:rPr>
                <w:sz w:val="24"/>
                <w:szCs w:val="24"/>
              </w:rPr>
              <w:t>制梁场等施工基地在装卸运输过程中产生的噪声，将对周围居民产生影响。施工营地对环境的影响具有短期性、可逆性的特点，施工结束后，大部分影响将消失，不会对生态环境造成长期不良影响</w:t>
            </w:r>
            <w:r>
              <w:rPr>
                <w:rFonts w:hint="eastAsia"/>
                <w:sz w:val="24"/>
                <w:szCs w:val="24"/>
                <w:lang w:eastAsia="zh-CN"/>
              </w:rPr>
              <w:t>。</w:t>
            </w:r>
          </w:p>
          <w:p>
            <w:pPr>
              <w:pStyle w:val="22"/>
              <w:rPr>
                <w:rFonts w:hint="eastAsia"/>
                <w:sz w:val="24"/>
                <w:szCs w:val="24"/>
                <w:lang w:eastAsia="zh-CN"/>
              </w:rPr>
            </w:pPr>
          </w:p>
          <w:p>
            <w:pPr>
              <w:pStyle w:val="22"/>
              <w:rPr>
                <w:rFonts w:hint="eastAsia"/>
                <w:sz w:val="24"/>
                <w:szCs w:val="24"/>
                <w:lang w:eastAsia="zh-CN"/>
              </w:rPr>
            </w:pPr>
          </w:p>
          <w:p>
            <w:pPr>
              <w:pStyle w:val="22"/>
              <w:rPr>
                <w:rFonts w:hint="eastAsia"/>
                <w:sz w:val="24"/>
                <w:szCs w:val="24"/>
                <w:lang w:eastAsia="zh-CN"/>
              </w:rPr>
            </w:pPr>
          </w:p>
          <w:p>
            <w:pPr>
              <w:pStyle w:val="22"/>
              <w:rPr>
                <w:rFonts w:hint="default"/>
                <w:lang w:val="en-US" w:eastAsia="zh-CN"/>
              </w:rPr>
            </w:pPr>
            <w:r>
              <w:rPr>
                <w:rFonts w:hint="eastAsia"/>
                <w:sz w:val="24"/>
                <w:szCs w:val="24"/>
                <w:lang w:val="en-US" w:eastAsia="zh-CN"/>
              </w:rPr>
              <w:t>固体废物：</w:t>
            </w:r>
          </w:p>
          <w:p>
            <w:pPr>
              <w:widowControl/>
              <w:spacing w:line="360" w:lineRule="auto"/>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固体废物：</w:t>
            </w:r>
          </w:p>
          <w:p>
            <w:pPr>
              <w:widowControl/>
              <w:spacing w:line="360" w:lineRule="auto"/>
              <w:ind w:firstLine="480" w:firstLineChars="200"/>
              <w:jc w:val="left"/>
              <w:rPr>
                <w:rFonts w:hint="eastAsia" w:ascii="Times New Roman" w:hAnsi="Times New Roman" w:eastAsia="宋体" w:cs="Times New Roman"/>
                <w:sz w:val="24"/>
                <w:szCs w:val="24"/>
              </w:rPr>
            </w:pPr>
            <w:r>
              <w:rPr>
                <w:rFonts w:ascii="Times New Roman" w:hAnsi="Times New Roman" w:eastAsia="宋体" w:cs="Times New Roman"/>
                <w:sz w:val="24"/>
                <w:szCs w:val="24"/>
              </w:rPr>
              <w:t>施工人员生活垃圾设专人收集后，送至环卫部门集中处理，禁止随意丢弃。</w:t>
            </w:r>
            <w:r>
              <w:rPr>
                <w:rFonts w:hint="eastAsia" w:ascii="Times New Roman" w:hAnsi="Times New Roman" w:eastAsia="宋体" w:cs="Times New Roman"/>
                <w:sz w:val="24"/>
                <w:szCs w:val="24"/>
              </w:rPr>
              <w:t>且在外运过程中用苫布覆盖，避免沿途遗洒，并按相应部门指定路线行驶。</w:t>
            </w:r>
          </w:p>
          <w:p>
            <w:pPr>
              <w:widowControl/>
              <w:spacing w:line="360" w:lineRule="auto"/>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w:t>
            </w:r>
          </w:p>
          <w:p>
            <w:pPr>
              <w:widowControl/>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施工工地内堆放水泥、灰土、砂石等易产生扬尘污染的物料，以及工地堆存的建筑垃圾、工程渣土、建筑土方应当采取遮盖、密闭或者其他抑尘措施。施工现场易飞扬的细颗粒建筑材料必须密闭存放或严密覆盖，严禁露天放置；搬运时应有降尘措施，余料及时回收。</w:t>
            </w:r>
          </w:p>
          <w:p>
            <w:pPr>
              <w:spacing w:line="460" w:lineRule="exact"/>
              <w:ind w:firstLine="482" w:firstLineChars="200"/>
              <w:textAlignment w:val="center"/>
              <w:rPr>
                <w:b/>
                <w:sz w:val="24"/>
                <w:szCs w:val="24"/>
              </w:rPr>
            </w:pPr>
            <w:r>
              <w:rPr>
                <w:b/>
                <w:sz w:val="24"/>
                <w:szCs w:val="24"/>
              </w:rPr>
              <w:t>施工期环保要求：</w:t>
            </w:r>
          </w:p>
          <w:p>
            <w:pPr>
              <w:spacing w:line="460" w:lineRule="exact"/>
              <w:ind w:firstLine="480" w:firstLineChars="200"/>
              <w:textAlignment w:val="center"/>
              <w:rPr>
                <w:sz w:val="24"/>
                <w:szCs w:val="24"/>
              </w:rPr>
            </w:pPr>
            <w:r>
              <w:rPr>
                <w:sz w:val="24"/>
                <w:szCs w:val="24"/>
              </w:rPr>
              <w:t>（1）骨料存放、加工区尽可能密闭储存，运料时做好水泥、砂子等松散物的苫盖措施，以免大风季节产生扬尘影响周围大气环境；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center"/>
              <w:rPr>
                <w:sz w:val="24"/>
                <w:szCs w:val="24"/>
              </w:rPr>
            </w:pPr>
            <w:r>
              <w:rPr>
                <w:sz w:val="24"/>
                <w:szCs w:val="24"/>
              </w:rPr>
              <w:t>（2）道路区应及时洒水降尘；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center"/>
              <w:rPr>
                <w:sz w:val="24"/>
                <w:szCs w:val="24"/>
              </w:rPr>
            </w:pPr>
            <w:r>
              <w:rPr>
                <w:sz w:val="24"/>
                <w:szCs w:val="24"/>
              </w:rPr>
              <w:t>（3）存梁区非硬化地面采取临时撒播植草措施或及时洒水防治扬尘；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center"/>
              <w:rPr>
                <w:sz w:val="24"/>
                <w:szCs w:val="24"/>
              </w:rPr>
            </w:pPr>
            <w:r>
              <w:rPr>
                <w:sz w:val="24"/>
                <w:szCs w:val="24"/>
              </w:rPr>
              <w:t>（4）生活办公区冬季采暖禁止采用临时燃煤锅炉，应采用电等清洁能源；周围尽可能采取绿化措施，美化环境；</w:t>
            </w:r>
          </w:p>
          <w:p>
            <w:pPr>
              <w:keepNext w:val="0"/>
              <w:keepLines w:val="0"/>
              <w:pageBreakBefore w:val="0"/>
              <w:tabs>
                <w:tab w:val="left" w:pos="840"/>
              </w:tabs>
              <w:kinsoku/>
              <w:wordWrap/>
              <w:overflowPunct/>
              <w:topLinePunct w:val="0"/>
              <w:autoSpaceDE/>
              <w:autoSpaceDN/>
              <w:bidi w:val="0"/>
              <w:adjustRightInd/>
              <w:snapToGrid/>
              <w:spacing w:line="360" w:lineRule="auto"/>
              <w:ind w:firstLine="480" w:firstLineChars="200"/>
              <w:rPr>
                <w:sz w:val="24"/>
                <w:szCs w:val="24"/>
              </w:rPr>
            </w:pPr>
            <w:r>
              <w:rPr>
                <w:sz w:val="24"/>
                <w:szCs w:val="24"/>
              </w:rPr>
              <w:t>（5）场内表土堆放场采用密目网苫盖措施，减少扬尘。</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cs="宋体"/>
                <w:b/>
                <w:bCs/>
                <w:kern w:val="0"/>
                <w:sz w:val="24"/>
                <w:highlight w:val="none"/>
                <w:u w:val="single"/>
              </w:rPr>
            </w:pPr>
            <w:r>
              <w:rPr>
                <w:rFonts w:hint="eastAsia" w:ascii="宋体" w:hAnsi="宋体" w:cs="宋体"/>
                <w:b/>
                <w:bCs/>
                <w:kern w:val="0"/>
                <w:sz w:val="24"/>
                <w:highlight w:val="none"/>
                <w:u w:val="single"/>
                <w:lang w:val="en-US" w:eastAsia="zh-CN"/>
              </w:rPr>
              <w:t>4</w:t>
            </w:r>
            <w:r>
              <w:rPr>
                <w:rFonts w:hint="eastAsia" w:ascii="宋体" w:hAnsi="宋体" w:cs="宋体"/>
                <w:b/>
                <w:bCs/>
                <w:kern w:val="0"/>
                <w:sz w:val="24"/>
                <w:highlight w:val="none"/>
                <w:u w:val="single"/>
              </w:rPr>
              <w:t>、现存环境问题及“以新带老”整改措施</w:t>
            </w:r>
          </w:p>
          <w:p>
            <w:pPr>
              <w:keepNext w:val="0"/>
              <w:keepLines w:val="0"/>
              <w:pageBreakBefore w:val="0"/>
              <w:tabs>
                <w:tab w:val="left" w:pos="840"/>
              </w:tabs>
              <w:kinsoku/>
              <w:wordWrap/>
              <w:overflowPunct/>
              <w:topLinePunct w:val="0"/>
              <w:autoSpaceDE/>
              <w:autoSpaceDN/>
              <w:bidi w:val="0"/>
              <w:adjustRightInd/>
              <w:snapToGrid/>
              <w:spacing w:line="360" w:lineRule="auto"/>
              <w:ind w:firstLine="480" w:firstLineChars="200"/>
              <w:rPr>
                <w:rFonts w:hint="eastAsia" w:ascii="宋体" w:hAnsi="宋体"/>
                <w:sz w:val="24"/>
                <w:highlight w:val="none"/>
                <w:u w:val="single"/>
              </w:rPr>
            </w:pPr>
            <w:r>
              <w:rPr>
                <w:rFonts w:hint="eastAsia" w:ascii="宋体" w:hAnsi="宋体"/>
                <w:sz w:val="24"/>
                <w:highlight w:val="none"/>
                <w:u w:val="single"/>
                <w:lang w:val="en-US" w:eastAsia="zh-CN"/>
              </w:rPr>
              <w:t>制梁场现有污染治理措施均落实了《</w:t>
            </w:r>
            <w:r>
              <w:rPr>
                <w:rFonts w:hint="eastAsia" w:ascii="宋体" w:hAnsi="宋体" w:eastAsia="宋体" w:cs="宋体"/>
                <w:kern w:val="0"/>
                <w:sz w:val="24"/>
                <w:highlight w:val="none"/>
                <w:u w:val="single"/>
                <w:lang w:val="en-US" w:eastAsia="zh-CN"/>
              </w:rPr>
              <w:t>新建沈阳至白河高速铁路环境影响报告书</w:t>
            </w:r>
            <w:r>
              <w:rPr>
                <w:rFonts w:hint="eastAsia" w:ascii="宋体" w:hAnsi="宋体"/>
                <w:sz w:val="24"/>
                <w:highlight w:val="none"/>
                <w:u w:val="single"/>
                <w:lang w:val="en-US" w:eastAsia="zh-CN"/>
              </w:rPr>
              <w:t>》及批复要求</w:t>
            </w:r>
            <w:r>
              <w:rPr>
                <w:rFonts w:hint="eastAsia" w:ascii="宋体" w:hAnsi="宋体"/>
                <w:b w:val="0"/>
                <w:bCs w:val="0"/>
                <w:sz w:val="24"/>
                <w:highlight w:val="none"/>
                <w:u w:val="single"/>
                <w:lang w:val="en-US" w:eastAsia="zh-CN"/>
              </w:rPr>
              <w:t>，无</w:t>
            </w:r>
            <w:r>
              <w:rPr>
                <w:rFonts w:hint="eastAsia" w:ascii="宋体" w:hAnsi="宋体" w:cs="宋体"/>
                <w:b w:val="0"/>
                <w:bCs w:val="0"/>
                <w:kern w:val="0"/>
                <w:sz w:val="24"/>
                <w:highlight w:val="none"/>
                <w:u w:val="single"/>
              </w:rPr>
              <w:t>“以新带老”整改措施</w:t>
            </w:r>
            <w:r>
              <w:rPr>
                <w:rFonts w:hint="eastAsia" w:ascii="宋体" w:hAnsi="宋体" w:cs="宋体"/>
                <w:b w:val="0"/>
                <w:bCs w:val="0"/>
                <w:kern w:val="0"/>
                <w:sz w:val="24"/>
                <w:highlight w:val="none"/>
                <w:u w:val="single"/>
                <w:lang w:eastAsia="zh-CN"/>
              </w:rPr>
              <w:t>。</w:t>
            </w:r>
            <w:r>
              <w:rPr>
                <w:rFonts w:hint="eastAsia" w:ascii="宋体" w:hAnsi="宋体"/>
                <w:b w:val="0"/>
                <w:bCs w:val="0"/>
                <w:sz w:val="24"/>
                <w:highlight w:val="none"/>
                <w:u w:val="single"/>
              </w:rPr>
              <w:t>经</w:t>
            </w:r>
            <w:r>
              <w:rPr>
                <w:rFonts w:hint="eastAsia" w:ascii="宋体" w:hAnsi="宋体"/>
                <w:sz w:val="24"/>
                <w:highlight w:val="none"/>
                <w:u w:val="single"/>
              </w:rPr>
              <w:t>咨询当地环保部门，项目自</w:t>
            </w:r>
            <w:r>
              <w:rPr>
                <w:rFonts w:hint="eastAsia" w:ascii="宋体" w:hAnsi="宋体"/>
                <w:sz w:val="24"/>
                <w:highlight w:val="none"/>
                <w:u w:val="single"/>
                <w:lang w:val="en-US" w:eastAsia="zh-CN"/>
              </w:rPr>
              <w:t>施工</w:t>
            </w:r>
            <w:r>
              <w:rPr>
                <w:rFonts w:hint="eastAsia" w:ascii="宋体" w:hAnsi="宋体"/>
                <w:sz w:val="24"/>
                <w:highlight w:val="none"/>
                <w:u w:val="single"/>
              </w:rPr>
              <w:t>以来未发生环境风险事故，不存在环境安全隐患，无环境信访问题。</w:t>
            </w:r>
          </w:p>
          <w:p>
            <w:pPr>
              <w:pStyle w:val="22"/>
              <w:rPr>
                <w:rFonts w:hint="eastAsia"/>
                <w:vanish w:val="0"/>
                <w:highlight w:val="yellow"/>
              </w:rPr>
            </w:pPr>
          </w:p>
          <w:p>
            <w:pPr>
              <w:pStyle w:val="40"/>
              <w:rPr>
                <w:rFonts w:hint="eastAsia"/>
                <w:color w:val="auto"/>
                <w:highlight w:val="yellow"/>
              </w:rPr>
            </w:pPr>
          </w:p>
          <w:p>
            <w:pPr>
              <w:pStyle w:val="40"/>
              <w:rPr>
                <w:rFonts w:hint="eastAsia"/>
                <w:color w:val="auto"/>
                <w:highlight w:val="yellow"/>
              </w:rPr>
            </w:pPr>
          </w:p>
          <w:p>
            <w:pPr>
              <w:pStyle w:val="40"/>
              <w:rPr>
                <w:rFonts w:hint="eastAsia"/>
                <w:color w:val="auto"/>
                <w:highlight w:val="yellow"/>
              </w:rPr>
            </w:pPr>
          </w:p>
          <w:p>
            <w:pPr>
              <w:pStyle w:val="40"/>
              <w:rPr>
                <w:rFonts w:hint="eastAsia"/>
                <w:color w:val="auto"/>
                <w:highlight w:val="yellow"/>
              </w:rPr>
            </w:pPr>
          </w:p>
          <w:p>
            <w:pPr>
              <w:pStyle w:val="40"/>
              <w:jc w:val="both"/>
              <w:rPr>
                <w:rFonts w:hint="eastAsia"/>
                <w:color w:val="auto"/>
                <w:highlight w:val="yellow"/>
              </w:rPr>
            </w:pPr>
          </w:p>
        </w:tc>
      </w:tr>
    </w:tbl>
    <w:p>
      <w:pPr>
        <w:pStyle w:val="20"/>
        <w:jc w:val="center"/>
        <w:rPr>
          <w:rFonts w:ascii="Times New Roman" w:hAnsi="Times New Roman"/>
          <w:snapToGrid w:val="0"/>
          <w:sz w:val="36"/>
          <w:szCs w:val="36"/>
          <w:highlight w:val="yellow"/>
        </w:rPr>
        <w:sectPr>
          <w:pgSz w:w="11906" w:h="16838"/>
          <w:pgMar w:top="1701" w:right="1531" w:bottom="1701" w:left="1531" w:header="851" w:footer="851" w:gutter="0"/>
          <w:cols w:space="720" w:num="1"/>
          <w:docGrid w:linePitch="312" w:charSpace="0"/>
        </w:sectPr>
      </w:pPr>
    </w:p>
    <w:p>
      <w:pPr>
        <w:pStyle w:val="20"/>
        <w:jc w:val="center"/>
        <w:outlineLvl w:val="0"/>
        <w:rPr>
          <w:rFonts w:ascii="Times New Roman" w:hAnsi="Times New Roman"/>
          <w:snapToGrid w:val="0"/>
          <w:sz w:val="30"/>
          <w:szCs w:val="30"/>
          <w:highlight w:val="none"/>
        </w:rPr>
      </w:pPr>
      <w:r>
        <w:rPr>
          <w:rFonts w:ascii="Times New Roman" w:hAnsi="Times New Roman"/>
          <w:b/>
          <w:bCs/>
          <w:snapToGrid w:val="0"/>
          <w:sz w:val="30"/>
          <w:szCs w:val="30"/>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29" w:hRule="atLeast"/>
          <w:jc w:val="center"/>
        </w:trPr>
        <w:tc>
          <w:tcPr>
            <w:tcW w:w="751" w:type="dxa"/>
            <w:noWrap w:val="0"/>
            <w:vAlign w:val="center"/>
          </w:tcPr>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 w:val="24"/>
                <w:highlight w:val="none"/>
              </w:rPr>
            </w:pPr>
            <w:r>
              <w:rPr>
                <w:kern w:val="0"/>
                <w:sz w:val="24"/>
                <w:highlight w:val="none"/>
              </w:rPr>
              <w:t>现状</w:t>
            </w: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pStyle w:val="22"/>
              <w:rPr>
                <w:sz w:val="24"/>
                <w:szCs w:val="24"/>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pStyle w:val="40"/>
              <w:rPr>
                <w:color w:val="auto"/>
                <w:highlight w:val="yellow"/>
              </w:rPr>
            </w:pPr>
          </w:p>
          <w:p>
            <w:pPr>
              <w:adjustRightInd w:val="0"/>
              <w:snapToGrid w:val="0"/>
              <w:jc w:val="center"/>
              <w:rPr>
                <w:kern w:val="0"/>
                <w:sz w:val="24"/>
                <w:highlight w:val="yellow"/>
              </w:rPr>
            </w:pPr>
          </w:p>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 w:val="24"/>
                <w:highlight w:val="yellow"/>
              </w:rPr>
            </w:pPr>
            <w:r>
              <w:rPr>
                <w:kern w:val="0"/>
                <w:sz w:val="24"/>
                <w:highlight w:val="none"/>
              </w:rPr>
              <w:t>现状</w:t>
            </w: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 w:val="24"/>
                <w:highlight w:val="none"/>
              </w:rPr>
            </w:pPr>
            <w:r>
              <w:rPr>
                <w:kern w:val="0"/>
                <w:sz w:val="24"/>
                <w:highlight w:val="none"/>
              </w:rPr>
              <w:t>现状</w:t>
            </w: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 w:val="24"/>
                <w:highlight w:val="none"/>
              </w:rPr>
            </w:pPr>
            <w:r>
              <w:rPr>
                <w:kern w:val="0"/>
                <w:sz w:val="24"/>
                <w:highlight w:val="none"/>
              </w:rPr>
              <w:t>现状</w:t>
            </w: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 w:val="24"/>
                <w:highlight w:val="yellow"/>
              </w:rPr>
            </w:pPr>
          </w:p>
          <w:p>
            <w:pPr>
              <w:adjustRightInd w:val="0"/>
              <w:snapToGrid w:val="0"/>
              <w:jc w:val="center"/>
              <w:rPr>
                <w:kern w:val="0"/>
                <w:szCs w:val="21"/>
                <w:highlight w:val="yellow"/>
              </w:rPr>
            </w:pPr>
          </w:p>
        </w:tc>
        <w:tc>
          <w:tcPr>
            <w:tcW w:w="8310" w:type="dxa"/>
            <w:noWrap w:val="0"/>
            <w:vAlign w:val="center"/>
          </w:tcPr>
          <w:p>
            <w:pPr>
              <w:numPr>
                <w:ilvl w:val="0"/>
                <w:numId w:val="7"/>
              </w:numPr>
              <w:spacing w:line="360" w:lineRule="auto"/>
              <w:ind w:firstLine="472" w:firstLineChars="196"/>
              <w:rPr>
                <w:rFonts w:hint="eastAsia" w:ascii="宋体" w:hAnsi="宋体" w:cs="宋体"/>
                <w:sz w:val="24"/>
                <w:highlight w:val="none"/>
              </w:rPr>
            </w:pPr>
            <w:r>
              <w:rPr>
                <w:rFonts w:hint="eastAsia" w:ascii="宋体" w:hAnsi="宋体" w:cs="宋体"/>
                <w:b/>
                <w:snapToGrid w:val="0"/>
                <w:sz w:val="24"/>
                <w:highlight w:val="none"/>
              </w:rPr>
              <w:t>地表水环境质量现状调查与评价</w:t>
            </w:r>
          </w:p>
          <w:p>
            <w:pPr>
              <w:pStyle w:val="5"/>
              <w:spacing w:line="360" w:lineRule="auto"/>
              <w:ind w:left="0" w:leftChars="0" w:firstLine="480" w:firstLineChars="200"/>
              <w:jc w:val="left"/>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根据《建设项目环境影响报告表编制技术指南》（污染影响类）：地表水环境。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u w:val="none" w:color="auto"/>
                <w:lang w:eastAsia="zh-CN"/>
              </w:rPr>
              <w:t>。</w:t>
            </w:r>
          </w:p>
          <w:p>
            <w:pPr>
              <w:pStyle w:val="8"/>
              <w:spacing w:before="0" w:after="0" w:line="360" w:lineRule="auto"/>
              <w:ind w:right="0" w:firstLine="480" w:firstLineChars="200"/>
              <w:rPr>
                <w:rFonts w:hint="eastAsia" w:ascii="宋体" w:hAnsi="宋体" w:cs="宋体"/>
                <w:sz w:val="21"/>
                <w:szCs w:val="21"/>
                <w:highlight w:val="none"/>
              </w:rPr>
            </w:pPr>
            <w:r>
              <w:rPr>
                <w:rFonts w:hint="default" w:ascii="Times New Roman" w:hAnsi="Times New Roman" w:eastAsia="宋体" w:cs="Times New Roman"/>
                <w:i w:val="0"/>
                <w:iCs w:val="0"/>
                <w:color w:val="auto"/>
                <w:kern w:val="0"/>
                <w:sz w:val="24"/>
                <w:szCs w:val="24"/>
                <w:highlight w:val="none"/>
                <w:u w:val="none" w:color="auto"/>
                <w:lang w:val="zh-CN"/>
              </w:rPr>
              <w:t>根据吉林省生态环境厅发布的吉林省地表水国控断面水质月报，吉林省</w:t>
            </w:r>
            <w:r>
              <w:rPr>
                <w:rFonts w:hint="eastAsia" w:ascii="Times New Roman" w:hAnsi="Times New Roman" w:eastAsia="宋体" w:cs="Times New Roman"/>
                <w:i w:val="0"/>
                <w:iCs w:val="0"/>
                <w:color w:val="auto"/>
                <w:kern w:val="0"/>
                <w:sz w:val="24"/>
                <w:szCs w:val="24"/>
                <w:highlight w:val="none"/>
                <w:u w:val="none" w:color="auto"/>
                <w:lang w:val="en-US" w:eastAsia="zh-CN"/>
              </w:rPr>
              <w:t>2022年11月至</w:t>
            </w:r>
            <w:r>
              <w:rPr>
                <w:rFonts w:hint="default" w:ascii="Times New Roman" w:hAnsi="Times New Roman" w:eastAsia="宋体" w:cs="Times New Roman"/>
                <w:i w:val="0"/>
                <w:iCs w:val="0"/>
                <w:color w:val="auto"/>
                <w:kern w:val="0"/>
                <w:sz w:val="24"/>
                <w:szCs w:val="24"/>
                <w:highlight w:val="none"/>
                <w:u w:val="none" w:color="auto"/>
                <w:lang w:val="zh-CN"/>
              </w:rPr>
              <w:t>202</w:t>
            </w:r>
            <w:r>
              <w:rPr>
                <w:rFonts w:hint="default" w:ascii="Times New Roman" w:hAnsi="Times New Roman" w:eastAsia="宋体" w:cs="Times New Roman"/>
                <w:i w:val="0"/>
                <w:iCs w:val="0"/>
                <w:color w:val="auto"/>
                <w:kern w:val="0"/>
                <w:sz w:val="24"/>
                <w:szCs w:val="24"/>
                <w:highlight w:val="none"/>
                <w:u w:val="none" w:color="auto"/>
                <w:lang w:val="en-US" w:eastAsia="zh-CN"/>
              </w:rPr>
              <w:t>3</w:t>
            </w:r>
            <w:r>
              <w:rPr>
                <w:rFonts w:hint="default" w:ascii="Times New Roman" w:hAnsi="Times New Roman" w:eastAsia="宋体" w:cs="Times New Roman"/>
                <w:i w:val="0"/>
                <w:iCs w:val="0"/>
                <w:color w:val="auto"/>
                <w:kern w:val="0"/>
                <w:sz w:val="24"/>
                <w:szCs w:val="24"/>
                <w:highlight w:val="none"/>
                <w:u w:val="none" w:color="auto"/>
                <w:lang w:val="zh-CN"/>
              </w:rPr>
              <w:t>年</w:t>
            </w:r>
            <w:r>
              <w:rPr>
                <w:rFonts w:hint="default" w:ascii="Times New Roman" w:hAnsi="Times New Roman" w:eastAsia="宋体" w:cs="Times New Roman"/>
                <w:i w:val="0"/>
                <w:iCs w:val="0"/>
                <w:color w:val="auto"/>
                <w:kern w:val="0"/>
                <w:sz w:val="24"/>
                <w:szCs w:val="24"/>
                <w:highlight w:val="none"/>
                <w:u w:val="none" w:color="auto"/>
                <w:lang w:val="en-US" w:eastAsia="zh-CN"/>
              </w:rPr>
              <w:t>1</w:t>
            </w:r>
            <w:r>
              <w:rPr>
                <w:rFonts w:hint="default" w:ascii="Times New Roman" w:hAnsi="Times New Roman" w:eastAsia="宋体" w:cs="Times New Roman"/>
                <w:i w:val="0"/>
                <w:iCs w:val="0"/>
                <w:color w:val="auto"/>
                <w:kern w:val="0"/>
                <w:sz w:val="24"/>
                <w:szCs w:val="24"/>
                <w:highlight w:val="none"/>
                <w:u w:val="none" w:color="auto"/>
                <w:lang w:val="zh-CN"/>
              </w:rPr>
              <w:t>月国控（考核）断面水质状况如下</w:t>
            </w:r>
            <w:r>
              <w:rPr>
                <w:rFonts w:hint="default" w:ascii="Times New Roman" w:hAnsi="Times New Roman" w:eastAsia="宋体" w:cs="Times New Roman"/>
                <w:bCs/>
                <w:color w:val="auto"/>
                <w:sz w:val="24"/>
                <w:szCs w:val="24"/>
                <w:highlight w:val="none"/>
                <w:u w:val="none" w:color="auto"/>
                <w:lang w:val="en-US" w:eastAsia="zh-CN"/>
              </w:rPr>
              <w:t>。</w:t>
            </w:r>
          </w:p>
          <w:p>
            <w:pPr>
              <w:pStyle w:val="8"/>
              <w:spacing w:before="0" w:after="0" w:line="260" w:lineRule="auto"/>
              <w:ind w:right="0"/>
              <w:jc w:val="center"/>
              <w:rPr>
                <w:rFonts w:hint="eastAsia" w:ascii="宋体" w:cs="宋体"/>
                <w:b/>
                <w:bCs/>
                <w:sz w:val="21"/>
                <w:szCs w:val="21"/>
                <w:highlight w:val="none"/>
                <w:u w:val="single"/>
              </w:rPr>
            </w:pPr>
            <w:r>
              <w:rPr>
                <w:rFonts w:hint="eastAsia" w:ascii="宋体" w:cs="宋体"/>
                <w:b/>
                <w:bCs/>
                <w:sz w:val="21"/>
                <w:szCs w:val="21"/>
                <w:highlight w:val="none"/>
                <w:u w:val="single"/>
              </w:rPr>
              <w:t xml:space="preserve">表3-1 </w:t>
            </w:r>
            <w:r>
              <w:rPr>
                <w:rFonts w:ascii="宋体" w:cs="宋体"/>
                <w:b/>
                <w:bCs/>
                <w:sz w:val="21"/>
                <w:szCs w:val="21"/>
                <w:highlight w:val="none"/>
                <w:u w:val="single"/>
              </w:rPr>
              <w:t xml:space="preserve"> </w:t>
            </w:r>
            <w:r>
              <w:rPr>
                <w:rFonts w:hint="eastAsia" w:ascii="宋体" w:cs="宋体"/>
                <w:b/>
                <w:bCs/>
                <w:sz w:val="21"/>
                <w:szCs w:val="21"/>
                <w:highlight w:val="none"/>
                <w:u w:val="single"/>
              </w:rPr>
              <w:t>水质环境质量断面情况</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872"/>
              <w:gridCol w:w="1090"/>
              <w:gridCol w:w="1393"/>
              <w:gridCol w:w="658"/>
              <w:gridCol w:w="658"/>
              <w:gridCol w:w="1119"/>
              <w:gridCol w:w="659"/>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6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时间</w:t>
                  </w:r>
                </w:p>
              </w:tc>
              <w:tc>
                <w:tcPr>
                  <w:tcW w:w="539"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所属</w:t>
                  </w:r>
                </w:p>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城市</w:t>
                  </w:r>
                </w:p>
              </w:tc>
              <w:tc>
                <w:tcPr>
                  <w:tcW w:w="67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江河名称</w:t>
                  </w:r>
                </w:p>
              </w:tc>
              <w:tc>
                <w:tcPr>
                  <w:tcW w:w="861"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断面名称</w:t>
                  </w:r>
                </w:p>
              </w:tc>
              <w:tc>
                <w:tcPr>
                  <w:tcW w:w="1506" w:type="pct"/>
                  <w:gridSpan w:val="3"/>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水质类别</w:t>
                  </w:r>
                </w:p>
              </w:tc>
              <w:tc>
                <w:tcPr>
                  <w:tcW w:w="407"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环比</w:t>
                  </w:r>
                </w:p>
              </w:tc>
              <w:tc>
                <w:tcPr>
                  <w:tcW w:w="446"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同比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6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539"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67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861"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本月</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上月</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去年同期</w:t>
                  </w:r>
                </w:p>
              </w:tc>
              <w:tc>
                <w:tcPr>
                  <w:tcW w:w="407"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446"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2022.11</w:t>
                  </w:r>
                </w:p>
              </w:tc>
              <w:tc>
                <w:tcPr>
                  <w:tcW w:w="539"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z w:val="21"/>
                      <w:szCs w:val="21"/>
                      <w:highlight w:val="none"/>
                      <w:u w:val="none" w:color="auto"/>
                      <w:lang w:val="en-US" w:eastAsia="zh-CN"/>
                    </w:rPr>
                    <w:t>白山</w:t>
                  </w:r>
                  <w:r>
                    <w:rPr>
                      <w:rFonts w:hint="default" w:ascii="Times New Roman" w:hAnsi="Times New Roman" w:eastAsia="宋体" w:cs="Times New Roman"/>
                      <w:i w:val="0"/>
                      <w:iCs w:val="0"/>
                      <w:color w:val="auto"/>
                      <w:sz w:val="21"/>
                      <w:szCs w:val="21"/>
                      <w:highlight w:val="none"/>
                      <w:u w:val="none" w:color="auto"/>
                      <w:lang w:eastAsia="zh-CN"/>
                    </w:rPr>
                    <w:t>市</w:t>
                  </w:r>
                </w:p>
              </w:tc>
              <w:tc>
                <w:tcPr>
                  <w:tcW w:w="67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z w:val="21"/>
                      <w:szCs w:val="21"/>
                      <w:highlight w:val="none"/>
                      <w:u w:val="none" w:color="auto"/>
                      <w:lang w:eastAsia="zh-CN"/>
                    </w:rPr>
                    <w:t>浑江</w:t>
                  </w: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江源（浑）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bCs/>
                      <w:i w:val="0"/>
                      <w:iCs w:val="0"/>
                      <w:color w:val="auto"/>
                      <w:sz w:val="21"/>
                      <w:szCs w:val="21"/>
                      <w:highlight w:val="none"/>
                      <w:u w:val="none" w:color="auto"/>
                    </w:rPr>
                    <w:t>Ⅲ</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sz w:val="21"/>
                      <w:szCs w:val="21"/>
                      <w:highlight w:val="none"/>
                      <w:u w:val="none" w:color="auto"/>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Ⅱ</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bCs/>
                      <w:i w:val="0"/>
                      <w:iCs w:val="0"/>
                      <w:color w:val="auto"/>
                      <w:sz w:val="21"/>
                      <w:szCs w:val="21"/>
                      <w:highlight w:val="none"/>
                      <w:u w:val="none" w:color="auto"/>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539"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7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pacing w:val="-12"/>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西村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Ⅱ</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bCs/>
                      <w:i w:val="0"/>
                      <w:iCs w:val="0"/>
                      <w:color w:val="auto"/>
                      <w:sz w:val="21"/>
                      <w:szCs w:val="21"/>
                      <w:highlight w:val="none"/>
                      <w:u w:val="none" w:color="auto"/>
                    </w:rPr>
                    <w:t>Ⅲ</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sz w:val="21"/>
                      <w:szCs w:val="21"/>
                      <w:highlight w:val="none"/>
                      <w:u w:val="none" w:color="auto"/>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2022.12</w:t>
                  </w:r>
                </w:p>
              </w:tc>
              <w:tc>
                <w:tcPr>
                  <w:tcW w:w="539"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z w:val="21"/>
                      <w:szCs w:val="21"/>
                      <w:highlight w:val="none"/>
                      <w:u w:val="none" w:color="auto"/>
                      <w:lang w:val="en-US" w:eastAsia="zh-CN"/>
                    </w:rPr>
                    <w:t>白山</w:t>
                  </w:r>
                  <w:r>
                    <w:rPr>
                      <w:rFonts w:hint="default" w:ascii="Times New Roman" w:hAnsi="Times New Roman" w:eastAsia="宋体" w:cs="Times New Roman"/>
                      <w:i w:val="0"/>
                      <w:iCs w:val="0"/>
                      <w:color w:val="auto"/>
                      <w:sz w:val="21"/>
                      <w:szCs w:val="21"/>
                      <w:highlight w:val="none"/>
                      <w:u w:val="none" w:color="auto"/>
                      <w:lang w:eastAsia="zh-CN"/>
                    </w:rPr>
                    <w:t>市</w:t>
                  </w:r>
                </w:p>
              </w:tc>
              <w:tc>
                <w:tcPr>
                  <w:tcW w:w="67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z w:val="21"/>
                      <w:szCs w:val="21"/>
                      <w:highlight w:val="none"/>
                      <w:u w:val="none" w:color="auto"/>
                      <w:lang w:eastAsia="zh-CN"/>
                    </w:rPr>
                    <w:t>浑江</w:t>
                  </w: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江源（浑）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bCs/>
                      <w:i w:val="0"/>
                      <w:iCs w:val="0"/>
                      <w:color w:val="auto"/>
                      <w:sz w:val="21"/>
                      <w:szCs w:val="21"/>
                      <w:highlight w:val="none"/>
                      <w:u w:val="none" w:color="auto"/>
                    </w:rPr>
                    <w:t>Ⅲ</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539"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7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pacing w:val="-12"/>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西村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Ⅱ</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Ⅴ</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aps w:val="0"/>
                      <w:color w:val="auto"/>
                      <w:spacing w:val="0"/>
                      <w:kern w:val="2"/>
                      <w:sz w:val="21"/>
                      <w:szCs w:val="21"/>
                      <w:highlight w:val="none"/>
                      <w:u w:val="none" w:color="auto"/>
                      <w:shd w:val="clear" w:color="auto" w:fill="FFFFFF"/>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aps w:val="0"/>
                      <w:color w:val="auto"/>
                      <w:spacing w:val="0"/>
                      <w:kern w:val="2"/>
                      <w:sz w:val="21"/>
                      <w:szCs w:val="21"/>
                      <w:highlight w:val="none"/>
                      <w:u w:val="none" w:color="auto"/>
                      <w:shd w:val="clear" w:color="auto" w:fill="FFFFFF"/>
                      <w:lang w:val="en-US" w:eastAsia="zh-CN" w:bidi="ar-SA"/>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rPr>
                    <w:t>202</w:t>
                  </w:r>
                  <w:r>
                    <w:rPr>
                      <w:rFonts w:hint="default" w:ascii="Times New Roman" w:hAnsi="Times New Roman" w:eastAsia="宋体" w:cs="Times New Roman"/>
                      <w:i w:val="0"/>
                      <w:iCs w:val="0"/>
                      <w:color w:val="auto"/>
                      <w:sz w:val="21"/>
                      <w:szCs w:val="21"/>
                      <w:highlight w:val="none"/>
                      <w:u w:val="none" w:color="auto"/>
                      <w:lang w:val="en-US" w:eastAsia="zh-CN"/>
                    </w:rPr>
                    <w:t>3.1</w:t>
                  </w:r>
                </w:p>
              </w:tc>
              <w:tc>
                <w:tcPr>
                  <w:tcW w:w="539"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r>
                    <w:rPr>
                      <w:rFonts w:hint="default" w:ascii="Times New Roman" w:hAnsi="Times New Roman" w:eastAsia="宋体" w:cs="Times New Roman"/>
                      <w:i w:val="0"/>
                      <w:iCs w:val="0"/>
                      <w:color w:val="auto"/>
                      <w:sz w:val="21"/>
                      <w:szCs w:val="21"/>
                      <w:highlight w:val="none"/>
                      <w:u w:val="none" w:color="auto"/>
                      <w:lang w:val="en-US" w:eastAsia="zh-CN"/>
                    </w:rPr>
                    <w:t>白山</w:t>
                  </w:r>
                  <w:r>
                    <w:rPr>
                      <w:rFonts w:hint="default" w:ascii="Times New Roman" w:hAnsi="Times New Roman" w:eastAsia="宋体" w:cs="Times New Roman"/>
                      <w:i w:val="0"/>
                      <w:iCs w:val="0"/>
                      <w:color w:val="auto"/>
                      <w:sz w:val="21"/>
                      <w:szCs w:val="21"/>
                      <w:highlight w:val="none"/>
                      <w:u w:val="none" w:color="auto"/>
                      <w:lang w:eastAsia="zh-CN"/>
                    </w:rPr>
                    <w:t>市</w:t>
                  </w:r>
                </w:p>
              </w:tc>
              <w:tc>
                <w:tcPr>
                  <w:tcW w:w="674" w:type="pct"/>
                  <w:vMerge w:val="restar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r>
                    <w:rPr>
                      <w:rFonts w:hint="default" w:ascii="Times New Roman" w:hAnsi="Times New Roman" w:eastAsia="宋体" w:cs="Times New Roman"/>
                      <w:i w:val="0"/>
                      <w:iCs w:val="0"/>
                      <w:color w:val="auto"/>
                      <w:sz w:val="21"/>
                      <w:szCs w:val="21"/>
                      <w:highlight w:val="none"/>
                      <w:u w:val="none" w:color="auto"/>
                      <w:lang w:eastAsia="zh-CN"/>
                    </w:rPr>
                    <w:t>浑江</w:t>
                  </w: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江源（浑）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p>
              </w:tc>
              <w:tc>
                <w:tcPr>
                  <w:tcW w:w="539"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74" w:type="pct"/>
                  <w:vMerge w:val="continue"/>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lang w:eastAsia="zh-CN"/>
                    </w:rPr>
                  </w:pPr>
                </w:p>
              </w:tc>
              <w:tc>
                <w:tcPr>
                  <w:tcW w:w="861"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pacing w:val="-12"/>
                      <w:sz w:val="21"/>
                      <w:szCs w:val="21"/>
                      <w:highlight w:val="none"/>
                      <w:u w:val="none" w:color="auto"/>
                      <w:lang w:eastAsia="zh-CN"/>
                    </w:rPr>
                  </w:pP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西村</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highlight w:val="none"/>
                      <w:u w:val="none" w:color="auto"/>
                      <w:vertAlign w:val="baseline"/>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highlight w:val="none"/>
                      <w:u w:val="none" w:color="auto"/>
                      <w:vertAlign w:val="baseline"/>
                    </w:rPr>
                  </w:pPr>
                  <w:r>
                    <w:rPr>
                      <w:rFonts w:hint="default" w:ascii="Times New Roman" w:hAnsi="Times New Roman" w:eastAsia="宋体" w:cs="Times New Roman"/>
                      <w:bCs/>
                      <w:i w:val="0"/>
                      <w:iCs w:val="0"/>
                      <w:color w:val="auto"/>
                      <w:sz w:val="21"/>
                      <w:szCs w:val="21"/>
                      <w:highlight w:val="none"/>
                      <w:u w:val="none" w:color="auto"/>
                    </w:rPr>
                    <w:t>Ⅲ</w:t>
                  </w:r>
                </w:p>
              </w:tc>
              <w:tc>
                <w:tcPr>
                  <w:tcW w:w="692"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sz w:val="21"/>
                      <w:szCs w:val="21"/>
                      <w:highlight w:val="none"/>
                      <w:u w:val="none" w:color="auto"/>
                    </w:rPr>
                  </w:pPr>
                  <w:r>
                    <w:rPr>
                      <w:rFonts w:hint="default" w:ascii="Times New Roman" w:hAnsi="Times New Roman" w:eastAsia="宋体" w:cs="Times New Roman"/>
                      <w:bCs/>
                      <w:i w:val="0"/>
                      <w:iCs w:val="0"/>
                      <w:color w:val="auto"/>
                      <w:sz w:val="21"/>
                      <w:szCs w:val="21"/>
                      <w:highlight w:val="none"/>
                      <w:u w:val="none" w:color="auto"/>
                    </w:rPr>
                    <w:t>Ⅲ</w:t>
                  </w:r>
                </w:p>
              </w:tc>
              <w:tc>
                <w:tcPr>
                  <w:tcW w:w="407" w:type="pct"/>
                  <w:tcBorders>
                    <w:tl2br w:val="nil"/>
                    <w:tr2bl w:val="nil"/>
                  </w:tcBorders>
                  <w:noWrap w:val="0"/>
                  <w:vAlign w:val="center"/>
                </w:tcPr>
                <w:p>
                  <w:pPr>
                    <w:snapToGrid w:val="0"/>
                    <w:jc w:val="center"/>
                    <w:rPr>
                      <w:rFonts w:hint="default" w:ascii="Times New Roman" w:hAnsi="Times New Roman" w:eastAsia="宋体" w:cs="Times New Roman"/>
                      <w:bCs/>
                      <w:i w:val="0"/>
                      <w:iCs w:val="0"/>
                      <w:color w:val="auto"/>
                      <w:sz w:val="21"/>
                      <w:szCs w:val="21"/>
                      <w:highlight w:val="none"/>
                      <w:u w:val="none" w:color="auto"/>
                    </w:rPr>
                  </w:pPr>
                  <w:r>
                    <w:rPr>
                      <w:rFonts w:hint="default" w:ascii="Times New Roman" w:hAnsi="Times New Roman" w:eastAsia="宋体" w:cs="Times New Roman"/>
                      <w:bCs/>
                      <w:i w:val="0"/>
                      <w:iCs w:val="0"/>
                      <w:color w:val="auto"/>
                      <w:sz w:val="21"/>
                      <w:szCs w:val="21"/>
                      <w:highlight w:val="none"/>
                      <w:u w:val="none" w:color="auto"/>
                    </w:rPr>
                    <w:t>→</w:t>
                  </w:r>
                </w:p>
              </w:tc>
              <w:tc>
                <w:tcPr>
                  <w:tcW w:w="446" w:type="pct"/>
                  <w:tcBorders>
                    <w:tl2br w:val="nil"/>
                    <w:tr2bl w:val="nil"/>
                  </w:tcBorders>
                  <w:noWrap w:val="0"/>
                  <w:vAlign w:val="center"/>
                </w:tcPr>
                <w:p>
                  <w:pPr>
                    <w:snapToGrid w:val="0"/>
                    <w:jc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bCs/>
                      <w:i w:val="0"/>
                      <w:iCs w:val="0"/>
                      <w:color w:val="auto"/>
                      <w:sz w:val="21"/>
                      <w:szCs w:val="21"/>
                      <w:highlight w:val="none"/>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000" w:type="pct"/>
                  <w:gridSpan w:val="9"/>
                  <w:tcBorders>
                    <w:tl2br w:val="nil"/>
                    <w:tr2bl w:val="nil"/>
                  </w:tcBorders>
                  <w:noWrap w:val="0"/>
                  <w:vAlign w:val="center"/>
                </w:tcPr>
                <w:p>
                  <w:pPr>
                    <w:spacing w:line="240" w:lineRule="auto"/>
                    <w:outlineLvl w:val="1"/>
                    <w:rPr>
                      <w:rFonts w:hint="default" w:ascii="Times New Roman" w:hAnsi="Times New Roman" w:eastAsia="宋体" w:cs="Times New Roman"/>
                      <w:bCs/>
                      <w:i w:val="0"/>
                      <w:iCs w:val="0"/>
                      <w:color w:val="auto"/>
                      <w:sz w:val="21"/>
                      <w:szCs w:val="21"/>
                      <w:highlight w:val="none"/>
                      <w:u w:val="none" w:color="auto"/>
                      <w:lang w:eastAsia="zh-CN"/>
                    </w:rPr>
                  </w:pPr>
                  <w:r>
                    <w:rPr>
                      <w:rFonts w:hint="default" w:ascii="Times New Roman" w:hAnsi="Times New Roman" w:eastAsia="宋体" w:cs="Times New Roman"/>
                      <w:b/>
                      <w:bCs/>
                      <w:i w:val="0"/>
                      <w:iCs w:val="0"/>
                      <w:caps w:val="0"/>
                      <w:color w:val="auto"/>
                      <w:spacing w:val="0"/>
                      <w:sz w:val="21"/>
                      <w:szCs w:val="21"/>
                      <w:highlight w:val="none"/>
                      <w:u w:val="none" w:color="auto"/>
                      <w:shd w:val="clear" w:color="auto" w:fill="FFFFFF"/>
                    </w:rPr>
                    <w:t>注：</w:t>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w:t>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lang w:val="en-US"/>
                    </w:rPr>
                    <w:t>/</w:t>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”未监测，“↑”水质有所好转，</w:t>
                  </w:r>
                  <w:bookmarkStart w:id="5" w:name="_Hlk65885556"/>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fldChar w:fldCharType="begin"/>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instrText xml:space="preserve"> HYPERLINK "javascript:void(0)" \o "\“↑↑\”水质明显好转，\“→\”水质无明显变化，" </w:instrText>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fldChar w:fldCharType="separate"/>
                  </w:r>
                  <w:r>
                    <w:rPr>
                      <w:rStyle w:val="27"/>
                      <w:rFonts w:hint="default" w:ascii="Times New Roman" w:hAnsi="Times New Roman" w:eastAsia="宋体" w:cs="Times New Roman"/>
                      <w:i w:val="0"/>
                      <w:iCs w:val="0"/>
                      <w:caps w:val="0"/>
                      <w:color w:val="auto"/>
                      <w:spacing w:val="0"/>
                      <w:sz w:val="21"/>
                      <w:szCs w:val="21"/>
                      <w:highlight w:val="none"/>
                      <w:u w:val="none" w:color="auto"/>
                      <w:shd w:val="clear" w:color="auto" w:fill="FFFFFF"/>
                    </w:rPr>
                    <w:t>“↑↑”水质明显好转，“→”水质无明显变化，</w:t>
                  </w:r>
                  <w:bookmarkEnd w:id="5"/>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fldChar w:fldCharType="end"/>
                  </w:r>
                  <w:r>
                    <w:rPr>
                      <w:rFonts w:hint="default" w:ascii="Times New Roman" w:hAnsi="Times New Roman" w:eastAsia="宋体" w:cs="Times New Roman"/>
                      <w:i w:val="0"/>
                      <w:iCs w:val="0"/>
                      <w:caps w:val="0"/>
                      <w:color w:val="auto"/>
                      <w:spacing w:val="0"/>
                      <w:sz w:val="21"/>
                      <w:szCs w:val="21"/>
                      <w:highlight w:val="none"/>
                      <w:u w:val="none" w:color="auto"/>
                      <w:shd w:val="clear" w:color="auto" w:fill="FFFFFF"/>
                    </w:rPr>
                    <w:t>“↓”水质有所下降，“↓↓”水质明显下降，“○”没有数据无法比较。</w:t>
                  </w:r>
                </w:p>
              </w:tc>
            </w:tr>
          </w:tbl>
          <w:p>
            <w:pPr>
              <w:spacing w:line="360" w:lineRule="auto"/>
              <w:ind w:firstLine="480" w:firstLineChars="200"/>
              <w:rPr>
                <w:rFonts w:hint="eastAsia" w:ascii="宋体" w:hAnsi="宋体" w:cs="宋体"/>
                <w:b/>
                <w:bCs/>
                <w:szCs w:val="21"/>
                <w:highlight w:val="yellow"/>
                <w:u w:val="single"/>
              </w:rPr>
            </w:pPr>
            <w:r>
              <w:rPr>
                <w:rFonts w:hint="default" w:ascii="Times New Roman" w:hAnsi="Times New Roman" w:eastAsia="宋体" w:cs="Times New Roman"/>
                <w:color w:val="auto"/>
                <w:sz w:val="24"/>
                <w:szCs w:val="24"/>
                <w:highlight w:val="none"/>
                <w:u w:val="none" w:color="auto"/>
                <w:lang w:val="en-US" w:eastAsia="zh-CN"/>
              </w:rPr>
              <w:t>由上表可知，浑江</w:t>
            </w:r>
            <w:r>
              <w:rPr>
                <w:rFonts w:hint="default" w:ascii="Times New Roman" w:hAnsi="Times New Roman" w:eastAsia="宋体" w:cs="Times New Roman"/>
                <w:color w:val="auto"/>
                <w:sz w:val="24"/>
                <w:szCs w:val="24"/>
                <w:highlight w:val="none"/>
                <w:u w:val="none" w:color="auto"/>
                <w:lang w:eastAsia="zh-CN"/>
              </w:rPr>
              <w:t>水质</w:t>
            </w:r>
            <w:r>
              <w:rPr>
                <w:rFonts w:hint="default" w:ascii="Times New Roman" w:hAnsi="Times New Roman" w:eastAsia="宋体" w:cs="Times New Roman"/>
                <w:color w:val="auto"/>
                <w:sz w:val="24"/>
                <w:szCs w:val="24"/>
                <w:highlight w:val="none"/>
                <w:u w:val="none" w:color="auto"/>
              </w:rPr>
              <w:t>满足《地表水环境质量标准》(GB3838-2002)中</w:t>
            </w:r>
            <w:r>
              <w:rPr>
                <w:rFonts w:hint="default" w:ascii="Times New Roman" w:hAnsi="Times New Roman" w:eastAsia="宋体" w:cs="Times New Roman"/>
                <w:i w:val="0"/>
                <w:caps w:val="0"/>
                <w:color w:val="auto"/>
                <w:spacing w:val="0"/>
                <w:sz w:val="24"/>
                <w:szCs w:val="24"/>
                <w:highlight w:val="none"/>
                <w:u w:val="none" w:color="auto"/>
              </w:rPr>
              <w:t>Ⅲ</w:t>
            </w:r>
            <w:r>
              <w:rPr>
                <w:rFonts w:hint="default" w:ascii="Times New Roman" w:hAnsi="Times New Roman" w:eastAsia="宋体" w:cs="Times New Roman"/>
                <w:i w:val="0"/>
                <w:caps w:val="0"/>
                <w:color w:val="auto"/>
                <w:spacing w:val="0"/>
                <w:sz w:val="24"/>
                <w:szCs w:val="24"/>
                <w:highlight w:val="none"/>
                <w:u w:val="none" w:color="auto"/>
                <w:lang w:eastAsia="zh-CN"/>
              </w:rPr>
              <w:t>类</w:t>
            </w:r>
            <w:r>
              <w:rPr>
                <w:rFonts w:hint="default" w:ascii="Times New Roman" w:hAnsi="Times New Roman" w:eastAsia="宋体" w:cs="Times New Roman"/>
                <w:color w:val="auto"/>
                <w:sz w:val="24"/>
                <w:szCs w:val="24"/>
                <w:highlight w:val="none"/>
                <w:u w:val="none" w:color="auto"/>
              </w:rPr>
              <w:t>水质功能要求，浑江水体达标。</w:t>
            </w:r>
          </w:p>
          <w:p>
            <w:pPr>
              <w:pStyle w:val="8"/>
              <w:spacing w:before="0" w:after="0" w:line="360" w:lineRule="auto"/>
              <w:ind w:right="0" w:firstLine="482" w:firstLineChars="200"/>
              <w:rPr>
                <w:rFonts w:hint="eastAsia" w:ascii="宋体" w:hAnsi="宋体" w:cs="宋体"/>
                <w:b/>
                <w:iCs/>
                <w:sz w:val="24"/>
                <w:szCs w:val="24"/>
                <w:highlight w:val="none"/>
              </w:rPr>
            </w:pPr>
            <w:r>
              <w:rPr>
                <w:rFonts w:hint="eastAsia" w:ascii="宋体" w:hAnsi="宋体" w:cs="宋体"/>
                <w:b/>
                <w:iCs/>
                <w:sz w:val="24"/>
                <w:szCs w:val="24"/>
                <w:highlight w:val="none"/>
              </w:rPr>
              <w:t>2、环境空气质量现状监测及评价</w:t>
            </w:r>
          </w:p>
          <w:p>
            <w:pPr>
              <w:pStyle w:val="8"/>
              <w:spacing w:before="0" w:after="0" w:line="360" w:lineRule="auto"/>
              <w:ind w:right="0" w:firstLine="480" w:firstLineChars="200"/>
              <w:rPr>
                <w:rFonts w:hint="eastAsia" w:ascii="宋体" w:hAnsi="宋体" w:cs="宋体"/>
                <w:sz w:val="24"/>
                <w:szCs w:val="24"/>
                <w:highlight w:val="none"/>
              </w:rPr>
            </w:pPr>
            <w:r>
              <w:rPr>
                <w:rFonts w:hint="eastAsia" w:ascii="宋体" w:hAnsi="宋体" w:cs="宋体"/>
                <w:bCs/>
                <w:iCs/>
                <w:sz w:val="24"/>
                <w:szCs w:val="24"/>
                <w:highlight w:val="none"/>
              </w:rPr>
              <w:t>⑴区</w:t>
            </w:r>
            <w:r>
              <w:rPr>
                <w:rFonts w:hint="eastAsia" w:ascii="宋体" w:hAnsi="宋体" w:cs="宋体"/>
                <w:sz w:val="24"/>
                <w:szCs w:val="24"/>
                <w:highlight w:val="none"/>
              </w:rPr>
              <w:t>域环境空气质量现状</w:t>
            </w:r>
          </w:p>
          <w:p>
            <w:pPr>
              <w:pStyle w:val="8"/>
              <w:spacing w:before="0" w:after="0" w:line="360" w:lineRule="auto"/>
              <w:ind w:right="0" w:firstLine="480" w:firstLineChars="200"/>
              <w:rPr>
                <w:rFonts w:hint="eastAsia" w:ascii="宋体" w:hAnsi="宋体" w:cs="宋体"/>
                <w:sz w:val="24"/>
                <w:szCs w:val="24"/>
                <w:highlight w:val="none"/>
              </w:rPr>
            </w:pPr>
            <w:r>
              <w:rPr>
                <w:rFonts w:hint="eastAsia" w:ascii="宋体" w:hAnsi="宋体" w:cs="宋体"/>
                <w:sz w:val="24"/>
                <w:szCs w:val="24"/>
                <w:highlight w:val="none"/>
              </w:rPr>
              <w:t>本项目位于吉林省白山市，环境空气现状质量评价数据来源为</w:t>
            </w:r>
            <w:r>
              <w:rPr>
                <w:rFonts w:hint="default" w:ascii="Times New Roman" w:hAnsi="Times New Roman" w:eastAsia="宋体" w:cs="Times New Roman"/>
                <w:i w:val="0"/>
                <w:iCs w:val="0"/>
                <w:color w:val="auto"/>
                <w:sz w:val="24"/>
                <w:highlight w:val="none"/>
                <w:u w:val="none" w:color="auto"/>
              </w:rPr>
              <w:t>《</w:t>
            </w:r>
            <w:r>
              <w:rPr>
                <w:kern w:val="0"/>
                <w:sz w:val="24"/>
                <w:highlight w:val="none"/>
              </w:rPr>
              <w:t>2022年</w:t>
            </w:r>
            <w:r>
              <w:rPr>
                <w:rFonts w:hint="eastAsia"/>
                <w:kern w:val="0"/>
                <w:sz w:val="24"/>
                <w:highlight w:val="none"/>
              </w:rPr>
              <w:t>吉林省生态环境状况公报</w:t>
            </w:r>
            <w:r>
              <w:rPr>
                <w:rFonts w:hint="default" w:ascii="Times New Roman" w:hAnsi="Times New Roman" w:eastAsia="宋体" w:cs="Times New Roman"/>
                <w:i w:val="0"/>
                <w:iCs w:val="0"/>
                <w:color w:val="auto"/>
                <w:sz w:val="24"/>
                <w:highlight w:val="none"/>
                <w:u w:val="none" w:color="auto"/>
              </w:rPr>
              <w:t>》</w:t>
            </w:r>
            <w:r>
              <w:rPr>
                <w:rFonts w:hint="eastAsia" w:ascii="宋体" w:hAnsi="宋体" w:cs="宋体"/>
                <w:sz w:val="24"/>
                <w:szCs w:val="24"/>
                <w:highlight w:val="none"/>
              </w:rPr>
              <w:t>，区域空气质量现状评价见表3-2。</w:t>
            </w:r>
          </w:p>
          <w:p>
            <w:pPr>
              <w:pStyle w:val="8"/>
              <w:spacing w:before="0" w:after="0" w:line="260" w:lineRule="auto"/>
              <w:ind w:right="0"/>
              <w:jc w:val="center"/>
              <w:rPr>
                <w:rFonts w:hint="default" w:ascii="宋体" w:hAnsi="宋体" w:cs="宋体"/>
                <w:b/>
                <w:bCs/>
                <w:sz w:val="21"/>
                <w:szCs w:val="21"/>
                <w:highlight w:val="yellow"/>
                <w:u w:val="single"/>
                <w:lang w:val="en-US"/>
              </w:rPr>
            </w:pPr>
            <w:r>
              <w:rPr>
                <w:rFonts w:hint="eastAsia" w:ascii="宋体" w:hAnsi="宋体" w:cs="宋体"/>
                <w:b/>
                <w:bCs/>
                <w:sz w:val="21"/>
                <w:szCs w:val="21"/>
                <w:highlight w:val="none"/>
                <w:u w:val="single"/>
              </w:rPr>
              <w:t xml:space="preserve">表3-2   </w:t>
            </w:r>
            <w:r>
              <w:rPr>
                <w:rFonts w:hint="default" w:ascii="Times New Roman" w:hAnsi="Times New Roman" w:eastAsia="宋体" w:cs="Times New Roman"/>
                <w:b/>
                <w:i w:val="0"/>
                <w:iCs w:val="0"/>
                <w:color w:val="auto"/>
                <w:kern w:val="2"/>
                <w:sz w:val="21"/>
                <w:szCs w:val="24"/>
                <w:highlight w:val="none"/>
                <w:u w:val="none" w:color="auto"/>
                <w:lang w:val="en-US" w:eastAsia="zh-CN" w:bidi="ar"/>
              </w:rPr>
              <w:t>环境空气基本污染物质量现状评价表</w:t>
            </w:r>
            <w:r>
              <w:rPr>
                <w:rFonts w:hint="eastAsia" w:ascii="Times New Roman" w:hAnsi="Times New Roman" w:eastAsia="宋体" w:cs="Times New Roman"/>
                <w:b/>
                <w:i w:val="0"/>
                <w:iCs w:val="0"/>
                <w:color w:val="auto"/>
                <w:kern w:val="2"/>
                <w:sz w:val="21"/>
                <w:szCs w:val="24"/>
                <w:highlight w:val="none"/>
                <w:u w:val="none" w:color="auto"/>
                <w:lang w:val="en-US" w:eastAsia="zh-CN" w:bidi="ar"/>
              </w:rPr>
              <w:t xml:space="preserve">   </w:t>
            </w:r>
            <w:r>
              <w:rPr>
                <w:rFonts w:hint="default" w:ascii="Times New Roman" w:hAnsi="Times New Roman" w:eastAsia="宋体" w:cs="Times New Roman"/>
                <w:b/>
                <w:i w:val="0"/>
                <w:iCs w:val="0"/>
                <w:color w:val="auto"/>
                <w:highlight w:val="none"/>
                <w:u w:val="none" w:color="auto"/>
              </w:rPr>
              <w:t>单位：μg/m</w:t>
            </w:r>
            <w:r>
              <w:rPr>
                <w:rFonts w:hint="default" w:ascii="Times New Roman" w:hAnsi="Times New Roman" w:eastAsia="宋体" w:cs="Times New Roman"/>
                <w:b/>
                <w:i w:val="0"/>
                <w:iCs w:val="0"/>
                <w:color w:val="auto"/>
                <w:highlight w:val="none"/>
                <w:u w:val="none" w:color="auto"/>
                <w:vertAlign w:val="superscript"/>
              </w:rPr>
              <w:t>3</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2572"/>
              <w:gridCol w:w="947"/>
              <w:gridCol w:w="785"/>
              <w:gridCol w:w="1317"/>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污染物</w:t>
                  </w:r>
                </w:p>
              </w:tc>
              <w:tc>
                <w:tcPr>
                  <w:tcW w:w="1588"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主要污染物</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现状浓度</w:t>
                  </w:r>
                </w:p>
              </w:tc>
              <w:tc>
                <w:tcPr>
                  <w:tcW w:w="4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标准值</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占标率（%）</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SO</w:t>
                  </w:r>
                  <w:r>
                    <w:rPr>
                      <w:rFonts w:hint="default" w:ascii="Times New Roman" w:hAnsi="Times New Roman" w:eastAsia="宋体" w:cs="Times New Roman"/>
                      <w:i w:val="0"/>
                      <w:iCs w:val="0"/>
                      <w:smallCaps w:val="0"/>
                      <w:color w:val="auto"/>
                      <w:spacing w:val="0"/>
                      <w:sz w:val="21"/>
                      <w:szCs w:val="21"/>
                      <w:highlight w:val="none"/>
                      <w:u w:val="none" w:color="auto"/>
                      <w:vertAlign w:val="subscript"/>
                    </w:rPr>
                    <w:t>2</w:t>
                  </w:r>
                  <w:r>
                    <w:rPr>
                      <w:rFonts w:hint="default" w:ascii="Times New Roman" w:hAnsi="Times New Roman" w:eastAsia="宋体" w:cs="Times New Roman"/>
                      <w:i w:val="0"/>
                      <w:iCs w:val="0"/>
                      <w:smallCaps w:val="0"/>
                      <w:color w:val="auto"/>
                      <w:spacing w:val="0"/>
                      <w:sz w:val="21"/>
                      <w:szCs w:val="21"/>
                      <w:highlight w:val="none"/>
                      <w:u w:val="none" w:color="auto"/>
                    </w:rPr>
                    <w:t>（μg/m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年平均质量浓度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15</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60</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25</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NO</w:t>
                  </w:r>
                  <w:r>
                    <w:rPr>
                      <w:rFonts w:hint="default" w:ascii="Times New Roman" w:hAnsi="Times New Roman" w:eastAsia="宋体" w:cs="Times New Roman"/>
                      <w:i w:val="0"/>
                      <w:iCs w:val="0"/>
                      <w:smallCaps w:val="0"/>
                      <w:color w:val="auto"/>
                      <w:spacing w:val="0"/>
                      <w:sz w:val="21"/>
                      <w:szCs w:val="21"/>
                      <w:highlight w:val="none"/>
                      <w:u w:val="none" w:color="auto"/>
                      <w:vertAlign w:val="subscript"/>
                    </w:rPr>
                    <w:t>2</w:t>
                  </w:r>
                  <w:r>
                    <w:rPr>
                      <w:rFonts w:hint="default" w:ascii="Times New Roman" w:hAnsi="Times New Roman" w:eastAsia="宋体" w:cs="Times New Roman"/>
                      <w:i w:val="0"/>
                      <w:iCs w:val="0"/>
                      <w:smallCaps w:val="0"/>
                      <w:color w:val="auto"/>
                      <w:spacing w:val="0"/>
                      <w:sz w:val="21"/>
                      <w:szCs w:val="21"/>
                      <w:highlight w:val="none"/>
                      <w:u w:val="none" w:color="auto"/>
                    </w:rPr>
                    <w:t>（μg/m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年平均质量浓度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21</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40</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52.5</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CO（mg/m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adjustRightInd w:val="0"/>
                    <w:jc w:val="center"/>
                    <w:textAlignment w:val="baseline"/>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lang w:eastAsia="zh-CN"/>
                    </w:rPr>
                    <w:t>第</w:t>
                  </w:r>
                  <w:r>
                    <w:rPr>
                      <w:rFonts w:hint="default" w:ascii="Times New Roman" w:hAnsi="Times New Roman" w:eastAsia="宋体" w:cs="Times New Roman"/>
                      <w:i w:val="0"/>
                      <w:iCs w:val="0"/>
                      <w:color w:val="auto"/>
                      <w:sz w:val="21"/>
                      <w:szCs w:val="21"/>
                      <w:highlight w:val="none"/>
                      <w:u w:val="none" w:color="auto"/>
                      <w:lang w:val="en-US" w:eastAsia="zh-CN"/>
                    </w:rPr>
                    <w:t>95</w:t>
                  </w:r>
                  <w:r>
                    <w:rPr>
                      <w:rFonts w:hint="default" w:ascii="Times New Roman" w:hAnsi="Times New Roman" w:eastAsia="宋体" w:cs="Times New Roman"/>
                      <w:i w:val="0"/>
                      <w:iCs w:val="0"/>
                      <w:color w:val="auto"/>
                      <w:sz w:val="21"/>
                      <w:szCs w:val="21"/>
                      <w:highlight w:val="none"/>
                      <w:u w:val="none" w:color="auto"/>
                    </w:rPr>
                    <w:t>百分位数日平均</w:t>
                  </w:r>
                  <w:r>
                    <w:rPr>
                      <w:rFonts w:hint="default" w:ascii="Times New Roman" w:hAnsi="Times New Roman" w:eastAsia="宋体" w:cs="Times New Roman"/>
                      <w:i w:val="0"/>
                      <w:iCs w:val="0"/>
                      <w:color w:val="auto"/>
                      <w:sz w:val="21"/>
                      <w:szCs w:val="21"/>
                      <w:highlight w:val="none"/>
                      <w:u w:val="none" w:color="auto"/>
                      <w:lang w:eastAsia="zh-CN"/>
                    </w:rPr>
                    <w:t>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1.6</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4</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40</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O</w:t>
                  </w:r>
                  <w:r>
                    <w:rPr>
                      <w:rFonts w:hint="default" w:ascii="Times New Roman" w:hAnsi="Times New Roman" w:eastAsia="宋体" w:cs="Times New Roman"/>
                      <w:i w:val="0"/>
                      <w:iCs w:val="0"/>
                      <w:smallCaps w:val="0"/>
                      <w:color w:val="auto"/>
                      <w:spacing w:val="0"/>
                      <w:sz w:val="21"/>
                      <w:szCs w:val="21"/>
                      <w:highlight w:val="none"/>
                      <w:u w:val="none" w:color="auto"/>
                      <w:vertAlign w:val="subscript"/>
                    </w:rPr>
                    <w:t>3</w:t>
                  </w:r>
                  <w:r>
                    <w:rPr>
                      <w:rFonts w:hint="default" w:ascii="Times New Roman" w:hAnsi="Times New Roman" w:eastAsia="宋体" w:cs="Times New Roman"/>
                      <w:i w:val="0"/>
                      <w:iCs w:val="0"/>
                      <w:smallCaps w:val="0"/>
                      <w:color w:val="auto"/>
                      <w:spacing w:val="0"/>
                      <w:sz w:val="21"/>
                      <w:szCs w:val="21"/>
                      <w:highlight w:val="none"/>
                      <w:u w:val="none" w:color="auto"/>
                    </w:rPr>
                    <w:t>（μg/m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adjustRightInd w:val="0"/>
                    <w:jc w:val="center"/>
                    <w:textAlignment w:val="baseline"/>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lang w:eastAsia="zh-CN"/>
                    </w:rPr>
                    <w:t>第</w:t>
                  </w:r>
                  <w:r>
                    <w:rPr>
                      <w:rFonts w:hint="default" w:ascii="Times New Roman" w:hAnsi="Times New Roman" w:eastAsia="宋体" w:cs="Times New Roman"/>
                      <w:i w:val="0"/>
                      <w:iCs w:val="0"/>
                      <w:color w:val="auto"/>
                      <w:sz w:val="21"/>
                      <w:szCs w:val="21"/>
                      <w:highlight w:val="none"/>
                      <w:u w:val="none" w:color="auto"/>
                      <w:lang w:val="en-US" w:eastAsia="zh-CN"/>
                    </w:rPr>
                    <w:t>90</w:t>
                  </w:r>
                  <w:r>
                    <w:rPr>
                      <w:rFonts w:hint="default" w:ascii="Times New Roman" w:hAnsi="Times New Roman" w:eastAsia="宋体" w:cs="Times New Roman"/>
                      <w:i w:val="0"/>
                      <w:iCs w:val="0"/>
                      <w:color w:val="auto"/>
                      <w:sz w:val="21"/>
                      <w:szCs w:val="21"/>
                      <w:highlight w:val="none"/>
                      <w:u w:val="none" w:color="auto"/>
                    </w:rPr>
                    <w:t>百分位数8</w:t>
                  </w:r>
                  <w:r>
                    <w:rPr>
                      <w:rFonts w:hint="default" w:ascii="Times New Roman" w:hAnsi="Times New Roman" w:eastAsia="宋体" w:cs="Times New Roman"/>
                      <w:i w:val="0"/>
                      <w:iCs w:val="0"/>
                      <w:color w:val="auto"/>
                      <w:sz w:val="21"/>
                      <w:szCs w:val="21"/>
                      <w:highlight w:val="none"/>
                      <w:u w:val="none" w:color="auto"/>
                      <w:lang w:val="en-US" w:eastAsia="zh-CN"/>
                    </w:rPr>
                    <w:t>h</w:t>
                  </w:r>
                  <w:r>
                    <w:rPr>
                      <w:rFonts w:hint="default" w:ascii="Times New Roman" w:hAnsi="Times New Roman" w:eastAsia="宋体" w:cs="Times New Roman"/>
                      <w:i w:val="0"/>
                      <w:iCs w:val="0"/>
                      <w:color w:val="auto"/>
                      <w:sz w:val="21"/>
                      <w:szCs w:val="21"/>
                      <w:highlight w:val="none"/>
                      <w:u w:val="none" w:color="auto"/>
                    </w:rPr>
                    <w:t>平均</w:t>
                  </w:r>
                  <w:r>
                    <w:rPr>
                      <w:rFonts w:hint="default" w:ascii="Times New Roman" w:hAnsi="Times New Roman" w:eastAsia="宋体" w:cs="Times New Roman"/>
                      <w:i w:val="0"/>
                      <w:iCs w:val="0"/>
                      <w:color w:val="auto"/>
                      <w:sz w:val="21"/>
                      <w:szCs w:val="21"/>
                      <w:highlight w:val="none"/>
                      <w:u w:val="none" w:color="auto"/>
                      <w:lang w:eastAsia="zh-CN"/>
                    </w:rPr>
                    <w:t>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110</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160</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68.75</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PM</w:t>
                  </w:r>
                  <w:r>
                    <w:rPr>
                      <w:rFonts w:hint="default" w:ascii="Times New Roman" w:hAnsi="Times New Roman" w:eastAsia="宋体" w:cs="Times New Roman"/>
                      <w:i w:val="0"/>
                      <w:iCs w:val="0"/>
                      <w:smallCaps w:val="0"/>
                      <w:color w:val="auto"/>
                      <w:spacing w:val="0"/>
                      <w:sz w:val="21"/>
                      <w:szCs w:val="21"/>
                      <w:highlight w:val="none"/>
                      <w:u w:val="none" w:color="auto"/>
                      <w:vertAlign w:val="subscript"/>
                    </w:rPr>
                    <w:t>10</w:t>
                  </w:r>
                  <w:r>
                    <w:rPr>
                      <w:rFonts w:hint="default" w:ascii="Times New Roman" w:hAnsi="Times New Roman" w:eastAsia="宋体" w:cs="Times New Roman"/>
                      <w:i w:val="0"/>
                      <w:iCs w:val="0"/>
                      <w:smallCaps w:val="0"/>
                      <w:color w:val="auto"/>
                      <w:spacing w:val="0"/>
                      <w:sz w:val="21"/>
                      <w:szCs w:val="21"/>
                      <w:highlight w:val="none"/>
                      <w:u w:val="none" w:color="auto"/>
                    </w:rPr>
                    <w:t>（μg/m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年平均质量浓度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57</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70</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81.43</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3"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PM</w:t>
                  </w:r>
                  <w:r>
                    <w:rPr>
                      <w:rFonts w:hint="default" w:ascii="Times New Roman" w:hAnsi="Times New Roman" w:eastAsia="宋体" w:cs="Times New Roman"/>
                      <w:i w:val="0"/>
                      <w:iCs w:val="0"/>
                      <w:smallCaps w:val="0"/>
                      <w:color w:val="auto"/>
                      <w:spacing w:val="0"/>
                      <w:sz w:val="21"/>
                      <w:szCs w:val="21"/>
                      <w:highlight w:val="none"/>
                      <w:u w:val="none" w:color="auto"/>
                      <w:vertAlign w:val="subscript"/>
                    </w:rPr>
                    <w:t>2.5</w:t>
                  </w:r>
                  <w:r>
                    <w:rPr>
                      <w:rFonts w:hint="default" w:ascii="Times New Roman" w:hAnsi="Times New Roman" w:eastAsia="宋体" w:cs="Times New Roman"/>
                      <w:i w:val="0"/>
                      <w:iCs w:val="0"/>
                      <w:smallCaps w:val="0"/>
                      <w:color w:val="auto"/>
                      <w:spacing w:val="0"/>
                      <w:sz w:val="21"/>
                      <w:szCs w:val="21"/>
                      <w:highlight w:val="none"/>
                      <w:u w:val="none" w:color="auto"/>
                    </w:rPr>
                    <w:t>（μg/m</w:t>
                  </w:r>
                  <w:r>
                    <w:rPr>
                      <w:rFonts w:hint="default" w:ascii="Times New Roman" w:hAnsi="Times New Roman" w:eastAsia="宋体" w:cs="Times New Roman"/>
                      <w:i w:val="0"/>
                      <w:iCs w:val="0"/>
                      <w:smallCaps w:val="0"/>
                      <w:color w:val="auto"/>
                      <w:spacing w:val="0"/>
                      <w:sz w:val="21"/>
                      <w:szCs w:val="21"/>
                      <w:highlight w:val="none"/>
                      <w:u w:val="none" w:color="auto"/>
                      <w:vertAlign w:val="superscript"/>
                    </w:rPr>
                    <w:t>3</w:t>
                  </w:r>
                  <w:r>
                    <w:rPr>
                      <w:rFonts w:hint="default" w:ascii="Times New Roman" w:hAnsi="Times New Roman" w:eastAsia="宋体" w:cs="Times New Roman"/>
                      <w:i w:val="0"/>
                      <w:iCs w:val="0"/>
                      <w:smallCaps w:val="0"/>
                      <w:color w:val="auto"/>
                      <w:spacing w:val="0"/>
                      <w:sz w:val="21"/>
                      <w:szCs w:val="21"/>
                      <w:highlight w:val="none"/>
                      <w:u w:val="none" w:color="auto"/>
                    </w:rPr>
                    <w:t>）</w:t>
                  </w:r>
                </w:p>
              </w:tc>
              <w:tc>
                <w:tcPr>
                  <w:tcW w:w="1588"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年平均质量浓度</w:t>
                  </w:r>
                </w:p>
              </w:tc>
              <w:tc>
                <w:tcPr>
                  <w:tcW w:w="585"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25</w:t>
                  </w:r>
                </w:p>
              </w:tc>
              <w:tc>
                <w:tcPr>
                  <w:tcW w:w="485" w:type="pct"/>
                  <w:noWrap w:val="0"/>
                  <w:vAlign w:val="center"/>
                </w:tcPr>
                <w:p>
                  <w:pPr>
                    <w:pStyle w:val="85"/>
                    <w:spacing w:line="240" w:lineRule="auto"/>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i w:val="0"/>
                      <w:iCs w:val="0"/>
                      <w:smallCaps w:val="0"/>
                      <w:color w:val="auto"/>
                      <w:spacing w:val="0"/>
                      <w:sz w:val="21"/>
                      <w:szCs w:val="21"/>
                      <w:highlight w:val="none"/>
                      <w:u w:val="none" w:color="auto"/>
                    </w:rPr>
                    <w:t>35</w:t>
                  </w:r>
                </w:p>
              </w:tc>
              <w:tc>
                <w:tcPr>
                  <w:tcW w:w="813"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lang w:val="en-US" w:eastAsia="zh-CN"/>
                    </w:rPr>
                  </w:pPr>
                  <w:r>
                    <w:rPr>
                      <w:rFonts w:hint="default" w:ascii="Times New Roman" w:hAnsi="Times New Roman" w:eastAsia="宋体" w:cs="Times New Roman"/>
                      <w:bCs/>
                      <w:i w:val="0"/>
                      <w:iCs w:val="0"/>
                      <w:color w:val="auto"/>
                      <w:szCs w:val="21"/>
                      <w:highlight w:val="none"/>
                      <w:u w:val="none" w:color="auto"/>
                      <w:lang w:val="en-US" w:eastAsia="zh-CN"/>
                    </w:rPr>
                    <w:t>71.43</w:t>
                  </w:r>
                </w:p>
              </w:tc>
              <w:tc>
                <w:tcPr>
                  <w:tcW w:w="572" w:type="pct"/>
                  <w:noWrap w:val="0"/>
                  <w:vAlign w:val="center"/>
                </w:tcPr>
                <w:p>
                  <w:pPr>
                    <w:contextualSpacing/>
                    <w:jc w:val="center"/>
                    <w:rPr>
                      <w:rFonts w:hint="default" w:ascii="Times New Roman" w:hAnsi="Times New Roman" w:eastAsia="宋体" w:cs="Times New Roman"/>
                      <w:bCs/>
                      <w:i w:val="0"/>
                      <w:iCs w:val="0"/>
                      <w:color w:val="auto"/>
                      <w:szCs w:val="21"/>
                      <w:highlight w:val="none"/>
                      <w:u w:val="none" w:color="auto"/>
                    </w:rPr>
                  </w:pPr>
                  <w:r>
                    <w:rPr>
                      <w:rFonts w:hint="default" w:ascii="Times New Roman" w:hAnsi="Times New Roman" w:eastAsia="宋体" w:cs="Times New Roman"/>
                      <w:bCs/>
                      <w:i w:val="0"/>
                      <w:iCs w:val="0"/>
                      <w:color w:val="auto"/>
                      <w:szCs w:val="21"/>
                      <w:highlight w:val="none"/>
                      <w:u w:val="none" w:color="auto"/>
                    </w:rPr>
                    <w:t>达标</w:t>
                  </w:r>
                </w:p>
              </w:tc>
            </w:tr>
          </w:tbl>
          <w:p>
            <w:pPr>
              <w:tabs>
                <w:tab w:val="left" w:pos="280"/>
              </w:tabs>
              <w:spacing w:line="360" w:lineRule="auto"/>
              <w:ind w:firstLine="480" w:firstLineChars="200"/>
              <w:rPr>
                <w:rFonts w:hint="eastAsia" w:ascii="宋体" w:hAnsi="宋体" w:cs="宋体"/>
                <w:sz w:val="24"/>
                <w:highlight w:val="yellow"/>
              </w:rPr>
            </w:pPr>
            <w:r>
              <w:rPr>
                <w:rFonts w:hint="default" w:ascii="Times New Roman" w:hAnsi="Times New Roman" w:eastAsia="宋体" w:cs="Times New Roman"/>
                <w:sz w:val="24"/>
                <w:szCs w:val="24"/>
                <w:highlight w:val="none"/>
                <w:u w:val="none" w:color="auto"/>
              </w:rPr>
              <w:t>综上，</w:t>
            </w:r>
            <w:r>
              <w:rPr>
                <w:rFonts w:hint="default" w:ascii="Times New Roman" w:hAnsi="Times New Roman" w:eastAsia="宋体" w:cs="Times New Roman"/>
                <w:sz w:val="24"/>
                <w:szCs w:val="24"/>
                <w:highlight w:val="none"/>
                <w:u w:val="none" w:color="auto"/>
                <w:lang w:val="en-US" w:eastAsia="zh-CN"/>
              </w:rPr>
              <w:t>白山市基本污染物均满足GB3095-2012《环境空气质量标准》中二级标准限值，判定结果为达标区。</w:t>
            </w:r>
          </w:p>
          <w:p>
            <w:pPr>
              <w:pStyle w:val="8"/>
              <w:spacing w:before="0" w:after="0" w:line="360" w:lineRule="auto"/>
              <w:ind w:right="0" w:firstLine="480" w:firstLineChars="200"/>
              <w:rPr>
                <w:rFonts w:hint="eastAsia" w:ascii="宋体" w:hAnsi="宋体" w:cs="宋体"/>
                <w:bCs/>
                <w:sz w:val="24"/>
                <w:szCs w:val="24"/>
                <w:highlight w:val="none"/>
              </w:rPr>
            </w:pPr>
            <w:r>
              <w:rPr>
                <w:rFonts w:hint="eastAsia" w:ascii="宋体" w:hAnsi="宋体" w:cs="宋体"/>
                <w:bCs/>
                <w:sz w:val="24"/>
                <w:szCs w:val="24"/>
                <w:highlight w:val="none"/>
              </w:rPr>
              <w:t>⑵特征污染物环境质量现状</w:t>
            </w:r>
          </w:p>
          <w:p>
            <w:pPr>
              <w:numPr>
                <w:ilvl w:val="0"/>
                <w:numId w:val="8"/>
              </w:numPr>
              <w:tabs>
                <w:tab w:val="left" w:pos="280"/>
              </w:tabs>
              <w:spacing w:line="360" w:lineRule="auto"/>
              <w:rPr>
                <w:rFonts w:hint="eastAsia" w:ascii="宋体" w:hAnsi="宋体" w:cs="宋体"/>
                <w:sz w:val="24"/>
                <w:highlight w:val="none"/>
              </w:rPr>
            </w:pPr>
            <w:r>
              <w:rPr>
                <w:rFonts w:hint="eastAsia" w:ascii="宋体" w:hAnsi="宋体" w:cs="宋体"/>
                <w:sz w:val="24"/>
                <w:highlight w:val="none"/>
              </w:rPr>
              <w:t>监测点布设</w:t>
            </w:r>
          </w:p>
          <w:p>
            <w:pPr>
              <w:tabs>
                <w:tab w:val="left" w:pos="280"/>
              </w:tabs>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引用监测点位1个，环境空气质量现状监测点布设位置详见附图1和下表3-3。</w:t>
            </w:r>
          </w:p>
          <w:p>
            <w:pPr>
              <w:pStyle w:val="66"/>
              <w:spacing w:line="240" w:lineRule="auto"/>
              <w:rPr>
                <w:rFonts w:hint="eastAsia" w:ascii="宋体" w:hAnsi="宋体" w:cs="宋体"/>
                <w:b/>
                <w:bCs/>
                <w:sz w:val="21"/>
                <w:szCs w:val="21"/>
                <w:highlight w:val="none"/>
                <w:u w:val="single"/>
              </w:rPr>
            </w:pPr>
            <w:r>
              <w:rPr>
                <w:rFonts w:hint="eastAsia" w:ascii="宋体" w:hAnsi="宋体" w:cs="宋体"/>
                <w:b/>
                <w:bCs/>
                <w:sz w:val="21"/>
                <w:szCs w:val="21"/>
                <w:highlight w:val="none"/>
                <w:u w:val="single"/>
              </w:rPr>
              <w:t>表3-3  环境空气现状补充监测点位置</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967"/>
              <w:gridCol w:w="4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9" w:type="pct"/>
                  <w:noWrap w:val="0"/>
                  <w:vAlign w:val="top"/>
                </w:tcPr>
                <w:p>
                  <w:pPr>
                    <w:jc w:val="center"/>
                    <w:rPr>
                      <w:rFonts w:ascii="宋体" w:hAnsi="宋体"/>
                      <w:szCs w:val="21"/>
                      <w:highlight w:val="none"/>
                    </w:rPr>
                  </w:pPr>
                  <w:r>
                    <w:rPr>
                      <w:rFonts w:hint="eastAsia" w:ascii="宋体" w:hAnsi="宋体"/>
                      <w:szCs w:val="21"/>
                      <w:highlight w:val="none"/>
                    </w:rPr>
                    <w:t>序号</w:t>
                  </w:r>
                </w:p>
              </w:tc>
              <w:tc>
                <w:tcPr>
                  <w:tcW w:w="1833" w:type="pct"/>
                  <w:noWrap w:val="0"/>
                  <w:vAlign w:val="top"/>
                </w:tcPr>
                <w:p>
                  <w:pPr>
                    <w:jc w:val="center"/>
                    <w:rPr>
                      <w:rFonts w:ascii="宋体" w:hAnsi="宋体"/>
                      <w:szCs w:val="21"/>
                      <w:highlight w:val="none"/>
                    </w:rPr>
                  </w:pPr>
                  <w:r>
                    <w:rPr>
                      <w:rFonts w:hint="eastAsia" w:ascii="宋体" w:hAnsi="宋体"/>
                      <w:szCs w:val="21"/>
                      <w:highlight w:val="none"/>
                    </w:rPr>
                    <w:t>监测点名称</w:t>
                  </w:r>
                </w:p>
              </w:tc>
              <w:tc>
                <w:tcPr>
                  <w:tcW w:w="2748" w:type="pct"/>
                  <w:noWrap w:val="0"/>
                  <w:vAlign w:val="top"/>
                </w:tcPr>
                <w:p>
                  <w:pPr>
                    <w:jc w:val="center"/>
                    <w:rPr>
                      <w:rFonts w:ascii="宋体" w:hAnsi="宋体"/>
                      <w:szCs w:val="21"/>
                      <w:highlight w:val="none"/>
                    </w:rPr>
                  </w:pPr>
                  <w:r>
                    <w:rPr>
                      <w:rFonts w:hint="eastAsia" w:ascii="宋体" w:hAnsi="宋体"/>
                      <w:szCs w:val="21"/>
                      <w:highlight w:val="none"/>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noWrap w:val="0"/>
                  <w:vAlign w:val="top"/>
                </w:tcPr>
                <w:p>
                  <w:pPr>
                    <w:jc w:val="center"/>
                    <w:rPr>
                      <w:rFonts w:ascii="宋体" w:hAnsi="宋体"/>
                      <w:szCs w:val="21"/>
                      <w:highlight w:val="none"/>
                    </w:rPr>
                  </w:pPr>
                  <w:r>
                    <w:rPr>
                      <w:rFonts w:hint="eastAsia" w:ascii="宋体" w:hAnsi="宋体"/>
                      <w:szCs w:val="21"/>
                      <w:highlight w:val="none"/>
                    </w:rPr>
                    <w:t>1</w:t>
                  </w:r>
                </w:p>
              </w:tc>
              <w:tc>
                <w:tcPr>
                  <w:tcW w:w="1833" w:type="pct"/>
                  <w:noWrap w:val="0"/>
                  <w:vAlign w:val="center"/>
                </w:tcPr>
                <w:p>
                  <w:pPr>
                    <w:jc w:val="center"/>
                    <w:rPr>
                      <w:rFonts w:ascii="宋体" w:hAnsi="宋体"/>
                      <w:highlight w:val="none"/>
                    </w:rPr>
                  </w:pPr>
                  <w:r>
                    <w:rPr>
                      <w:rFonts w:hint="default" w:ascii="Times New Roman" w:hAnsi="Times New Roman" w:eastAsia="宋体" w:cs="Times New Roman"/>
                      <w:szCs w:val="21"/>
                      <w:u w:val="none" w:color="auto"/>
                      <w:lang w:val="zh-CN"/>
                    </w:rPr>
                    <w:t>项目厂址下风向</w:t>
                  </w:r>
                  <w:r>
                    <w:rPr>
                      <w:rFonts w:hint="eastAsia" w:cs="Times New Roman"/>
                      <w:szCs w:val="21"/>
                      <w:u w:val="none" w:color="auto"/>
                      <w:lang w:val="en-US" w:eastAsia="zh-CN"/>
                    </w:rPr>
                    <w:t>5</w:t>
                  </w:r>
                  <w:r>
                    <w:rPr>
                      <w:rFonts w:hint="default" w:ascii="Times New Roman" w:hAnsi="Times New Roman" w:eastAsia="宋体" w:cs="Times New Roman"/>
                      <w:szCs w:val="21"/>
                      <w:u w:val="none" w:color="auto"/>
                      <w:lang w:val="en-US" w:eastAsia="zh-CN"/>
                    </w:rPr>
                    <w:t>00m</w:t>
                  </w:r>
                </w:p>
              </w:tc>
              <w:tc>
                <w:tcPr>
                  <w:tcW w:w="2748" w:type="pct"/>
                  <w:noWrap w:val="0"/>
                  <w:vAlign w:val="center"/>
                </w:tcPr>
                <w:p>
                  <w:pPr>
                    <w:autoSpaceDE w:val="0"/>
                    <w:autoSpaceDN w:val="0"/>
                    <w:adjustRightInd w:val="0"/>
                    <w:jc w:val="center"/>
                    <w:rPr>
                      <w:rFonts w:ascii="宋体" w:hAnsi="宋体"/>
                      <w:szCs w:val="21"/>
                      <w:highlight w:val="none"/>
                      <w:lang w:val="zh-CN"/>
                    </w:rPr>
                  </w:pPr>
                  <w:r>
                    <w:rPr>
                      <w:rFonts w:hint="eastAsia" w:ascii="宋体" w:hAnsi="宋体"/>
                      <w:szCs w:val="21"/>
                      <w:highlight w:val="none"/>
                      <w:lang w:val="zh-CN"/>
                    </w:rPr>
                    <w:t>了解项目所在地环境空气质量</w:t>
                  </w:r>
                </w:p>
              </w:tc>
            </w:tr>
          </w:tbl>
          <w:p>
            <w:pPr>
              <w:spacing w:line="360" w:lineRule="auto"/>
              <w:ind w:firstLine="420" w:firstLineChars="200"/>
              <w:rPr>
                <w:rFonts w:hint="eastAsia" w:ascii="宋体" w:hAnsi="宋体" w:cs="宋体"/>
                <w:bCs/>
                <w:snapToGrid w:val="0"/>
                <w:szCs w:val="21"/>
                <w:highlight w:val="none"/>
              </w:rPr>
            </w:pPr>
          </w:p>
          <w:p>
            <w:pPr>
              <w:numPr>
                <w:ilvl w:val="0"/>
                <w:numId w:val="8"/>
              </w:numPr>
              <w:spacing w:line="360" w:lineRule="auto"/>
              <w:rPr>
                <w:rFonts w:hint="eastAsia" w:ascii="宋体" w:hAnsi="宋体" w:cs="宋体"/>
                <w:bCs/>
                <w:snapToGrid w:val="0"/>
                <w:sz w:val="24"/>
                <w:highlight w:val="none"/>
              </w:rPr>
            </w:pPr>
            <w:r>
              <w:rPr>
                <w:rFonts w:hint="eastAsia" w:ascii="宋体" w:hAnsi="宋体" w:cs="宋体"/>
                <w:bCs/>
                <w:snapToGrid w:val="0"/>
                <w:sz w:val="24"/>
                <w:highlight w:val="none"/>
              </w:rPr>
              <w:t>监测项目</w:t>
            </w:r>
          </w:p>
          <w:p>
            <w:pPr>
              <w:spacing w:line="360" w:lineRule="auto"/>
              <w:ind w:firstLine="480"/>
              <w:rPr>
                <w:rFonts w:hint="eastAsia" w:ascii="宋体" w:hAnsi="宋体" w:cs="宋体"/>
                <w:bCs/>
                <w:snapToGrid w:val="0"/>
                <w:sz w:val="24"/>
                <w:highlight w:val="none"/>
              </w:rPr>
            </w:pPr>
            <w:r>
              <w:rPr>
                <w:rFonts w:hint="eastAsia" w:ascii="宋体" w:hAnsi="宋体" w:cs="宋体"/>
                <w:bCs/>
                <w:snapToGrid w:val="0"/>
                <w:sz w:val="24"/>
                <w:highlight w:val="none"/>
              </w:rPr>
              <w:t>监测项目确定为</w:t>
            </w:r>
            <w:r>
              <w:rPr>
                <w:rFonts w:hint="eastAsia" w:ascii="宋体" w:hAnsi="宋体"/>
                <w:sz w:val="24"/>
                <w:highlight w:val="none"/>
              </w:rPr>
              <w:t>TSP、</w:t>
            </w:r>
            <w:r>
              <w:rPr>
                <w:rFonts w:hint="eastAsia" w:ascii="宋体" w:hAnsi="宋体"/>
                <w:sz w:val="24"/>
                <w:highlight w:val="none"/>
                <w:lang w:val="en-US" w:eastAsia="zh-CN"/>
              </w:rPr>
              <w:t>氨</w:t>
            </w:r>
            <w:r>
              <w:rPr>
                <w:rFonts w:hint="eastAsia" w:ascii="宋体" w:hAnsi="宋体"/>
                <w:sz w:val="24"/>
                <w:highlight w:val="none"/>
              </w:rPr>
              <w:t>、</w:t>
            </w:r>
            <w:r>
              <w:rPr>
                <w:rFonts w:hint="eastAsia" w:ascii="宋体" w:hAnsi="宋体"/>
                <w:sz w:val="24"/>
                <w:highlight w:val="none"/>
                <w:lang w:val="en-US" w:eastAsia="zh-CN"/>
              </w:rPr>
              <w:t>汞</w:t>
            </w:r>
            <w:r>
              <w:rPr>
                <w:rFonts w:hint="eastAsia" w:ascii="宋体" w:hAnsi="宋体" w:cs="宋体"/>
                <w:bCs/>
                <w:snapToGrid w:val="0"/>
                <w:sz w:val="24"/>
                <w:highlight w:val="none"/>
              </w:rPr>
              <w:t xml:space="preserve">。  </w:t>
            </w:r>
          </w:p>
          <w:p>
            <w:pPr>
              <w:numPr>
                <w:ilvl w:val="0"/>
                <w:numId w:val="8"/>
              </w:numPr>
              <w:spacing w:line="360" w:lineRule="auto"/>
              <w:rPr>
                <w:rFonts w:hint="eastAsia" w:ascii="宋体" w:hAnsi="宋体" w:cs="宋体"/>
                <w:bCs/>
                <w:snapToGrid w:val="0"/>
                <w:sz w:val="24"/>
                <w:highlight w:val="none"/>
              </w:rPr>
            </w:pPr>
            <w:r>
              <w:rPr>
                <w:rFonts w:hint="eastAsia" w:ascii="宋体" w:hAnsi="宋体" w:cs="宋体"/>
                <w:bCs/>
                <w:snapToGrid w:val="0"/>
                <w:sz w:val="24"/>
                <w:highlight w:val="none"/>
              </w:rPr>
              <w:t>监测单位及时间</w:t>
            </w:r>
          </w:p>
          <w:p>
            <w:pPr>
              <w:spacing w:line="360" w:lineRule="auto"/>
              <w:ind w:firstLine="480" w:firstLineChars="200"/>
              <w:rPr>
                <w:rFonts w:hint="eastAsia" w:ascii="宋体" w:hAnsi="宋体" w:cs="宋体"/>
                <w:bCs/>
                <w:snapToGrid w:val="0"/>
                <w:sz w:val="24"/>
                <w:highlight w:val="none"/>
              </w:rPr>
            </w:pPr>
            <w:r>
              <w:rPr>
                <w:rFonts w:hint="eastAsia" w:ascii="宋体" w:hAnsi="宋体" w:cs="宋体"/>
                <w:bCs/>
                <w:snapToGrid w:val="0"/>
                <w:sz w:val="24"/>
                <w:highlight w:val="none"/>
              </w:rPr>
              <w:t>监测单位：</w:t>
            </w:r>
            <w:r>
              <w:rPr>
                <w:rFonts w:hint="eastAsia" w:ascii="宋体" w:hAnsi="宋体"/>
                <w:sz w:val="24"/>
                <w:highlight w:val="none"/>
              </w:rPr>
              <w:t>吉林省</w:t>
            </w:r>
            <w:r>
              <w:rPr>
                <w:rFonts w:hint="eastAsia" w:ascii="宋体" w:hAnsi="宋体"/>
                <w:sz w:val="24"/>
                <w:highlight w:val="none"/>
                <w:lang w:val="en-US" w:eastAsia="zh-CN"/>
              </w:rPr>
              <w:t>恒欣环境监测有限公司、吉林省鑫誉环境检测有限公司</w:t>
            </w:r>
            <w:r>
              <w:rPr>
                <w:rFonts w:hint="eastAsia" w:ascii="宋体" w:hAnsi="宋体"/>
                <w:sz w:val="24"/>
                <w:highlight w:val="none"/>
              </w:rPr>
              <w:t>。</w:t>
            </w:r>
          </w:p>
          <w:p>
            <w:pPr>
              <w:spacing w:line="360" w:lineRule="auto"/>
              <w:ind w:firstLine="480" w:firstLineChars="200"/>
              <w:rPr>
                <w:rFonts w:hint="eastAsia" w:ascii="宋体" w:hAnsi="宋体" w:cs="宋体"/>
                <w:bCs/>
                <w:snapToGrid w:val="0"/>
                <w:sz w:val="24"/>
                <w:highlight w:val="none"/>
              </w:rPr>
            </w:pPr>
            <w:r>
              <w:rPr>
                <w:rFonts w:hint="eastAsia" w:ascii="宋体" w:hAnsi="宋体" w:cs="宋体"/>
                <w:bCs/>
                <w:snapToGrid w:val="0"/>
                <w:sz w:val="24"/>
                <w:highlight w:val="none"/>
              </w:rPr>
              <w:t>监测时间：</w:t>
            </w:r>
            <w:r>
              <w:rPr>
                <w:rFonts w:hint="eastAsia" w:ascii="宋体" w:hAnsi="宋体"/>
                <w:sz w:val="24"/>
                <w:highlight w:val="none"/>
              </w:rPr>
              <w:t>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9</w:t>
            </w:r>
            <w:r>
              <w:rPr>
                <w:rFonts w:hint="eastAsia" w:ascii="宋体" w:hAnsi="宋体"/>
                <w:sz w:val="24"/>
                <w:highlight w:val="none"/>
              </w:rPr>
              <w:t>月</w:t>
            </w:r>
            <w:r>
              <w:rPr>
                <w:rFonts w:hint="eastAsia" w:ascii="宋体" w:hAnsi="宋体"/>
                <w:sz w:val="24"/>
                <w:highlight w:val="none"/>
                <w:lang w:val="en-US" w:eastAsia="zh-CN"/>
              </w:rPr>
              <w:t>22</w:t>
            </w:r>
            <w:r>
              <w:rPr>
                <w:rFonts w:hint="eastAsia" w:ascii="宋体" w:hAnsi="宋体"/>
                <w:sz w:val="24"/>
                <w:highlight w:val="none"/>
              </w:rPr>
              <w:t>日-</w:t>
            </w:r>
            <w:r>
              <w:rPr>
                <w:rFonts w:hint="eastAsia" w:ascii="宋体" w:hAnsi="宋体"/>
                <w:sz w:val="24"/>
                <w:highlight w:val="none"/>
                <w:lang w:val="en-US" w:eastAsia="zh-CN"/>
              </w:rPr>
              <w:t>9</w:t>
            </w:r>
            <w:r>
              <w:rPr>
                <w:rFonts w:hint="eastAsia" w:ascii="宋体" w:hAnsi="宋体"/>
                <w:sz w:val="24"/>
                <w:highlight w:val="none"/>
              </w:rPr>
              <w:t>月</w:t>
            </w:r>
            <w:r>
              <w:rPr>
                <w:rFonts w:hint="eastAsia" w:ascii="宋体" w:hAnsi="宋体"/>
                <w:sz w:val="24"/>
                <w:highlight w:val="none"/>
                <w:lang w:val="en-US" w:eastAsia="zh-CN"/>
              </w:rPr>
              <w:t>24</w:t>
            </w:r>
            <w:r>
              <w:rPr>
                <w:rFonts w:hint="eastAsia" w:ascii="宋体" w:hAnsi="宋体"/>
                <w:sz w:val="24"/>
                <w:highlight w:val="none"/>
              </w:rPr>
              <w:t>日、202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9</w:t>
            </w:r>
            <w:r>
              <w:rPr>
                <w:rFonts w:hint="eastAsia" w:ascii="宋体" w:hAnsi="宋体"/>
                <w:sz w:val="24"/>
                <w:highlight w:val="none"/>
              </w:rPr>
              <w:t>月</w:t>
            </w:r>
            <w:r>
              <w:rPr>
                <w:rFonts w:hint="eastAsia" w:ascii="宋体" w:hAnsi="宋体"/>
                <w:sz w:val="24"/>
                <w:highlight w:val="none"/>
                <w:lang w:val="en-US" w:eastAsia="zh-CN"/>
              </w:rPr>
              <w:t>21</w:t>
            </w:r>
            <w:r>
              <w:rPr>
                <w:rFonts w:hint="eastAsia" w:ascii="宋体" w:hAnsi="宋体"/>
                <w:sz w:val="24"/>
                <w:highlight w:val="none"/>
              </w:rPr>
              <w:t>日-</w:t>
            </w:r>
            <w:r>
              <w:rPr>
                <w:rFonts w:hint="eastAsia" w:ascii="宋体" w:hAnsi="宋体"/>
                <w:sz w:val="24"/>
                <w:highlight w:val="none"/>
                <w:lang w:val="en-US" w:eastAsia="zh-CN"/>
              </w:rPr>
              <w:t>9</w:t>
            </w:r>
            <w:r>
              <w:rPr>
                <w:rFonts w:hint="eastAsia" w:ascii="宋体" w:hAnsi="宋体"/>
                <w:sz w:val="24"/>
                <w:highlight w:val="none"/>
              </w:rPr>
              <w:t>月</w:t>
            </w:r>
            <w:r>
              <w:rPr>
                <w:rFonts w:hint="eastAsia" w:ascii="宋体" w:hAnsi="宋体"/>
                <w:sz w:val="24"/>
                <w:highlight w:val="none"/>
                <w:lang w:val="en-US" w:eastAsia="zh-CN"/>
              </w:rPr>
              <w:t>23</w:t>
            </w:r>
            <w:r>
              <w:rPr>
                <w:rFonts w:hint="eastAsia" w:ascii="宋体" w:hAnsi="宋体"/>
                <w:sz w:val="24"/>
                <w:highlight w:val="none"/>
              </w:rPr>
              <w:t>日</w:t>
            </w:r>
            <w:r>
              <w:rPr>
                <w:rFonts w:hint="eastAsia" w:ascii="宋体" w:hAnsi="宋体" w:cs="宋体"/>
                <w:bCs/>
                <w:snapToGrid w:val="0"/>
                <w:sz w:val="24"/>
                <w:highlight w:val="none"/>
              </w:rPr>
              <w:t>，</w:t>
            </w:r>
            <w:r>
              <w:rPr>
                <w:rFonts w:hint="eastAsia" w:ascii="宋体" w:hAnsi="宋体" w:cs="宋体"/>
                <w:bCs/>
                <w:sz w:val="24"/>
                <w:highlight w:val="none"/>
              </w:rPr>
              <w:t>连续监测</w:t>
            </w:r>
            <w:r>
              <w:rPr>
                <w:rFonts w:hint="eastAsia" w:ascii="宋体" w:hAnsi="宋体" w:cs="宋体"/>
                <w:bCs/>
                <w:sz w:val="24"/>
                <w:highlight w:val="none"/>
                <w:lang w:val="en-US" w:eastAsia="zh-CN"/>
              </w:rPr>
              <w:t>3</w:t>
            </w:r>
            <w:r>
              <w:rPr>
                <w:rFonts w:hint="eastAsia" w:ascii="宋体" w:hAnsi="宋体" w:cs="宋体"/>
                <w:bCs/>
                <w:sz w:val="24"/>
                <w:highlight w:val="none"/>
              </w:rPr>
              <w:t>天</w:t>
            </w:r>
            <w:r>
              <w:rPr>
                <w:rFonts w:hint="eastAsia" w:ascii="宋体" w:hAnsi="宋体" w:cs="宋体"/>
                <w:bCs/>
                <w:snapToGrid w:val="0"/>
                <w:sz w:val="24"/>
                <w:highlight w:val="none"/>
              </w:rPr>
              <w:t>。</w:t>
            </w:r>
          </w:p>
          <w:p>
            <w:pPr>
              <w:spacing w:line="360" w:lineRule="auto"/>
              <w:ind w:firstLine="480" w:firstLineChars="200"/>
              <w:rPr>
                <w:rFonts w:hint="eastAsia" w:ascii="宋体" w:hAnsi="宋体" w:cs="宋体"/>
                <w:bCs/>
                <w:snapToGrid w:val="0"/>
                <w:sz w:val="24"/>
                <w:highlight w:val="none"/>
              </w:rPr>
            </w:pPr>
            <w:r>
              <w:rPr>
                <w:rFonts w:hint="eastAsia" w:ascii="宋体" w:hAnsi="宋体" w:cs="宋体"/>
                <w:bCs/>
                <w:snapToGrid w:val="0"/>
                <w:sz w:val="24"/>
                <w:highlight w:val="none"/>
              </w:rPr>
              <w:t>④</w:t>
            </w:r>
            <w:r>
              <w:rPr>
                <w:rFonts w:hint="eastAsia" w:ascii="宋体" w:hAnsi="宋体" w:cs="宋体"/>
                <w:bCs/>
                <w:sz w:val="24"/>
                <w:highlight w:val="none"/>
              </w:rPr>
              <w:t>评价标准</w:t>
            </w:r>
          </w:p>
          <w:p>
            <w:pPr>
              <w:pStyle w:val="68"/>
              <w:spacing w:line="360" w:lineRule="auto"/>
              <w:ind w:firstLine="480"/>
              <w:rPr>
                <w:rFonts w:hint="eastAsia" w:hAnsi="宋体"/>
                <w:bCs/>
                <w:color w:val="auto"/>
                <w:sz w:val="24"/>
                <w:highlight w:val="none"/>
              </w:rPr>
            </w:pPr>
            <w:r>
              <w:rPr>
                <w:rFonts w:hint="eastAsia" w:hAnsi="宋体"/>
                <w:bCs/>
                <w:color w:val="auto"/>
                <w:sz w:val="24"/>
                <w:highlight w:val="none"/>
              </w:rPr>
              <w:t>本次监测的环境空气监测点位于二类功能区，执行《环境空气质量标准》（GB3095-2012）中的二级标准</w:t>
            </w:r>
            <w:r>
              <w:rPr>
                <w:rFonts w:hint="eastAsia" w:hAnsi="宋体"/>
                <w:bCs/>
                <w:color w:val="auto"/>
                <w:sz w:val="24"/>
                <w:highlight w:val="none"/>
                <w:lang w:val="zh-CN"/>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⑤评价方法</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评价方法采用占标率法，计算公式如下：</w:t>
            </w:r>
          </w:p>
          <w:p>
            <w:pPr>
              <w:spacing w:line="360" w:lineRule="auto"/>
              <w:ind w:firstLine="1200" w:firstLineChars="500"/>
              <w:rPr>
                <w:rFonts w:hint="eastAsia" w:ascii="宋体" w:hAnsi="宋体" w:cs="宋体"/>
                <w:bCs/>
                <w:sz w:val="24"/>
                <w:highlight w:val="none"/>
              </w:rPr>
            </w:pPr>
            <w:r>
              <w:rPr>
                <w:rFonts w:hint="eastAsia" w:ascii="宋体" w:hAnsi="宋体" w:cs="宋体"/>
                <w:bCs/>
                <w:sz w:val="24"/>
                <w:highlight w:val="none"/>
              </w:rPr>
              <w:t>P</w:t>
            </w:r>
            <w:r>
              <w:rPr>
                <w:rFonts w:hint="eastAsia" w:ascii="宋体" w:hAnsi="宋体" w:cs="宋体"/>
                <w:bCs/>
                <w:sz w:val="24"/>
                <w:highlight w:val="none"/>
                <w:vertAlign w:val="subscript"/>
              </w:rPr>
              <w:t>i</w:t>
            </w:r>
            <w:r>
              <w:rPr>
                <w:rFonts w:hint="eastAsia" w:ascii="宋体" w:hAnsi="宋体" w:cs="宋体"/>
                <w:bCs/>
                <w:sz w:val="24"/>
                <w:highlight w:val="none"/>
              </w:rPr>
              <w:t>=C</w:t>
            </w:r>
            <w:r>
              <w:rPr>
                <w:rFonts w:hint="eastAsia" w:ascii="宋体" w:hAnsi="宋体" w:cs="宋体"/>
                <w:bCs/>
                <w:sz w:val="24"/>
                <w:highlight w:val="none"/>
                <w:vertAlign w:val="subscript"/>
              </w:rPr>
              <w:t>i</w:t>
            </w:r>
            <w:r>
              <w:rPr>
                <w:rFonts w:hint="eastAsia" w:ascii="宋体" w:hAnsi="宋体" w:cs="宋体"/>
                <w:bCs/>
                <w:sz w:val="24"/>
                <w:highlight w:val="none"/>
              </w:rPr>
              <w:t>/C</w:t>
            </w:r>
            <w:r>
              <w:rPr>
                <w:rFonts w:hint="eastAsia" w:ascii="宋体" w:hAnsi="宋体" w:cs="宋体"/>
                <w:bCs/>
                <w:sz w:val="24"/>
                <w:highlight w:val="none"/>
                <w:vertAlign w:val="subscript"/>
              </w:rPr>
              <w:t>oi</w:t>
            </w:r>
            <w:r>
              <w:rPr>
                <w:rFonts w:hint="eastAsia" w:ascii="宋体" w:hAnsi="宋体" w:cs="宋体"/>
                <w:bCs/>
                <w:sz w:val="24"/>
                <w:highlight w:val="none"/>
              </w:rPr>
              <w:t>×100%</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式中：P</w:t>
            </w:r>
            <w:r>
              <w:rPr>
                <w:rFonts w:hint="eastAsia" w:ascii="宋体" w:hAnsi="宋体" w:cs="宋体"/>
                <w:bCs/>
                <w:sz w:val="24"/>
                <w:highlight w:val="none"/>
                <w:vertAlign w:val="subscript"/>
              </w:rPr>
              <w:t>i</w:t>
            </w:r>
            <w:r>
              <w:rPr>
                <w:rFonts w:hint="eastAsia" w:ascii="宋体" w:hAnsi="宋体" w:cs="宋体"/>
                <w:bCs/>
                <w:sz w:val="24"/>
                <w:highlight w:val="none"/>
              </w:rPr>
              <w:t>—i污染物的浓度占标率；</w:t>
            </w:r>
          </w:p>
          <w:p>
            <w:pPr>
              <w:spacing w:line="360" w:lineRule="auto"/>
              <w:ind w:firstLine="1200" w:firstLineChars="500"/>
              <w:rPr>
                <w:rFonts w:hint="eastAsia" w:ascii="宋体" w:hAnsi="宋体" w:cs="宋体"/>
                <w:bCs/>
                <w:sz w:val="24"/>
                <w:highlight w:val="none"/>
              </w:rPr>
            </w:pPr>
            <w:r>
              <w:rPr>
                <w:rFonts w:hint="eastAsia" w:ascii="宋体" w:hAnsi="宋体" w:cs="宋体"/>
                <w:bCs/>
                <w:sz w:val="24"/>
                <w:highlight w:val="none"/>
              </w:rPr>
              <w:t>C</w:t>
            </w:r>
            <w:r>
              <w:rPr>
                <w:rFonts w:hint="eastAsia" w:ascii="宋体" w:hAnsi="宋体" w:cs="宋体"/>
                <w:bCs/>
                <w:sz w:val="24"/>
                <w:highlight w:val="none"/>
                <w:vertAlign w:val="subscript"/>
              </w:rPr>
              <w:t>i</w:t>
            </w:r>
            <w:r>
              <w:rPr>
                <w:rFonts w:hint="eastAsia" w:ascii="宋体" w:hAnsi="宋体" w:cs="宋体"/>
                <w:bCs/>
                <w:sz w:val="24"/>
                <w:highlight w:val="none"/>
              </w:rPr>
              <w:t>—i污染物的实测浓度，mg/m</w:t>
            </w:r>
            <w:r>
              <w:rPr>
                <w:rFonts w:hint="eastAsia" w:ascii="宋体" w:hAnsi="宋体" w:cs="宋体"/>
                <w:bCs/>
                <w:sz w:val="24"/>
                <w:highlight w:val="none"/>
                <w:vertAlign w:val="superscript"/>
              </w:rPr>
              <w:t>3</w:t>
            </w:r>
            <w:r>
              <w:rPr>
                <w:rFonts w:hint="eastAsia" w:ascii="宋体" w:hAnsi="宋体" w:cs="宋体"/>
                <w:bCs/>
                <w:sz w:val="24"/>
                <w:highlight w:val="none"/>
              </w:rPr>
              <w:t>；</w:t>
            </w:r>
          </w:p>
          <w:p>
            <w:pPr>
              <w:spacing w:line="360" w:lineRule="auto"/>
              <w:ind w:firstLine="1200" w:firstLineChars="500"/>
              <w:rPr>
                <w:rFonts w:hint="eastAsia" w:ascii="宋体" w:hAnsi="宋体" w:cs="宋体"/>
                <w:bCs/>
                <w:sz w:val="24"/>
                <w:highlight w:val="none"/>
              </w:rPr>
            </w:pPr>
            <w:r>
              <w:rPr>
                <w:rFonts w:hint="eastAsia" w:ascii="宋体" w:hAnsi="宋体" w:cs="宋体"/>
                <w:bCs/>
                <w:sz w:val="24"/>
                <w:highlight w:val="none"/>
              </w:rPr>
              <w:t>C</w:t>
            </w:r>
            <w:r>
              <w:rPr>
                <w:rFonts w:hint="eastAsia" w:ascii="宋体" w:hAnsi="宋体" w:cs="宋体"/>
                <w:bCs/>
                <w:sz w:val="24"/>
                <w:highlight w:val="none"/>
                <w:vertAlign w:val="subscript"/>
              </w:rPr>
              <w:t>oi</w:t>
            </w:r>
            <w:r>
              <w:rPr>
                <w:rFonts w:hint="eastAsia" w:ascii="宋体" w:hAnsi="宋体" w:cs="宋体"/>
                <w:bCs/>
                <w:sz w:val="24"/>
                <w:highlight w:val="none"/>
              </w:rPr>
              <w:t>—i污染物的评价标准，mg/m</w:t>
            </w:r>
            <w:r>
              <w:rPr>
                <w:rFonts w:hint="eastAsia" w:ascii="宋体" w:hAnsi="宋体" w:cs="宋体"/>
                <w:bCs/>
                <w:sz w:val="24"/>
                <w:highlight w:val="none"/>
                <w:vertAlign w:val="superscript"/>
              </w:rPr>
              <w:t>3</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其中Pi＜100%时，表示该污染物不超标，满足其评价标准要求；而Pi≥100%时，则表明该污染物超标。利用各监测点的监测数据，统计各类污染物的日均浓度范围、最大占标率和超标率。</w:t>
            </w:r>
          </w:p>
          <w:p>
            <w:pPr>
              <w:tabs>
                <w:tab w:val="left" w:pos="240"/>
              </w:tabs>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⑥现状评价结果</w:t>
            </w:r>
          </w:p>
          <w:p>
            <w:pPr>
              <w:pStyle w:val="8"/>
              <w:spacing w:before="0" w:after="0" w:line="360" w:lineRule="auto"/>
              <w:ind w:right="0" w:firstLine="480" w:firstLineChars="200"/>
              <w:rPr>
                <w:rFonts w:hint="eastAsia" w:ascii="宋体" w:hAnsi="宋体" w:cs="宋体"/>
                <w:sz w:val="24"/>
                <w:szCs w:val="24"/>
                <w:highlight w:val="none"/>
              </w:rPr>
            </w:pPr>
            <w:r>
              <w:rPr>
                <w:rFonts w:hint="eastAsia" w:ascii="宋体" w:hAnsi="宋体" w:cs="宋体"/>
                <w:sz w:val="24"/>
                <w:szCs w:val="24"/>
                <w:highlight w:val="none"/>
              </w:rPr>
              <w:t>监测点位基本信息和监测结果详见表3-4。</w:t>
            </w:r>
          </w:p>
          <w:p>
            <w:pPr>
              <w:adjustRightInd w:val="0"/>
              <w:snapToGrid w:val="0"/>
              <w:spacing w:before="120" w:beforeLines="50"/>
              <w:jc w:val="center"/>
              <w:rPr>
                <w:rFonts w:hint="eastAsia" w:ascii="宋体" w:hAnsi="宋体" w:cs="宋体"/>
                <w:b/>
                <w:szCs w:val="21"/>
                <w:highlight w:val="none"/>
              </w:rPr>
            </w:pPr>
            <w:r>
              <w:rPr>
                <w:rFonts w:hint="eastAsia" w:ascii="宋体" w:hAnsi="宋体" w:cs="宋体"/>
                <w:b/>
                <w:szCs w:val="21"/>
                <w:highlight w:val="none"/>
                <w:u w:val="single"/>
              </w:rPr>
              <w:t>表3-4  引用其他污染物环境质量现状（监测结果）表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15"/>
              <w:gridCol w:w="1844"/>
              <w:gridCol w:w="892"/>
              <w:gridCol w:w="776"/>
              <w:gridCol w:w="1405"/>
              <w:gridCol w:w="898"/>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Merge w:val="restart"/>
                  <w:noWrap w:val="0"/>
                  <w:vAlign w:val="center"/>
                </w:tcPr>
                <w:p>
                  <w:pPr>
                    <w:snapToGrid w:val="0"/>
                    <w:spacing w:line="280" w:lineRule="exact"/>
                    <w:ind w:left="-105" w:leftChars="-50" w:firstLine="105" w:firstLineChars="50"/>
                    <w:jc w:val="center"/>
                    <w:rPr>
                      <w:rFonts w:ascii="宋体" w:hAnsi="宋体" w:cs="宋体"/>
                      <w:bCs/>
                      <w:szCs w:val="21"/>
                      <w:highlight w:val="none"/>
                    </w:rPr>
                  </w:pPr>
                  <w:r>
                    <w:rPr>
                      <w:rFonts w:hint="eastAsia" w:ascii="宋体" w:hAnsi="宋体" w:cs="宋体"/>
                      <w:bCs/>
                      <w:szCs w:val="21"/>
                      <w:highlight w:val="none"/>
                    </w:rPr>
                    <w:t>监</w:t>
                  </w:r>
                </w:p>
                <w:p>
                  <w:pPr>
                    <w:snapToGrid w:val="0"/>
                    <w:spacing w:line="280" w:lineRule="exact"/>
                    <w:ind w:left="-105" w:leftChars="-50" w:firstLine="105" w:firstLineChars="50"/>
                    <w:jc w:val="center"/>
                    <w:rPr>
                      <w:rFonts w:ascii="宋体" w:hAnsi="宋体" w:cs="宋体"/>
                      <w:bCs/>
                      <w:szCs w:val="21"/>
                      <w:highlight w:val="none"/>
                    </w:rPr>
                  </w:pPr>
                  <w:r>
                    <w:rPr>
                      <w:rFonts w:hint="eastAsia" w:ascii="宋体" w:hAnsi="宋体" w:cs="宋体"/>
                      <w:bCs/>
                      <w:szCs w:val="21"/>
                      <w:highlight w:val="none"/>
                    </w:rPr>
                    <w:t>测</w:t>
                  </w:r>
                </w:p>
                <w:p>
                  <w:pPr>
                    <w:snapToGrid w:val="0"/>
                    <w:spacing w:line="280" w:lineRule="exact"/>
                    <w:ind w:left="-105" w:leftChars="-50" w:firstLine="105" w:firstLineChars="50"/>
                    <w:jc w:val="center"/>
                    <w:rPr>
                      <w:rFonts w:ascii="宋体" w:hAnsi="宋体" w:cs="宋体"/>
                      <w:bCs/>
                      <w:szCs w:val="21"/>
                      <w:highlight w:val="none"/>
                    </w:rPr>
                  </w:pPr>
                  <w:r>
                    <w:rPr>
                      <w:rFonts w:hint="eastAsia" w:ascii="宋体" w:hAnsi="宋体" w:cs="宋体"/>
                      <w:bCs/>
                      <w:szCs w:val="21"/>
                      <w:highlight w:val="none"/>
                    </w:rPr>
                    <w:t>点</w:t>
                  </w:r>
                </w:p>
              </w:tc>
              <w:tc>
                <w:tcPr>
                  <w:tcW w:w="986" w:type="dxa"/>
                  <w:vMerge w:val="restart"/>
                  <w:noWrap w:val="0"/>
                  <w:vAlign w:val="center"/>
                </w:tcPr>
                <w:p>
                  <w:pPr>
                    <w:snapToGrid w:val="0"/>
                    <w:spacing w:line="280" w:lineRule="exact"/>
                    <w:jc w:val="center"/>
                    <w:rPr>
                      <w:rFonts w:ascii="宋体" w:hAnsi="宋体" w:cs="宋体"/>
                      <w:bCs/>
                      <w:szCs w:val="21"/>
                      <w:highlight w:val="none"/>
                    </w:rPr>
                  </w:pPr>
                  <w:r>
                    <w:rPr>
                      <w:rFonts w:hint="eastAsia" w:ascii="宋体" w:hAnsi="宋体" w:cs="宋体"/>
                      <w:bCs/>
                      <w:szCs w:val="21"/>
                      <w:highlight w:val="none"/>
                    </w:rPr>
                    <w:t>监测因子</w:t>
                  </w:r>
                </w:p>
              </w:tc>
              <w:tc>
                <w:tcPr>
                  <w:tcW w:w="3174" w:type="dxa"/>
                  <w:gridSpan w:val="3"/>
                  <w:noWrap w:val="0"/>
                  <w:vAlign w:val="center"/>
                </w:tcPr>
                <w:p>
                  <w:pPr>
                    <w:snapToGrid w:val="0"/>
                    <w:spacing w:line="280" w:lineRule="exact"/>
                    <w:ind w:left="-105" w:leftChars="-50" w:firstLine="105" w:firstLineChars="50"/>
                    <w:jc w:val="center"/>
                    <w:rPr>
                      <w:rFonts w:ascii="宋体" w:hAnsi="宋体" w:cs="宋体"/>
                      <w:bCs/>
                      <w:szCs w:val="21"/>
                      <w:highlight w:val="none"/>
                    </w:rPr>
                  </w:pPr>
                  <w:r>
                    <w:rPr>
                      <w:rFonts w:hint="eastAsia" w:ascii="宋体" w:hAnsi="宋体" w:cs="宋体"/>
                      <w:bCs/>
                      <w:szCs w:val="21"/>
                      <w:highlight w:val="none"/>
                    </w:rPr>
                    <w:t>小时平均浓度统计结果</w:t>
                  </w:r>
                </w:p>
              </w:tc>
              <w:tc>
                <w:tcPr>
                  <w:tcW w:w="3298" w:type="dxa"/>
                  <w:gridSpan w:val="3"/>
                  <w:noWrap w:val="0"/>
                  <w:vAlign w:val="center"/>
                </w:tcPr>
                <w:p>
                  <w:pPr>
                    <w:snapToGrid w:val="0"/>
                    <w:spacing w:line="280" w:lineRule="exact"/>
                    <w:ind w:left="-105" w:leftChars="-50" w:firstLine="105" w:firstLineChars="50"/>
                    <w:jc w:val="center"/>
                    <w:rPr>
                      <w:rFonts w:ascii="宋体" w:hAnsi="宋体" w:cs="宋体"/>
                      <w:bCs/>
                      <w:szCs w:val="21"/>
                      <w:highlight w:val="none"/>
                    </w:rPr>
                  </w:pPr>
                  <w:r>
                    <w:rPr>
                      <w:rFonts w:hint="eastAsia" w:ascii="宋体" w:hAnsi="宋体" w:cs="宋体"/>
                      <w:szCs w:val="21"/>
                      <w:highlight w:val="none"/>
                    </w:rPr>
                    <w:t>日均</w:t>
                  </w:r>
                  <w:r>
                    <w:rPr>
                      <w:rFonts w:hint="eastAsia" w:ascii="宋体" w:hAnsi="宋体" w:cs="宋体"/>
                      <w:bCs/>
                      <w:szCs w:val="21"/>
                      <w:highlight w:val="none"/>
                    </w:rPr>
                    <w:t>浓度统计结果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636" w:type="dxa"/>
                  <w:vMerge w:val="continue"/>
                  <w:noWrap w:val="0"/>
                  <w:vAlign w:val="center"/>
                </w:tcPr>
                <w:p>
                  <w:pPr>
                    <w:snapToGrid w:val="0"/>
                    <w:spacing w:line="280" w:lineRule="exact"/>
                    <w:ind w:left="-105" w:leftChars="-50" w:firstLine="105" w:firstLineChars="50"/>
                    <w:jc w:val="center"/>
                    <w:rPr>
                      <w:rFonts w:ascii="宋体" w:hAnsi="宋体" w:cs="宋体"/>
                      <w:bCs/>
                      <w:szCs w:val="21"/>
                      <w:highlight w:val="none"/>
                    </w:rPr>
                  </w:pPr>
                </w:p>
              </w:tc>
              <w:tc>
                <w:tcPr>
                  <w:tcW w:w="986" w:type="dxa"/>
                  <w:vMerge w:val="continue"/>
                  <w:noWrap w:val="0"/>
                  <w:vAlign w:val="center"/>
                </w:tcPr>
                <w:p>
                  <w:pPr>
                    <w:snapToGrid w:val="0"/>
                    <w:spacing w:line="280" w:lineRule="exact"/>
                    <w:jc w:val="center"/>
                    <w:rPr>
                      <w:rFonts w:ascii="宋体" w:hAnsi="宋体" w:cs="宋体"/>
                      <w:bCs/>
                      <w:szCs w:val="21"/>
                      <w:highlight w:val="none"/>
                    </w:rPr>
                  </w:pPr>
                </w:p>
              </w:tc>
              <w:tc>
                <w:tcPr>
                  <w:tcW w:w="1394" w:type="dxa"/>
                  <w:noWrap w:val="0"/>
                  <w:vAlign w:val="center"/>
                </w:tcPr>
                <w:p>
                  <w:pPr>
                    <w:jc w:val="center"/>
                    <w:rPr>
                      <w:rFonts w:ascii="宋体" w:hAnsi="宋体" w:cs="宋体"/>
                      <w:szCs w:val="21"/>
                      <w:highlight w:val="none"/>
                    </w:rPr>
                  </w:pPr>
                  <w:r>
                    <w:rPr>
                      <w:rFonts w:hint="eastAsia" w:ascii="宋体" w:hAnsi="宋体" w:cs="宋体"/>
                      <w:szCs w:val="21"/>
                      <w:highlight w:val="none"/>
                    </w:rPr>
                    <w:t>浓度范围</w:t>
                  </w:r>
                </w:p>
              </w:tc>
              <w:tc>
                <w:tcPr>
                  <w:tcW w:w="983" w:type="dxa"/>
                  <w:noWrap w:val="0"/>
                  <w:vAlign w:val="center"/>
                </w:tcPr>
                <w:p>
                  <w:pPr>
                    <w:jc w:val="center"/>
                    <w:rPr>
                      <w:rFonts w:ascii="宋体" w:hAnsi="宋体" w:cs="宋体"/>
                      <w:szCs w:val="21"/>
                      <w:highlight w:val="none"/>
                    </w:rPr>
                  </w:pPr>
                  <w:r>
                    <w:rPr>
                      <w:rFonts w:hint="eastAsia" w:ascii="宋体" w:hAnsi="宋体" w:cs="宋体"/>
                      <w:szCs w:val="21"/>
                      <w:highlight w:val="none"/>
                    </w:rPr>
                    <w:t>最大浓度占标率（%）</w:t>
                  </w:r>
                </w:p>
              </w:tc>
              <w:tc>
                <w:tcPr>
                  <w:tcW w:w="797" w:type="dxa"/>
                  <w:noWrap w:val="0"/>
                  <w:vAlign w:val="center"/>
                </w:tcPr>
                <w:p>
                  <w:pPr>
                    <w:jc w:val="center"/>
                    <w:rPr>
                      <w:rFonts w:ascii="宋体" w:hAnsi="宋体" w:cs="宋体"/>
                      <w:szCs w:val="21"/>
                      <w:highlight w:val="none"/>
                    </w:rPr>
                  </w:pPr>
                  <w:r>
                    <w:rPr>
                      <w:rFonts w:hint="eastAsia" w:ascii="宋体" w:hAnsi="宋体" w:cs="宋体"/>
                      <w:szCs w:val="21"/>
                      <w:highlight w:val="none"/>
                    </w:rPr>
                    <w:t>超标率（%）</w:t>
                  </w:r>
                </w:p>
              </w:tc>
              <w:tc>
                <w:tcPr>
                  <w:tcW w:w="1426" w:type="dxa"/>
                  <w:noWrap w:val="0"/>
                  <w:vAlign w:val="center"/>
                </w:tcPr>
                <w:p>
                  <w:pPr>
                    <w:jc w:val="center"/>
                    <w:rPr>
                      <w:rFonts w:ascii="宋体" w:hAnsi="宋体" w:cs="宋体"/>
                      <w:szCs w:val="21"/>
                      <w:highlight w:val="none"/>
                    </w:rPr>
                  </w:pPr>
                  <w:r>
                    <w:rPr>
                      <w:rFonts w:hint="eastAsia" w:ascii="宋体" w:hAnsi="宋体" w:cs="宋体"/>
                      <w:szCs w:val="21"/>
                      <w:highlight w:val="none"/>
                    </w:rPr>
                    <w:t>浓度范围（</w:t>
                  </w:r>
                  <w:r>
                    <w:rPr>
                      <w:rFonts w:hint="eastAsia" w:ascii="宋体" w:hAnsi="宋体"/>
                      <w:szCs w:val="21"/>
                      <w:highlight w:val="none"/>
                    </w:rPr>
                    <w:t>mg/m</w:t>
                  </w:r>
                  <w:r>
                    <w:rPr>
                      <w:rFonts w:hint="eastAsia" w:ascii="宋体" w:hAnsi="宋体"/>
                      <w:szCs w:val="21"/>
                      <w:highlight w:val="none"/>
                      <w:vertAlign w:val="superscript"/>
                    </w:rPr>
                    <w:t>3</w:t>
                  </w:r>
                  <w:r>
                    <w:rPr>
                      <w:rFonts w:hint="eastAsia" w:ascii="宋体" w:hAnsi="宋体" w:cs="宋体"/>
                      <w:szCs w:val="21"/>
                      <w:highlight w:val="none"/>
                    </w:rPr>
                    <w:t>）</w:t>
                  </w:r>
                </w:p>
              </w:tc>
              <w:tc>
                <w:tcPr>
                  <w:tcW w:w="993" w:type="dxa"/>
                  <w:noWrap w:val="0"/>
                  <w:vAlign w:val="center"/>
                </w:tcPr>
                <w:p>
                  <w:pPr>
                    <w:jc w:val="center"/>
                    <w:rPr>
                      <w:rFonts w:ascii="宋体" w:hAnsi="宋体" w:cs="宋体"/>
                      <w:szCs w:val="21"/>
                      <w:highlight w:val="none"/>
                    </w:rPr>
                  </w:pPr>
                  <w:r>
                    <w:rPr>
                      <w:rFonts w:hint="eastAsia" w:ascii="宋体" w:hAnsi="宋体" w:cs="宋体"/>
                      <w:szCs w:val="21"/>
                      <w:highlight w:val="none"/>
                    </w:rPr>
                    <w:t>最大浓度占标率（%）</w:t>
                  </w:r>
                </w:p>
              </w:tc>
              <w:tc>
                <w:tcPr>
                  <w:tcW w:w="879" w:type="dxa"/>
                  <w:noWrap w:val="0"/>
                  <w:vAlign w:val="center"/>
                </w:tcPr>
                <w:p>
                  <w:pPr>
                    <w:jc w:val="center"/>
                    <w:rPr>
                      <w:rFonts w:ascii="宋体" w:hAnsi="宋体" w:cs="宋体"/>
                      <w:szCs w:val="21"/>
                      <w:highlight w:val="none"/>
                    </w:rPr>
                  </w:pPr>
                  <w:r>
                    <w:rPr>
                      <w:rFonts w:hint="eastAsia" w:ascii="宋体" w:hAnsi="宋体" w:cs="宋体"/>
                      <w:szCs w:val="21"/>
                      <w:highlight w:val="none"/>
                    </w:rPr>
                    <w:t>超标率（%）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36" w:type="dxa"/>
                  <w:vMerge w:val="restart"/>
                  <w:noWrap w:val="0"/>
                  <w:vAlign w:val="center"/>
                </w:tcPr>
                <w:p>
                  <w:pPr>
                    <w:snapToGrid w:val="0"/>
                    <w:spacing w:line="280" w:lineRule="exact"/>
                    <w:jc w:val="center"/>
                    <w:rPr>
                      <w:rFonts w:ascii="宋体" w:hAnsi="宋体" w:cs="宋体"/>
                      <w:bCs/>
                      <w:szCs w:val="21"/>
                      <w:highlight w:val="none"/>
                    </w:rPr>
                  </w:pPr>
                  <w:r>
                    <w:rPr>
                      <w:rFonts w:hint="default" w:ascii="宋体" w:hAnsi="宋体" w:eastAsia="宋体" w:cs="宋体"/>
                      <w:bCs/>
                      <w:szCs w:val="21"/>
                      <w:highlight w:val="none"/>
                      <w:lang w:val="zh-CN"/>
                    </w:rPr>
                    <w:t>项目厂址下风向</w:t>
                  </w:r>
                  <w:r>
                    <w:rPr>
                      <w:rFonts w:hint="eastAsia" w:ascii="宋体" w:hAnsi="宋体" w:eastAsia="宋体" w:cs="宋体"/>
                      <w:bCs/>
                      <w:szCs w:val="21"/>
                      <w:highlight w:val="none"/>
                      <w:lang w:val="en-US" w:eastAsia="zh-CN"/>
                    </w:rPr>
                    <w:t>5</w:t>
                  </w:r>
                  <w:r>
                    <w:rPr>
                      <w:rFonts w:hint="default" w:ascii="宋体" w:hAnsi="宋体" w:eastAsia="宋体" w:cs="宋体"/>
                      <w:bCs/>
                      <w:szCs w:val="21"/>
                      <w:highlight w:val="none"/>
                      <w:lang w:val="en-US" w:eastAsia="zh-CN"/>
                    </w:rPr>
                    <w:t>00m</w:t>
                  </w:r>
                </w:p>
              </w:tc>
              <w:tc>
                <w:tcPr>
                  <w:tcW w:w="986" w:type="dxa"/>
                  <w:noWrap w:val="0"/>
                  <w:vAlign w:val="center"/>
                </w:tcPr>
                <w:p>
                  <w:pPr>
                    <w:jc w:val="center"/>
                    <w:rPr>
                      <w:rFonts w:ascii="宋体" w:hAnsi="宋体"/>
                      <w:szCs w:val="21"/>
                      <w:highlight w:val="none"/>
                    </w:rPr>
                  </w:pPr>
                  <w:r>
                    <w:rPr>
                      <w:rFonts w:hint="eastAsia" w:ascii="宋体" w:hAnsi="宋体"/>
                      <w:szCs w:val="21"/>
                      <w:highlight w:val="none"/>
                    </w:rPr>
                    <w:t>TSP</w:t>
                  </w:r>
                </w:p>
              </w:tc>
              <w:tc>
                <w:tcPr>
                  <w:tcW w:w="1394" w:type="dxa"/>
                  <w:noWrap w:val="0"/>
                  <w:vAlign w:val="center"/>
                </w:tcPr>
                <w:p>
                  <w:pPr>
                    <w:jc w:val="center"/>
                    <w:rPr>
                      <w:rFonts w:ascii="宋体" w:hAnsi="宋体"/>
                      <w:highlight w:val="none"/>
                    </w:rPr>
                  </w:pPr>
                  <w:r>
                    <w:rPr>
                      <w:rFonts w:hint="eastAsia" w:ascii="宋体" w:hAnsi="宋体" w:cs="宋体"/>
                      <w:szCs w:val="21"/>
                      <w:highlight w:val="none"/>
                    </w:rPr>
                    <w:t>--</w:t>
                  </w:r>
                </w:p>
              </w:tc>
              <w:tc>
                <w:tcPr>
                  <w:tcW w:w="983" w:type="dxa"/>
                  <w:noWrap w:val="0"/>
                  <w:vAlign w:val="center"/>
                </w:tcPr>
                <w:p>
                  <w:pPr>
                    <w:adjustRightInd w:val="0"/>
                    <w:snapToGrid w:val="0"/>
                    <w:spacing w:line="280" w:lineRule="exact"/>
                    <w:jc w:val="center"/>
                    <w:rPr>
                      <w:rFonts w:ascii="宋体" w:hAnsi="宋体" w:cs="宋体"/>
                      <w:szCs w:val="21"/>
                      <w:highlight w:val="none"/>
                    </w:rPr>
                  </w:pPr>
                  <w:r>
                    <w:rPr>
                      <w:rFonts w:hint="eastAsia" w:ascii="宋体" w:hAnsi="宋体" w:cs="宋体"/>
                      <w:szCs w:val="21"/>
                      <w:highlight w:val="none"/>
                    </w:rPr>
                    <w:t>--</w:t>
                  </w:r>
                </w:p>
              </w:tc>
              <w:tc>
                <w:tcPr>
                  <w:tcW w:w="797" w:type="dxa"/>
                  <w:noWrap w:val="0"/>
                  <w:vAlign w:val="center"/>
                </w:tcPr>
                <w:p>
                  <w:pPr>
                    <w:adjustRightInd w:val="0"/>
                    <w:snapToGrid w:val="0"/>
                    <w:spacing w:line="280" w:lineRule="exact"/>
                    <w:ind w:left="-105" w:leftChars="-50" w:firstLine="105" w:firstLineChars="50"/>
                    <w:jc w:val="center"/>
                    <w:rPr>
                      <w:rFonts w:ascii="宋体" w:hAnsi="宋体" w:cs="宋体"/>
                      <w:szCs w:val="21"/>
                      <w:highlight w:val="none"/>
                    </w:rPr>
                  </w:pPr>
                  <w:r>
                    <w:rPr>
                      <w:rFonts w:hint="eastAsia" w:ascii="宋体" w:hAnsi="宋体" w:cs="宋体"/>
                      <w:szCs w:val="21"/>
                      <w:highlight w:val="none"/>
                    </w:rPr>
                    <w:t>0</w:t>
                  </w:r>
                </w:p>
              </w:tc>
              <w:tc>
                <w:tcPr>
                  <w:tcW w:w="1426" w:type="dxa"/>
                  <w:noWrap w:val="0"/>
                  <w:vAlign w:val="center"/>
                </w:tcPr>
                <w:p>
                  <w:pPr>
                    <w:adjustRightInd w:val="0"/>
                    <w:snapToGrid w:val="0"/>
                    <w:spacing w:line="280" w:lineRule="exact"/>
                    <w:ind w:left="-105" w:leftChars="-50" w:firstLine="105" w:firstLineChars="5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0.122-0.128</w:t>
                  </w:r>
                </w:p>
              </w:tc>
              <w:tc>
                <w:tcPr>
                  <w:tcW w:w="993" w:type="dxa"/>
                  <w:noWrap w:val="0"/>
                  <w:vAlign w:val="center"/>
                </w:tcPr>
                <w:p>
                  <w:pPr>
                    <w:adjustRightInd w:val="0"/>
                    <w:snapToGrid w:val="0"/>
                    <w:spacing w:line="280" w:lineRule="exact"/>
                    <w:ind w:left="-105" w:leftChars="-50" w:firstLine="105" w:firstLineChars="5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43</w:t>
                  </w:r>
                </w:p>
              </w:tc>
              <w:tc>
                <w:tcPr>
                  <w:tcW w:w="879" w:type="dxa"/>
                  <w:noWrap w:val="0"/>
                  <w:vAlign w:val="top"/>
                </w:tcPr>
                <w:p>
                  <w:pPr>
                    <w:jc w:val="center"/>
                    <w:rPr>
                      <w:rFonts w:ascii="宋体" w:hAnsi="宋体"/>
                      <w:highlight w:val="none"/>
                    </w:rPr>
                  </w:pPr>
                  <w:r>
                    <w:rPr>
                      <w:rFonts w:hint="eastAsia" w:ascii="宋体" w:hAnsi="宋体" w:cs="宋体"/>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36" w:type="dxa"/>
                  <w:vMerge w:val="continue"/>
                  <w:noWrap w:val="0"/>
                  <w:vAlign w:val="center"/>
                </w:tcPr>
                <w:p>
                  <w:pPr>
                    <w:snapToGrid w:val="0"/>
                    <w:spacing w:line="280" w:lineRule="exact"/>
                    <w:ind w:left="-105" w:leftChars="-50" w:firstLine="105" w:firstLineChars="50"/>
                    <w:jc w:val="center"/>
                    <w:rPr>
                      <w:rFonts w:ascii="宋体" w:hAnsi="宋体" w:cs="宋体"/>
                      <w:bCs/>
                      <w:szCs w:val="21"/>
                      <w:highlight w:val="yellow"/>
                    </w:rPr>
                  </w:pPr>
                </w:p>
              </w:tc>
              <w:tc>
                <w:tcPr>
                  <w:tcW w:w="986" w:type="dxa"/>
                  <w:noWrap w:val="0"/>
                  <w:vAlign w:val="center"/>
                </w:tcPr>
                <w:p>
                  <w:pPr>
                    <w:jc w:val="center"/>
                    <w:rPr>
                      <w:rFonts w:ascii="宋体" w:hAnsi="宋体"/>
                      <w:szCs w:val="21"/>
                      <w:highlight w:val="none"/>
                    </w:rPr>
                  </w:pPr>
                  <w:r>
                    <w:rPr>
                      <w:rFonts w:hint="eastAsia" w:ascii="宋体" w:hAnsi="宋体"/>
                      <w:szCs w:val="21"/>
                      <w:highlight w:val="none"/>
                    </w:rPr>
                    <w:t>NH</w:t>
                  </w:r>
                  <w:r>
                    <w:rPr>
                      <w:rFonts w:hint="eastAsia" w:ascii="宋体" w:hAnsi="宋体"/>
                      <w:szCs w:val="21"/>
                      <w:highlight w:val="none"/>
                      <w:vertAlign w:val="subscript"/>
                    </w:rPr>
                    <w:t>3</w:t>
                  </w:r>
                </w:p>
              </w:tc>
              <w:tc>
                <w:tcPr>
                  <w:tcW w:w="1394" w:type="dxa"/>
                  <w:noWrap w:val="0"/>
                  <w:vAlign w:val="center"/>
                </w:tcPr>
                <w:p>
                  <w:pPr>
                    <w:adjustRightInd w:val="0"/>
                    <w:snapToGrid w:val="0"/>
                    <w:spacing w:line="280" w:lineRule="exact"/>
                    <w:ind w:left="-105" w:leftChars="-50" w:firstLine="105" w:firstLineChars="5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0.027-0.050</w:t>
                  </w:r>
                  <w:r>
                    <w:rPr>
                      <w:rFonts w:hint="eastAsia" w:ascii="宋体" w:hAnsi="宋体"/>
                      <w:szCs w:val="21"/>
                      <w:highlight w:val="none"/>
                    </w:rPr>
                    <w:t>mg/m</w:t>
                  </w:r>
                  <w:r>
                    <w:rPr>
                      <w:rFonts w:hint="eastAsia" w:ascii="宋体" w:hAnsi="宋体"/>
                      <w:szCs w:val="21"/>
                      <w:highlight w:val="none"/>
                      <w:vertAlign w:val="superscript"/>
                    </w:rPr>
                    <w:t>3</w:t>
                  </w:r>
                </w:p>
              </w:tc>
              <w:tc>
                <w:tcPr>
                  <w:tcW w:w="983" w:type="dxa"/>
                  <w:noWrap w:val="0"/>
                  <w:vAlign w:val="center"/>
                </w:tcPr>
                <w:p>
                  <w:pPr>
                    <w:adjustRightInd w:val="0"/>
                    <w:snapToGrid w:val="0"/>
                    <w:spacing w:line="280" w:lineRule="exact"/>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25</w:t>
                  </w:r>
                </w:p>
              </w:tc>
              <w:tc>
                <w:tcPr>
                  <w:tcW w:w="797" w:type="dxa"/>
                  <w:noWrap w:val="0"/>
                  <w:vAlign w:val="center"/>
                </w:tcPr>
                <w:p>
                  <w:pPr>
                    <w:jc w:val="center"/>
                    <w:rPr>
                      <w:highlight w:val="none"/>
                    </w:rPr>
                  </w:pPr>
                  <w:r>
                    <w:rPr>
                      <w:rFonts w:hint="eastAsia" w:ascii="宋体" w:hAnsi="宋体" w:cs="宋体"/>
                      <w:szCs w:val="21"/>
                      <w:highlight w:val="none"/>
                    </w:rPr>
                    <w:t>0</w:t>
                  </w:r>
                </w:p>
              </w:tc>
              <w:tc>
                <w:tcPr>
                  <w:tcW w:w="1426" w:type="dxa"/>
                  <w:noWrap w:val="0"/>
                  <w:vAlign w:val="center"/>
                </w:tcPr>
                <w:p>
                  <w:pPr>
                    <w:adjustRightInd w:val="0"/>
                    <w:snapToGrid w:val="0"/>
                    <w:spacing w:line="280" w:lineRule="exact"/>
                    <w:ind w:left="-105" w:leftChars="-50" w:firstLine="105" w:firstLineChars="50"/>
                    <w:jc w:val="center"/>
                    <w:rPr>
                      <w:rFonts w:ascii="宋体" w:hAnsi="宋体" w:cs="宋体"/>
                      <w:szCs w:val="21"/>
                      <w:highlight w:val="none"/>
                    </w:rPr>
                  </w:pPr>
                  <w:r>
                    <w:rPr>
                      <w:rFonts w:hint="eastAsia" w:ascii="宋体" w:hAnsi="宋体" w:cs="宋体"/>
                      <w:szCs w:val="21"/>
                      <w:highlight w:val="none"/>
                    </w:rPr>
                    <w:t>--</w:t>
                  </w:r>
                </w:p>
              </w:tc>
              <w:tc>
                <w:tcPr>
                  <w:tcW w:w="993" w:type="dxa"/>
                  <w:noWrap w:val="0"/>
                  <w:vAlign w:val="center"/>
                </w:tcPr>
                <w:p>
                  <w:pPr>
                    <w:adjustRightInd w:val="0"/>
                    <w:snapToGrid w:val="0"/>
                    <w:spacing w:line="280" w:lineRule="exact"/>
                    <w:ind w:left="-105" w:leftChars="-50" w:firstLine="105" w:firstLineChars="50"/>
                    <w:jc w:val="center"/>
                    <w:rPr>
                      <w:rFonts w:ascii="宋体" w:hAnsi="宋体" w:cs="宋体"/>
                      <w:szCs w:val="21"/>
                      <w:highlight w:val="none"/>
                    </w:rPr>
                  </w:pPr>
                  <w:r>
                    <w:rPr>
                      <w:rFonts w:hint="eastAsia" w:ascii="宋体" w:hAnsi="宋体" w:cs="宋体"/>
                      <w:szCs w:val="21"/>
                      <w:highlight w:val="none"/>
                    </w:rPr>
                    <w:t>--</w:t>
                  </w:r>
                </w:p>
              </w:tc>
              <w:tc>
                <w:tcPr>
                  <w:tcW w:w="879" w:type="dxa"/>
                  <w:noWrap w:val="0"/>
                  <w:vAlign w:val="top"/>
                </w:tcPr>
                <w:p>
                  <w:pPr>
                    <w:jc w:val="center"/>
                    <w:rPr>
                      <w:highlight w:val="none"/>
                    </w:rPr>
                  </w:pPr>
                  <w:r>
                    <w:rPr>
                      <w:rFonts w:hint="eastAsia" w:ascii="宋体" w:hAnsi="宋体" w:cs="宋体"/>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36" w:type="dxa"/>
                  <w:vMerge w:val="continue"/>
                  <w:noWrap w:val="0"/>
                  <w:vAlign w:val="center"/>
                </w:tcPr>
                <w:p>
                  <w:pPr>
                    <w:snapToGrid w:val="0"/>
                    <w:spacing w:line="280" w:lineRule="exact"/>
                    <w:ind w:left="-105" w:leftChars="-50" w:firstLine="105" w:firstLineChars="50"/>
                    <w:jc w:val="center"/>
                    <w:rPr>
                      <w:rFonts w:ascii="宋体" w:hAnsi="宋体" w:cs="宋体"/>
                      <w:bCs/>
                      <w:szCs w:val="21"/>
                      <w:highlight w:val="yellow"/>
                    </w:rPr>
                  </w:pPr>
                </w:p>
              </w:tc>
              <w:tc>
                <w:tcPr>
                  <w:tcW w:w="986" w:type="dxa"/>
                  <w:noWrap w:val="0"/>
                  <w:vAlign w:val="center"/>
                </w:tcPr>
                <w:p>
                  <w:pPr>
                    <w:jc w:val="center"/>
                    <w:rPr>
                      <w:rFonts w:ascii="宋体" w:hAnsi="宋体"/>
                      <w:szCs w:val="21"/>
                      <w:highlight w:val="none"/>
                    </w:rPr>
                  </w:pPr>
                  <w:r>
                    <w:rPr>
                      <w:rFonts w:ascii="宋体" w:hAnsi="宋体"/>
                      <w:szCs w:val="21"/>
                      <w:highlight w:val="none"/>
                    </w:rPr>
                    <w:t>Hg</w:t>
                  </w:r>
                </w:p>
              </w:tc>
              <w:tc>
                <w:tcPr>
                  <w:tcW w:w="1394" w:type="dxa"/>
                  <w:noWrap w:val="0"/>
                  <w:vAlign w:val="center"/>
                </w:tcPr>
                <w:p>
                  <w:pPr>
                    <w:adjustRightInd w:val="0"/>
                    <w:snapToGrid w:val="0"/>
                    <w:spacing w:line="280" w:lineRule="exact"/>
                    <w:ind w:left="-105" w:leftChars="-50" w:firstLine="105" w:firstLineChars="5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＜2</w:t>
                  </w:r>
                  <w:r>
                    <w:rPr>
                      <w:rFonts w:hint="default" w:ascii="Times New Roman" w:hAnsi="Times New Roman" w:eastAsia="宋体" w:cs="Times New Roman"/>
                      <w:color w:val="000000"/>
                      <w:kern w:val="0"/>
                      <w:sz w:val="21"/>
                      <w:szCs w:val="21"/>
                      <w:highlight w:val="none"/>
                      <w:lang w:val="en-US" w:eastAsia="zh-CN" w:bidi="ar"/>
                    </w:rPr>
                    <w:t>ng</w:t>
                  </w:r>
                  <w:r>
                    <w:rPr>
                      <w:rFonts w:hint="default" w:ascii="Times New Roman" w:hAnsi="Times New Roman" w:eastAsia="宋体" w:cs="Times New Roman"/>
                      <w:i w:val="0"/>
                      <w:color w:val="000000"/>
                      <w:kern w:val="0"/>
                      <w:sz w:val="21"/>
                      <w:szCs w:val="21"/>
                      <w:highlight w:val="none"/>
                      <w:u w:val="none"/>
                      <w:lang w:val="en-US" w:eastAsia="zh-CN" w:bidi="ar"/>
                    </w:rPr>
                    <w:t>/m</w:t>
                  </w:r>
                  <w:r>
                    <w:rPr>
                      <w:rFonts w:hint="default" w:ascii="Times New Roman" w:hAnsi="Times New Roman" w:eastAsia="宋体" w:cs="Times New Roman"/>
                      <w:i w:val="0"/>
                      <w:color w:val="000000"/>
                      <w:kern w:val="0"/>
                      <w:sz w:val="21"/>
                      <w:szCs w:val="21"/>
                      <w:highlight w:val="none"/>
                      <w:u w:val="none"/>
                      <w:vertAlign w:val="superscript"/>
                      <w:lang w:val="en-US" w:eastAsia="zh-CN" w:bidi="ar"/>
                    </w:rPr>
                    <w:t>3</w:t>
                  </w:r>
                </w:p>
              </w:tc>
              <w:tc>
                <w:tcPr>
                  <w:tcW w:w="983" w:type="dxa"/>
                  <w:noWrap w:val="0"/>
                  <w:vAlign w:val="center"/>
                </w:tcPr>
                <w:p>
                  <w:pPr>
                    <w:adjustRightInd w:val="0"/>
                    <w:snapToGrid w:val="0"/>
                    <w:spacing w:line="280" w:lineRule="exact"/>
                    <w:jc w:val="center"/>
                    <w:rPr>
                      <w:rFonts w:ascii="宋体" w:hAnsi="宋体" w:cs="宋体"/>
                      <w:szCs w:val="21"/>
                      <w:highlight w:val="none"/>
                    </w:rPr>
                  </w:pPr>
                  <w:r>
                    <w:rPr>
                      <w:rFonts w:ascii="宋体" w:hAnsi="宋体" w:cs="宋体"/>
                      <w:szCs w:val="21"/>
                      <w:highlight w:val="none"/>
                    </w:rPr>
                    <w:t>--</w:t>
                  </w:r>
                </w:p>
              </w:tc>
              <w:tc>
                <w:tcPr>
                  <w:tcW w:w="797" w:type="dxa"/>
                  <w:noWrap w:val="0"/>
                  <w:vAlign w:val="center"/>
                </w:tcPr>
                <w:p>
                  <w:pPr>
                    <w:jc w:val="center"/>
                    <w:rPr>
                      <w:rFonts w:ascii="宋体" w:hAnsi="宋体"/>
                      <w:highlight w:val="none"/>
                    </w:rPr>
                  </w:pPr>
                  <w:r>
                    <w:rPr>
                      <w:rFonts w:ascii="宋体" w:hAnsi="宋体"/>
                      <w:highlight w:val="none"/>
                    </w:rPr>
                    <w:t>0</w:t>
                  </w:r>
                </w:p>
              </w:tc>
              <w:tc>
                <w:tcPr>
                  <w:tcW w:w="1426" w:type="dxa"/>
                  <w:noWrap w:val="0"/>
                  <w:vAlign w:val="center"/>
                </w:tcPr>
                <w:p>
                  <w:pPr>
                    <w:adjustRightInd w:val="0"/>
                    <w:snapToGrid w:val="0"/>
                    <w:spacing w:line="280" w:lineRule="exact"/>
                    <w:ind w:left="-105" w:leftChars="-50" w:firstLine="105" w:firstLineChars="50"/>
                    <w:jc w:val="center"/>
                    <w:rPr>
                      <w:rFonts w:ascii="宋体" w:hAnsi="宋体" w:cs="宋体"/>
                      <w:szCs w:val="21"/>
                      <w:highlight w:val="none"/>
                    </w:rPr>
                  </w:pPr>
                  <w:r>
                    <w:rPr>
                      <w:rFonts w:ascii="宋体" w:hAnsi="宋体" w:cs="宋体"/>
                      <w:szCs w:val="21"/>
                      <w:highlight w:val="none"/>
                    </w:rPr>
                    <w:t>--</w:t>
                  </w:r>
                </w:p>
              </w:tc>
              <w:tc>
                <w:tcPr>
                  <w:tcW w:w="993" w:type="dxa"/>
                  <w:noWrap w:val="0"/>
                  <w:vAlign w:val="center"/>
                </w:tcPr>
                <w:p>
                  <w:pPr>
                    <w:adjustRightInd w:val="0"/>
                    <w:snapToGrid w:val="0"/>
                    <w:spacing w:line="280" w:lineRule="exact"/>
                    <w:ind w:left="-105" w:leftChars="-50" w:firstLine="105" w:firstLineChars="50"/>
                    <w:jc w:val="center"/>
                    <w:rPr>
                      <w:rFonts w:ascii="宋体" w:hAnsi="宋体" w:cs="宋体"/>
                      <w:szCs w:val="21"/>
                      <w:highlight w:val="none"/>
                    </w:rPr>
                  </w:pPr>
                  <w:r>
                    <w:rPr>
                      <w:rFonts w:ascii="宋体" w:hAnsi="宋体" w:cs="宋体"/>
                      <w:szCs w:val="21"/>
                      <w:highlight w:val="none"/>
                    </w:rPr>
                    <w:t>--</w:t>
                  </w:r>
                </w:p>
              </w:tc>
              <w:tc>
                <w:tcPr>
                  <w:tcW w:w="879" w:type="dxa"/>
                  <w:noWrap w:val="0"/>
                  <w:vAlign w:val="top"/>
                </w:tcPr>
                <w:p>
                  <w:pPr>
                    <w:jc w:val="center"/>
                    <w:rPr>
                      <w:rFonts w:ascii="宋体" w:hAnsi="宋体"/>
                      <w:highlight w:val="none"/>
                    </w:rPr>
                  </w:pPr>
                  <w:r>
                    <w:rPr>
                      <w:rFonts w:ascii="宋体" w:hAnsi="宋体"/>
                      <w:highlight w:val="none"/>
                    </w:rPr>
                    <w:t>0</w:t>
                  </w:r>
                </w:p>
              </w:tc>
            </w:tr>
          </w:tbl>
          <w:p>
            <w:pPr>
              <w:spacing w:line="360" w:lineRule="auto"/>
              <w:ind w:firstLine="420" w:firstLineChars="200"/>
              <w:rPr>
                <w:rFonts w:hint="eastAsia" w:ascii="宋体" w:hAnsi="宋体" w:cs="宋体"/>
                <w:szCs w:val="21"/>
                <w:highlight w:val="yellow"/>
              </w:rPr>
            </w:pPr>
            <w:r>
              <w:rPr>
                <w:rFonts w:hint="eastAsia" w:ascii="Times New Roman" w:hAnsi="Times New Roman" w:eastAsia="宋体" w:cs="Times New Roman"/>
                <w:sz w:val="21"/>
                <w:szCs w:val="21"/>
                <w:lang w:val="en-US" w:eastAsia="zh-CN"/>
              </w:rPr>
              <w:t>注：</w:t>
            </w:r>
            <w:r>
              <w:rPr>
                <w:rFonts w:hint="default" w:ascii="Times New Roman" w:hAnsi="Times New Roman" w:eastAsia="宋体" w:cs="Times New Roman"/>
                <w:sz w:val="21"/>
                <w:szCs w:val="21"/>
                <w:lang w:val="en-US" w:eastAsia="zh-CN"/>
              </w:rPr>
              <w:t>检测结果小于检出限报“&lt;检出限”</w:t>
            </w:r>
            <w:r>
              <w:rPr>
                <w:rFonts w:hint="eastAsia" w:ascii="Times New Roman" w:hAnsi="Times New Roman" w:eastAsia="宋体" w:cs="Times New Roman"/>
                <w:sz w:val="21"/>
                <w:szCs w:val="21"/>
                <w:lang w:val="en-US" w:eastAsia="zh-CN"/>
              </w:rPr>
              <w:t>。</w:t>
            </w:r>
          </w:p>
          <w:p>
            <w:pPr>
              <w:spacing w:line="360" w:lineRule="auto"/>
              <w:ind w:firstLine="480" w:firstLineChars="200"/>
              <w:rPr>
                <w:rFonts w:hint="eastAsia" w:ascii="宋体" w:hAnsi="宋体" w:cs="宋体"/>
                <w:bCs/>
                <w:szCs w:val="21"/>
                <w:highlight w:val="none"/>
              </w:rPr>
            </w:pPr>
            <w:r>
              <w:rPr>
                <w:rFonts w:hint="eastAsia" w:ascii="宋体" w:hAnsi="宋体" w:cs="宋体"/>
                <w:sz w:val="24"/>
                <w:highlight w:val="none"/>
              </w:rPr>
              <w:t>由引用监测结果可知，</w:t>
            </w:r>
            <w:r>
              <w:rPr>
                <w:rFonts w:hint="eastAsia" w:ascii="宋体" w:hAnsi="宋体" w:cs="宋体"/>
                <w:bCs/>
                <w:sz w:val="24"/>
                <w:highlight w:val="none"/>
              </w:rPr>
              <w:t>区域内监测点位各项污染物监测值均满足《环境空气质量标准》（GB3095-2012）二级标准要求</w:t>
            </w:r>
            <w:r>
              <w:rPr>
                <w:rFonts w:hint="eastAsia" w:ascii="宋体" w:hAnsi="宋体" w:cs="宋体"/>
                <w:bCs/>
                <w:szCs w:val="21"/>
                <w:highlight w:val="none"/>
              </w:rPr>
              <w:t>。</w:t>
            </w:r>
          </w:p>
          <w:p>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3、声环境质量现状监测与评价</w:t>
            </w:r>
          </w:p>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⑴监测点布设</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在厂界四周外1m处共布设4个点，监测布点见附图</w:t>
            </w:r>
            <w:r>
              <w:rPr>
                <w:rFonts w:hint="eastAsia" w:ascii="宋体" w:hAnsi="宋体" w:cs="宋体"/>
                <w:sz w:val="24"/>
                <w:highlight w:val="none"/>
                <w:lang w:val="en-US" w:eastAsia="zh-CN"/>
              </w:rPr>
              <w:t>6</w:t>
            </w:r>
            <w:r>
              <w:rPr>
                <w:rFonts w:hint="eastAsia" w:ascii="宋体" w:hAnsi="宋体" w:cs="宋体"/>
                <w:sz w:val="24"/>
                <w:highlight w:val="none"/>
              </w:rPr>
              <w:t>。</w:t>
            </w:r>
            <w:bookmarkStart w:id="6" w:name="_Toc297529140"/>
            <w:bookmarkStart w:id="7" w:name="_Toc306009135"/>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⑵评价方法</w:t>
            </w:r>
            <w:bookmarkEnd w:id="6"/>
            <w:bookmarkEnd w:id="7"/>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直接比较法。</w:t>
            </w:r>
            <w:bookmarkStart w:id="8" w:name="_Toc306009136"/>
            <w:bookmarkStart w:id="9" w:name="_Toc297529141"/>
            <w:bookmarkStart w:id="10" w:name="_Toc273345292"/>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⑶监测单位及监测时间</w:t>
            </w:r>
          </w:p>
          <w:p>
            <w:pPr>
              <w:pStyle w:val="68"/>
              <w:spacing w:line="360" w:lineRule="auto"/>
              <w:ind w:firstLine="480"/>
              <w:rPr>
                <w:rFonts w:hint="eastAsia" w:hAnsi="宋体"/>
                <w:color w:val="auto"/>
                <w:sz w:val="24"/>
                <w:highlight w:val="none"/>
              </w:rPr>
            </w:pPr>
            <w:r>
              <w:rPr>
                <w:rFonts w:hint="eastAsia" w:hAnsi="宋体"/>
                <w:color w:val="auto"/>
                <w:sz w:val="24"/>
                <w:highlight w:val="none"/>
              </w:rPr>
              <w:t>于202</w:t>
            </w:r>
            <w:r>
              <w:rPr>
                <w:rFonts w:hint="eastAsia" w:hAnsi="宋体"/>
                <w:color w:val="auto"/>
                <w:sz w:val="24"/>
                <w:highlight w:val="none"/>
                <w:lang w:val="en-US" w:eastAsia="zh-CN"/>
              </w:rPr>
              <w:t>3</w:t>
            </w:r>
            <w:r>
              <w:rPr>
                <w:rFonts w:hint="eastAsia" w:hAnsi="宋体"/>
                <w:color w:val="auto"/>
                <w:sz w:val="24"/>
                <w:highlight w:val="none"/>
              </w:rPr>
              <w:t>年</w:t>
            </w:r>
            <w:r>
              <w:rPr>
                <w:rFonts w:hint="eastAsia" w:hAnsi="宋体"/>
                <w:color w:val="auto"/>
                <w:sz w:val="24"/>
                <w:highlight w:val="none"/>
                <w:lang w:val="en-US" w:eastAsia="zh-CN"/>
              </w:rPr>
              <w:t>9</w:t>
            </w:r>
            <w:r>
              <w:rPr>
                <w:rFonts w:hint="eastAsia" w:hAnsi="宋体"/>
                <w:color w:val="auto"/>
                <w:sz w:val="24"/>
                <w:highlight w:val="none"/>
              </w:rPr>
              <w:t>月</w:t>
            </w:r>
            <w:r>
              <w:rPr>
                <w:rFonts w:hint="eastAsia" w:hAnsi="宋体"/>
                <w:color w:val="auto"/>
                <w:sz w:val="24"/>
                <w:highlight w:val="none"/>
                <w:lang w:val="en-US" w:eastAsia="zh-CN"/>
              </w:rPr>
              <w:t>23</w:t>
            </w:r>
            <w:r>
              <w:rPr>
                <w:rFonts w:hint="eastAsia" w:hAnsi="宋体"/>
                <w:color w:val="auto"/>
                <w:sz w:val="24"/>
                <w:highlight w:val="none"/>
              </w:rPr>
              <w:t>日由吉林省恒欣环境监测有限公司进行监测。</w:t>
            </w:r>
          </w:p>
          <w:p>
            <w:pPr>
              <w:numPr>
                <w:ilvl w:val="0"/>
                <w:numId w:val="0"/>
              </w:numPr>
              <w:spacing w:line="360" w:lineRule="auto"/>
              <w:ind w:left="842" w:leftChars="0" w:hanging="360" w:firstLineChars="0"/>
              <w:rPr>
                <w:rFonts w:hint="eastAsia" w:ascii="宋体" w:hAnsi="宋体" w:cs="宋体"/>
                <w:sz w:val="24"/>
                <w:highlight w:val="none"/>
              </w:rPr>
            </w:pPr>
            <w:r>
              <w:rPr>
                <w:rFonts w:hint="default" w:ascii="宋体" w:hAnsi="宋体" w:cs="宋体"/>
                <w:kern w:val="2"/>
                <w:sz w:val="24"/>
                <w:szCs w:val="24"/>
                <w:lang w:val="en-US" w:eastAsia="zh-CN" w:bidi="ar-SA"/>
              </w:rPr>
              <w:t>⑶</w:t>
            </w:r>
            <w:r>
              <w:rPr>
                <w:rFonts w:hint="eastAsia" w:ascii="宋体" w:hAnsi="宋体" w:cs="宋体"/>
                <w:sz w:val="24"/>
                <w:highlight w:val="none"/>
              </w:rPr>
              <w:t>监测结果及评价</w:t>
            </w:r>
            <w:bookmarkEnd w:id="8"/>
            <w:bookmarkEnd w:id="9"/>
            <w:bookmarkEnd w:id="10"/>
          </w:p>
          <w:p>
            <w:pPr>
              <w:tabs>
                <w:tab w:val="left" w:pos="2880"/>
              </w:tabs>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监测结果见表3-5。</w:t>
            </w:r>
          </w:p>
          <w:p>
            <w:pPr>
              <w:tabs>
                <w:tab w:val="left" w:pos="2880"/>
              </w:tabs>
              <w:ind w:firstLine="480" w:firstLineChars="200"/>
              <w:rPr>
                <w:rFonts w:hint="eastAsia" w:ascii="宋体" w:hAnsi="宋体" w:cs="宋体"/>
                <w:b/>
                <w:bCs/>
                <w:snapToGrid w:val="0"/>
                <w:szCs w:val="21"/>
                <w:highlight w:val="none"/>
              </w:rPr>
            </w:pPr>
            <w:r>
              <w:rPr>
                <w:rFonts w:ascii="宋体" w:hAnsi="宋体" w:cs="宋体"/>
                <w:sz w:val="24"/>
                <w:szCs w:val="20"/>
                <w:highlight w:val="none"/>
              </w:rPr>
              <w:tab/>
            </w:r>
            <w:r>
              <w:rPr>
                <w:rFonts w:hint="eastAsia" w:ascii="宋体" w:hAnsi="宋体" w:cs="宋体"/>
                <w:b/>
                <w:bCs/>
                <w:snapToGrid w:val="0"/>
                <w:kern w:val="0"/>
                <w:szCs w:val="21"/>
                <w:highlight w:val="none"/>
                <w:u w:val="single"/>
              </w:rPr>
              <w:t xml:space="preserve">表3-5  噪声监测结果   </w:t>
            </w:r>
            <w:r>
              <w:rPr>
                <w:rFonts w:hint="eastAsia" w:ascii="宋体" w:hAnsi="宋体" w:cs="宋体"/>
                <w:b/>
                <w:bCs/>
                <w:snapToGrid w:val="0"/>
                <w:szCs w:val="21"/>
                <w:highlight w:val="none"/>
                <w:u w:val="single"/>
              </w:rPr>
              <w:t>单位：dB(A)</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2461"/>
              <w:gridCol w:w="777"/>
              <w:gridCol w:w="1261"/>
              <w:gridCol w:w="1261"/>
              <w:gridCol w:w="1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0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监测点位</w:t>
                  </w:r>
                </w:p>
              </w:tc>
              <w:tc>
                <w:tcPr>
                  <w:tcW w:w="152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相对位置</w:t>
                  </w:r>
                </w:p>
              </w:tc>
              <w:tc>
                <w:tcPr>
                  <w:tcW w:w="48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昼间</w:t>
                  </w:r>
                </w:p>
              </w:tc>
              <w:tc>
                <w:tcPr>
                  <w:tcW w:w="779"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标准（昼间）</w:t>
                  </w:r>
                </w:p>
              </w:tc>
              <w:tc>
                <w:tcPr>
                  <w:tcW w:w="779"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夜间</w:t>
                  </w:r>
                </w:p>
              </w:tc>
              <w:tc>
                <w:tcPr>
                  <w:tcW w:w="83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标准（夜间）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0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52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东侧边界1m处</w:t>
                  </w:r>
                </w:p>
              </w:tc>
              <w:tc>
                <w:tcPr>
                  <w:tcW w:w="777"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51.6</w:t>
                  </w:r>
                </w:p>
              </w:tc>
              <w:tc>
                <w:tcPr>
                  <w:tcW w:w="779"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55</w:t>
                  </w:r>
                </w:p>
              </w:tc>
              <w:tc>
                <w:tcPr>
                  <w:tcW w:w="1261"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38.7</w:t>
                  </w:r>
                </w:p>
              </w:tc>
              <w:tc>
                <w:tcPr>
                  <w:tcW w:w="83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52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南侧边界1m处</w:t>
                  </w:r>
                </w:p>
              </w:tc>
              <w:tc>
                <w:tcPr>
                  <w:tcW w:w="777"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50.0</w:t>
                  </w:r>
                </w:p>
              </w:tc>
              <w:tc>
                <w:tcPr>
                  <w:tcW w:w="779" w:type="pct"/>
                  <w:noWrap w:val="0"/>
                  <w:vAlign w:val="center"/>
                </w:tcPr>
                <w:p>
                  <w:pPr>
                    <w:pStyle w:val="57"/>
                    <w:rPr>
                      <w:rFonts w:ascii="宋体" w:hAnsi="宋体" w:eastAsia="宋体" w:cs="宋体"/>
                      <w:sz w:val="21"/>
                      <w:szCs w:val="21"/>
                      <w:highlight w:val="none"/>
                    </w:rPr>
                  </w:pPr>
                  <w:r>
                    <w:rPr>
                      <w:rFonts w:hint="eastAsia" w:ascii="宋体" w:hAnsi="宋体" w:eastAsia="宋体" w:cs="宋体"/>
                      <w:sz w:val="21"/>
                      <w:szCs w:val="21"/>
                      <w:highlight w:val="none"/>
                    </w:rPr>
                    <w:t>55</w:t>
                  </w:r>
                </w:p>
              </w:tc>
              <w:tc>
                <w:tcPr>
                  <w:tcW w:w="1261"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38.1</w:t>
                  </w:r>
                </w:p>
              </w:tc>
              <w:tc>
                <w:tcPr>
                  <w:tcW w:w="835" w:type="pct"/>
                  <w:noWrap w:val="0"/>
                  <w:vAlign w:val="center"/>
                </w:tcPr>
                <w:p>
                  <w:pPr>
                    <w:jc w:val="center"/>
                    <w:rPr>
                      <w:rFonts w:ascii="宋体" w:hAnsi="宋体" w:cs="宋体"/>
                      <w:szCs w:val="21"/>
                      <w:highlight w:val="none"/>
                    </w:rPr>
                  </w:pPr>
                  <w:r>
                    <w:rPr>
                      <w:rFonts w:hint="eastAsia" w:ascii="宋体" w:hAnsi="宋体" w:cs="宋体"/>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0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52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西侧边界1m处</w:t>
                  </w:r>
                </w:p>
              </w:tc>
              <w:tc>
                <w:tcPr>
                  <w:tcW w:w="777"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54.0</w:t>
                  </w:r>
                </w:p>
              </w:tc>
              <w:tc>
                <w:tcPr>
                  <w:tcW w:w="779"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55</w:t>
                  </w:r>
                </w:p>
              </w:tc>
              <w:tc>
                <w:tcPr>
                  <w:tcW w:w="1261"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39.3</w:t>
                  </w:r>
                </w:p>
              </w:tc>
              <w:tc>
                <w:tcPr>
                  <w:tcW w:w="835"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05"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520"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北侧边界1m处</w:t>
                  </w:r>
                </w:p>
              </w:tc>
              <w:tc>
                <w:tcPr>
                  <w:tcW w:w="777"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53.8</w:t>
                  </w:r>
                </w:p>
              </w:tc>
              <w:tc>
                <w:tcPr>
                  <w:tcW w:w="779" w:type="pct"/>
                  <w:noWrap w:val="0"/>
                  <w:vAlign w:val="center"/>
                </w:tcPr>
                <w:p>
                  <w:pPr>
                    <w:pStyle w:val="57"/>
                    <w:rPr>
                      <w:rFonts w:hint="eastAsia" w:ascii="宋体" w:hAnsi="宋体" w:eastAsia="宋体" w:cs="宋体"/>
                      <w:sz w:val="21"/>
                      <w:szCs w:val="21"/>
                      <w:highlight w:val="none"/>
                    </w:rPr>
                  </w:pPr>
                  <w:r>
                    <w:rPr>
                      <w:rFonts w:hint="eastAsia" w:ascii="宋体" w:hAnsi="宋体" w:eastAsia="宋体" w:cs="宋体"/>
                      <w:sz w:val="21"/>
                      <w:szCs w:val="21"/>
                      <w:highlight w:val="none"/>
                    </w:rPr>
                    <w:t>55</w:t>
                  </w:r>
                </w:p>
              </w:tc>
              <w:tc>
                <w:tcPr>
                  <w:tcW w:w="1261" w:type="dxa"/>
                  <w:noWrap w:val="0"/>
                  <w:vAlign w:val="center"/>
                </w:tcPr>
                <w:p>
                  <w:pPr>
                    <w:jc w:val="center"/>
                    <w:rPr>
                      <w:rFonts w:ascii="宋体" w:hAnsi="宋体" w:cs="宋体"/>
                      <w:szCs w:val="21"/>
                      <w:highlight w:val="yellow"/>
                    </w:rPr>
                  </w:pPr>
                  <w:r>
                    <w:rPr>
                      <w:rFonts w:hint="eastAsia" w:ascii="宋体" w:hAnsi="宋体" w:eastAsia="宋体"/>
                      <w:szCs w:val="21"/>
                      <w:lang w:val="en-US" w:eastAsia="zh-CN"/>
                    </w:rPr>
                    <w:t>40.0</w:t>
                  </w:r>
                </w:p>
              </w:tc>
              <w:tc>
                <w:tcPr>
                  <w:tcW w:w="835"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45</w:t>
                  </w:r>
                </w:p>
              </w:tc>
            </w:tr>
          </w:tbl>
          <w:p>
            <w:pPr>
              <w:spacing w:line="360" w:lineRule="auto"/>
              <w:ind w:firstLine="480" w:firstLineChars="200"/>
              <w:rPr>
                <w:rFonts w:hint="eastAsia" w:ascii="宋体" w:hAnsi="宋体" w:cs="宋体"/>
                <w:sz w:val="24"/>
                <w:szCs w:val="20"/>
                <w:highlight w:val="yellow"/>
              </w:rPr>
            </w:pPr>
          </w:p>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由表3-5可知，厂界四侧边界昼间环境噪声级范围在</w:t>
            </w:r>
            <w:r>
              <w:rPr>
                <w:rFonts w:hint="eastAsia" w:ascii="宋体" w:hAnsi="宋体" w:cs="宋体"/>
                <w:sz w:val="24"/>
                <w:highlight w:val="none"/>
                <w:lang w:val="en-US" w:eastAsia="zh-CN"/>
              </w:rPr>
              <w:t>50.0-54.0</w:t>
            </w:r>
            <w:r>
              <w:rPr>
                <w:rFonts w:hint="eastAsia" w:ascii="宋体" w:hAnsi="宋体" w:cs="宋体"/>
                <w:sz w:val="24"/>
                <w:highlight w:val="none"/>
              </w:rPr>
              <w:t>(A)之间；夜间环境噪声级范围在</w:t>
            </w:r>
            <w:r>
              <w:rPr>
                <w:rFonts w:hint="eastAsia" w:ascii="宋体" w:hAnsi="宋体" w:cs="宋体"/>
                <w:sz w:val="24"/>
                <w:highlight w:val="none"/>
                <w:lang w:val="en-US" w:eastAsia="zh-CN"/>
              </w:rPr>
              <w:t>38.1-40.0</w:t>
            </w:r>
            <w:r>
              <w:rPr>
                <w:rFonts w:hint="eastAsia" w:ascii="宋体" w:hAnsi="宋体" w:cs="宋体"/>
                <w:sz w:val="24"/>
                <w:highlight w:val="none"/>
              </w:rPr>
              <w:t>dB(A)之间，昼间及夜间监测结果均满足《工业企业厂界环境噪声排放标准》（GB12348-2008）中1类区标准要求，本项目区域声环境质量较好。</w:t>
            </w:r>
          </w:p>
          <w:p>
            <w:pPr>
              <w:spacing w:line="360" w:lineRule="auto"/>
              <w:ind w:firstLine="472" w:firstLineChars="196"/>
              <w:rPr>
                <w:rFonts w:hint="eastAsia" w:ascii="宋体" w:hAnsi="宋体" w:cs="宋体"/>
                <w:sz w:val="24"/>
                <w:highlight w:val="none"/>
              </w:rPr>
            </w:pPr>
            <w:r>
              <w:rPr>
                <w:rFonts w:hint="eastAsia" w:ascii="宋体" w:hAnsi="宋体" w:cs="宋体"/>
                <w:b/>
                <w:bCs/>
                <w:sz w:val="24"/>
                <w:highlight w:val="none"/>
              </w:rPr>
              <w:t>4、土壤环境质量监测与评价</w:t>
            </w:r>
          </w:p>
          <w:p>
            <w:pPr>
              <w:spacing w:line="360" w:lineRule="auto"/>
              <w:ind w:firstLine="470" w:firstLineChars="196"/>
              <w:rPr>
                <w:rFonts w:hint="eastAsia" w:ascii="宋体" w:hAnsi="宋体" w:cs="宋体"/>
                <w:sz w:val="24"/>
                <w:highlight w:val="none"/>
              </w:rPr>
            </w:pPr>
            <w:r>
              <w:rPr>
                <w:rFonts w:hint="eastAsia" w:ascii="宋体" w:hAnsi="宋体" w:cs="宋体"/>
                <w:bCs/>
                <w:sz w:val="24"/>
                <w:highlight w:val="none"/>
              </w:rPr>
              <w:t>根据《环境影响评价技术导则土壤环境（试行）》（HJ964-2018）表A.1土壤环境影响评价项目类别，本项目属于“电力热力燃气及水生产和供应业（其他）”，为Ⅳ类项目，本项目可不开展土壤环境影响评价工作，故未进行土壤环境质量现状监测。</w:t>
            </w:r>
          </w:p>
          <w:p>
            <w:pPr>
              <w:spacing w:line="360" w:lineRule="auto"/>
              <w:ind w:firstLine="472" w:firstLineChars="196"/>
              <w:rPr>
                <w:rFonts w:hint="eastAsia" w:ascii="宋体" w:hAnsi="宋体" w:cs="宋体"/>
                <w:sz w:val="24"/>
                <w:highlight w:val="none"/>
              </w:rPr>
            </w:pPr>
            <w:r>
              <w:rPr>
                <w:rFonts w:hint="eastAsia" w:ascii="宋体" w:hAnsi="宋体" w:cs="宋体"/>
                <w:b/>
                <w:bCs/>
                <w:sz w:val="24"/>
                <w:highlight w:val="none"/>
              </w:rPr>
              <w:t>5、地下水环境质量监测与评价</w:t>
            </w:r>
          </w:p>
          <w:p>
            <w:pPr>
              <w:widowControl/>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 xml:space="preserve">根据《环境影响评价技术导则-地下水环境》（HJ 610-2016）总则中，一般性原则：根据建设项目对地下水环境影响的程度，结合《建设项目环境影响评价分类管理名录》将建设项目分为四类，详见附录A。Ⅰ类、Ⅱ类、Ⅲ类建设项目的地下水环境影响评价应执行本标准，Ⅳ类建设项目不开展地下水环境影响评价。 </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本项目属于附录 A 中“热力生产和供应工程（其他）”，环评类型为报告表，地下水环境影响评价项目类别为Ⅳ类，不需要开展地下水环境影响评价，故未进行地下水环境质量现状监测。</w:t>
            </w:r>
          </w:p>
          <w:p>
            <w:pPr>
              <w:spacing w:line="360" w:lineRule="auto"/>
              <w:ind w:firstLine="472" w:firstLineChars="196"/>
              <w:rPr>
                <w:rFonts w:hint="eastAsia" w:ascii="宋体" w:hAnsi="宋体" w:cs="宋体"/>
                <w:sz w:val="24"/>
                <w:highlight w:val="none"/>
              </w:rPr>
            </w:pPr>
            <w:r>
              <w:rPr>
                <w:rFonts w:hint="eastAsia" w:ascii="宋体" w:hAnsi="宋体" w:cs="宋体"/>
                <w:b/>
                <w:bCs/>
                <w:sz w:val="24"/>
                <w:highlight w:val="none"/>
              </w:rPr>
              <w:t>6、生态环境现状</w:t>
            </w:r>
          </w:p>
          <w:p>
            <w:pPr>
              <w:widowControl/>
              <w:spacing w:line="360" w:lineRule="auto"/>
              <w:ind w:firstLine="480" w:firstLineChars="200"/>
              <w:jc w:val="left"/>
              <w:rPr>
                <w:highlight w:val="yellow"/>
              </w:rPr>
            </w:pPr>
            <w:r>
              <w:rPr>
                <w:rFonts w:hint="eastAsia" w:ascii="宋体" w:hAnsi="宋体" w:cs="宋体"/>
                <w:bCs/>
                <w:sz w:val="24"/>
                <w:highlight w:val="none"/>
              </w:rPr>
              <w:t>项目所在区域内主要是林地，农作物较少。区内已不见大型野生动物，仅可见一些常见小型野生动物及鸟类。经调查，项目所在地无自然保护区、风景名胜区、森林公园、天然湿地等特殊保护区及重要生态系统等，无珍稀濒危物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751" w:type="dxa"/>
            <w:noWrap w:val="0"/>
            <w:vAlign w:val="center"/>
          </w:tcPr>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保护</w:t>
            </w:r>
          </w:p>
          <w:p>
            <w:pPr>
              <w:adjustRightInd w:val="0"/>
              <w:snapToGrid w:val="0"/>
              <w:jc w:val="center"/>
              <w:rPr>
                <w:kern w:val="0"/>
                <w:szCs w:val="21"/>
                <w:highlight w:val="yellow"/>
              </w:rPr>
            </w:pPr>
            <w:r>
              <w:rPr>
                <w:kern w:val="0"/>
                <w:sz w:val="24"/>
                <w:highlight w:val="none"/>
              </w:rPr>
              <w:t>目标</w:t>
            </w:r>
          </w:p>
        </w:tc>
        <w:tc>
          <w:tcPr>
            <w:tcW w:w="8310" w:type="dxa"/>
            <w:noWrap w:val="0"/>
            <w:vAlign w:val="center"/>
          </w:tcPr>
          <w:p>
            <w:pPr>
              <w:pStyle w:val="68"/>
              <w:adjustRightInd w:val="0"/>
              <w:snapToGrid w:val="0"/>
              <w:spacing w:line="360" w:lineRule="auto"/>
              <w:ind w:firstLine="480"/>
              <w:rPr>
                <w:rFonts w:ascii="Times New Roman" w:cs="Times New Roman"/>
                <w:color w:val="auto"/>
                <w:kern w:val="0"/>
                <w:sz w:val="24"/>
                <w:highlight w:val="none"/>
                <w:u w:val="none"/>
              </w:rPr>
            </w:pPr>
            <w:r>
              <w:rPr>
                <w:rFonts w:ascii="Times New Roman" w:cs="Times New Roman"/>
                <w:color w:val="auto"/>
                <w:kern w:val="0"/>
                <w:sz w:val="24"/>
                <w:highlight w:val="none"/>
                <w:u w:val="none"/>
              </w:rPr>
              <w:t>1、大气环境</w:t>
            </w:r>
          </w:p>
          <w:p>
            <w:pPr>
              <w:pStyle w:val="68"/>
              <w:spacing w:line="360" w:lineRule="auto"/>
              <w:ind w:firstLine="480"/>
              <w:rPr>
                <w:rFonts w:ascii="Times New Roman" w:cs="Times New Roman"/>
                <w:color w:val="auto"/>
                <w:sz w:val="24"/>
                <w:highlight w:val="yellow"/>
                <w:u w:val="single"/>
              </w:rPr>
            </w:pPr>
            <w:r>
              <w:rPr>
                <w:rFonts w:ascii="Times New Roman" w:cs="Times New Roman"/>
                <w:color w:val="auto"/>
                <w:kern w:val="0"/>
                <w:sz w:val="24"/>
                <w:highlight w:val="none"/>
                <w:u w:val="none"/>
              </w:rPr>
              <w:t>根据《建设项目环境影响报告表编制技术指南（污染影响类）（试行）》，</w:t>
            </w:r>
            <w:r>
              <w:rPr>
                <w:rFonts w:ascii="Times New Roman" w:cs="Times New Roman"/>
                <w:color w:val="auto"/>
                <w:sz w:val="24"/>
                <w:highlight w:val="none"/>
                <w:u w:val="none"/>
              </w:rPr>
              <w:t>环境空气保护目标是指厂界500m范围</w:t>
            </w:r>
            <w:r>
              <w:rPr>
                <w:rFonts w:hint="eastAsia" w:ascii="Times New Roman" w:cs="Times New Roman"/>
                <w:color w:val="auto"/>
                <w:sz w:val="24"/>
                <w:highlight w:val="none"/>
                <w:u w:val="none"/>
                <w:lang w:eastAsia="zh-CN"/>
              </w:rPr>
              <w:t>。</w:t>
            </w:r>
            <w:r>
              <w:rPr>
                <w:rFonts w:hint="eastAsia" w:ascii="Times New Roman" w:cs="Times New Roman"/>
                <w:color w:val="auto"/>
                <w:sz w:val="24"/>
                <w:highlight w:val="none"/>
                <w:u w:val="none"/>
                <w:lang w:val="en-US" w:eastAsia="zh-CN"/>
              </w:rPr>
              <w:t>经现场踏查，本项目厂界</w:t>
            </w:r>
            <w:r>
              <w:rPr>
                <w:rFonts w:ascii="Times New Roman" w:cs="Times New Roman"/>
                <w:color w:val="auto"/>
                <w:sz w:val="24"/>
                <w:highlight w:val="none"/>
                <w:u w:val="none"/>
              </w:rPr>
              <w:t>500m范围</w:t>
            </w:r>
            <w:r>
              <w:rPr>
                <w:rFonts w:hint="eastAsia" w:ascii="Times New Roman" w:cs="Times New Roman"/>
                <w:color w:val="auto"/>
                <w:sz w:val="24"/>
                <w:highlight w:val="none"/>
                <w:u w:val="none"/>
                <w:lang w:val="en-US" w:eastAsia="zh-CN"/>
              </w:rPr>
              <w:t>内无环境</w:t>
            </w:r>
            <w:r>
              <w:rPr>
                <w:rFonts w:ascii="Times New Roman" w:cs="Times New Roman"/>
                <w:color w:val="auto"/>
                <w:sz w:val="24"/>
                <w:highlight w:val="none"/>
                <w:u w:val="none"/>
              </w:rPr>
              <w:t>敏感点。</w:t>
            </w:r>
          </w:p>
          <w:p>
            <w:pPr>
              <w:pStyle w:val="68"/>
              <w:adjustRightInd w:val="0"/>
              <w:snapToGrid w:val="0"/>
              <w:spacing w:line="360" w:lineRule="auto"/>
              <w:ind w:firstLine="480"/>
              <w:rPr>
                <w:rFonts w:ascii="Times New Roman" w:cs="Times New Roman"/>
                <w:color w:val="auto"/>
                <w:kern w:val="0"/>
                <w:sz w:val="24"/>
                <w:highlight w:val="none"/>
                <w:u w:val="none"/>
              </w:rPr>
            </w:pPr>
            <w:r>
              <w:rPr>
                <w:rFonts w:hint="eastAsia" w:ascii="Times New Roman" w:cs="Times New Roman"/>
                <w:color w:val="auto"/>
                <w:kern w:val="0"/>
                <w:sz w:val="24"/>
                <w:highlight w:val="none"/>
                <w:u w:val="none"/>
              </w:rPr>
              <w:t>2、</w:t>
            </w:r>
            <w:r>
              <w:rPr>
                <w:rFonts w:ascii="Times New Roman" w:cs="Times New Roman"/>
                <w:color w:val="auto"/>
                <w:kern w:val="0"/>
                <w:sz w:val="24"/>
                <w:highlight w:val="none"/>
                <w:u w:val="none"/>
              </w:rPr>
              <w:t>声环境</w:t>
            </w:r>
          </w:p>
          <w:p>
            <w:pPr>
              <w:pStyle w:val="68"/>
              <w:spacing w:line="360" w:lineRule="auto"/>
              <w:ind w:firstLine="480"/>
              <w:rPr>
                <w:rFonts w:hint="eastAsia" w:ascii="Times New Roman" w:cs="Times New Roman"/>
                <w:color w:val="auto"/>
                <w:kern w:val="0"/>
                <w:sz w:val="24"/>
                <w:highlight w:val="none"/>
                <w:u w:val="none"/>
              </w:rPr>
            </w:pPr>
            <w:r>
              <w:rPr>
                <w:rFonts w:hint="eastAsia" w:ascii="Times New Roman" w:cs="Times New Roman"/>
                <w:color w:val="auto"/>
                <w:kern w:val="0"/>
                <w:sz w:val="24"/>
                <w:highlight w:val="none"/>
                <w:u w:val="none"/>
              </w:rPr>
              <w:t>项目厂界外50m范围内</w:t>
            </w:r>
            <w:r>
              <w:rPr>
                <w:rFonts w:hint="eastAsia" w:ascii="Times New Roman" w:cs="Times New Roman"/>
                <w:color w:val="auto"/>
                <w:kern w:val="0"/>
                <w:sz w:val="24"/>
                <w:highlight w:val="none"/>
                <w:u w:val="none"/>
                <w:lang w:val="en-US" w:eastAsia="zh-CN"/>
              </w:rPr>
              <w:t>无</w:t>
            </w:r>
            <w:r>
              <w:rPr>
                <w:rFonts w:hint="eastAsia" w:ascii="Times New Roman" w:cs="Times New Roman"/>
                <w:color w:val="auto"/>
                <w:kern w:val="0"/>
                <w:sz w:val="24"/>
                <w:highlight w:val="none"/>
                <w:u w:val="none"/>
              </w:rPr>
              <w:t>声环境敏感点。</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3、地下水环境：本项目厂界周围 500m 范围内不存在地下水集中式饮用水水源和热水、矿泉水、温泉等特殊地下水资源。 </w:t>
            </w:r>
          </w:p>
          <w:p>
            <w:pPr>
              <w:adjustRightInd w:val="0"/>
              <w:snapToGrid w:val="0"/>
              <w:spacing w:line="360" w:lineRule="auto"/>
              <w:ind w:firstLine="480" w:firstLineChars="200"/>
              <w:jc w:val="left"/>
              <w:rPr>
                <w:rFonts w:ascii="宋体" w:hAnsi="宋体" w:cs="宋体"/>
                <w:sz w:val="24"/>
                <w:highlight w:val="yellow"/>
              </w:rPr>
            </w:pPr>
            <w:r>
              <w:rPr>
                <w:rFonts w:hint="eastAsia" w:ascii="宋体" w:hAnsi="宋体" w:cs="宋体"/>
                <w:sz w:val="24"/>
                <w:highlight w:val="none"/>
              </w:rPr>
              <w:t>4、生态环境：本项目占地范围内无生态保护目标。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51" w:type="dxa"/>
            <w:noWrap w:val="0"/>
            <w:tcMar>
              <w:left w:w="28" w:type="dxa"/>
              <w:right w:w="28" w:type="dxa"/>
            </w:tcMar>
            <w:vAlign w:val="center"/>
          </w:tcPr>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污染</w:t>
            </w: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物排</w:t>
            </w: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放控</w:t>
            </w: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制标</w:t>
            </w: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准</w:t>
            </w: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adjustRightInd w:val="0"/>
              <w:snapToGrid w:val="0"/>
              <w:jc w:val="center"/>
              <w:rPr>
                <w:rFonts w:hint="eastAsia" w:ascii="宋体" w:hAnsi="宋体" w:cs="宋体"/>
                <w:kern w:val="0"/>
                <w:sz w:val="24"/>
                <w:highlight w:val="yellow"/>
              </w:rPr>
            </w:pPr>
          </w:p>
          <w:p>
            <w:pPr>
              <w:pStyle w:val="22"/>
              <w:rPr>
                <w:rFonts w:hint="eastAsia" w:ascii="宋体" w:hAnsi="宋体" w:cs="宋体"/>
                <w:sz w:val="24"/>
                <w:szCs w:val="24"/>
                <w:highlight w:val="yellow"/>
              </w:rPr>
            </w:pPr>
          </w:p>
          <w:p>
            <w:pPr>
              <w:pStyle w:val="40"/>
              <w:rPr>
                <w:rFonts w:hint="eastAsia" w:ascii="宋体" w:hAnsi="宋体" w:eastAsia="宋体" w:cs="宋体"/>
                <w:color w:val="auto"/>
                <w:highlight w:val="yellow"/>
              </w:rPr>
            </w:pPr>
          </w:p>
          <w:p>
            <w:pPr>
              <w:pStyle w:val="40"/>
              <w:rPr>
                <w:rFonts w:hint="eastAsia" w:ascii="宋体" w:hAnsi="宋体" w:eastAsia="宋体" w:cs="宋体"/>
                <w:color w:val="auto"/>
                <w:highlight w:val="yellow"/>
              </w:rPr>
            </w:pPr>
          </w:p>
          <w:p>
            <w:pPr>
              <w:pStyle w:val="40"/>
              <w:rPr>
                <w:rFonts w:hint="eastAsia" w:ascii="宋体" w:hAnsi="宋体" w:eastAsia="宋体" w:cs="宋体"/>
                <w:color w:val="auto"/>
                <w:highlight w:val="yellow"/>
              </w:rPr>
            </w:pPr>
          </w:p>
          <w:p>
            <w:pPr>
              <w:pStyle w:val="40"/>
              <w:rPr>
                <w:rFonts w:hint="eastAsia" w:ascii="宋体" w:hAnsi="宋体" w:eastAsia="宋体" w:cs="宋体"/>
                <w:color w:val="auto"/>
                <w:highlight w:val="yellow"/>
              </w:rPr>
            </w:pPr>
          </w:p>
          <w:p>
            <w:pPr>
              <w:adjustRightInd w:val="0"/>
              <w:snapToGrid w:val="0"/>
              <w:rPr>
                <w:kern w:val="0"/>
                <w:szCs w:val="21"/>
                <w:highlight w:val="yellow"/>
              </w:rPr>
            </w:pPr>
          </w:p>
        </w:tc>
        <w:tc>
          <w:tcPr>
            <w:tcW w:w="8310" w:type="dxa"/>
            <w:noWrap w:val="0"/>
            <w:vAlign w:val="center"/>
          </w:tcPr>
          <w:p>
            <w:pPr>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bCs/>
                <w:kern w:val="0"/>
                <w:sz w:val="24"/>
                <w:highlight w:val="none"/>
              </w:rPr>
              <w:t>1、废气</w:t>
            </w:r>
          </w:p>
          <w:p>
            <w:pPr>
              <w:spacing w:line="360" w:lineRule="auto"/>
              <w:ind w:firstLine="480" w:firstLineChars="200"/>
              <w:rPr>
                <w:rFonts w:hint="eastAsia" w:ascii="宋体" w:hAnsi="宋体"/>
                <w:sz w:val="24"/>
                <w:highlight w:val="none"/>
              </w:rPr>
            </w:pPr>
            <w:r>
              <w:rPr>
                <w:rFonts w:hint="eastAsia" w:ascii="宋体" w:hAnsi="宋体"/>
                <w:sz w:val="24"/>
                <w:highlight w:val="none"/>
              </w:rPr>
              <w:t>根据《锅炉大气污染物排放标准》（GB13271-2014）中使用型煤、水煤浆、煤矸石、石油焦、油页岩、生物质成型燃料等的锅炉，参照本标准中燃煤锅炉排放控制要求执行。</w:t>
            </w:r>
          </w:p>
          <w:p>
            <w:pPr>
              <w:spacing w:line="360" w:lineRule="auto"/>
              <w:ind w:firstLine="480" w:firstLineChars="200"/>
              <w:rPr>
                <w:rFonts w:hint="eastAsia" w:ascii="宋体" w:hAnsi="宋体"/>
                <w:sz w:val="24"/>
                <w:highlight w:val="none"/>
              </w:rPr>
            </w:pPr>
            <w:r>
              <w:rPr>
                <w:rFonts w:hint="eastAsia" w:ascii="宋体" w:hAnsi="宋体"/>
                <w:sz w:val="24"/>
                <w:highlight w:val="none"/>
              </w:rPr>
              <w:t>本项目锅炉废气执行 GB13271-2014《锅炉大气污染物排放标准》中表 2 新建锅炉大气污染物排放浓度限值详见表3-</w:t>
            </w:r>
            <w:r>
              <w:rPr>
                <w:rFonts w:hint="eastAsia" w:ascii="宋体" w:hAnsi="宋体"/>
                <w:sz w:val="24"/>
                <w:highlight w:val="none"/>
                <w:lang w:val="en-US" w:eastAsia="zh-CN"/>
              </w:rPr>
              <w:t>6</w:t>
            </w:r>
            <w:r>
              <w:rPr>
                <w:rFonts w:hint="eastAsia" w:ascii="宋体" w:hAnsi="宋体"/>
                <w:sz w:val="24"/>
                <w:highlight w:val="none"/>
              </w:rPr>
              <w:t>。</w:t>
            </w:r>
          </w:p>
          <w:p>
            <w:pPr>
              <w:adjustRightInd w:val="0"/>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u w:val="single"/>
              </w:rPr>
              <w:t>表3-</w:t>
            </w:r>
            <w:r>
              <w:rPr>
                <w:rFonts w:hint="eastAsia" w:ascii="宋体" w:hAnsi="宋体" w:cs="宋体"/>
                <w:b/>
                <w:bCs/>
                <w:kern w:val="0"/>
                <w:szCs w:val="21"/>
                <w:highlight w:val="none"/>
                <w:u w:val="single"/>
                <w:lang w:val="en-US" w:eastAsia="zh-CN"/>
              </w:rPr>
              <w:t>6</w:t>
            </w:r>
            <w:r>
              <w:rPr>
                <w:rFonts w:hint="eastAsia" w:ascii="宋体" w:hAnsi="宋体" w:cs="宋体"/>
                <w:b/>
                <w:bCs/>
                <w:kern w:val="0"/>
                <w:szCs w:val="21"/>
                <w:highlight w:val="none"/>
                <w:u w:val="single"/>
              </w:rPr>
              <w:t xml:space="preserve">    </w:t>
            </w:r>
            <w:r>
              <w:rPr>
                <w:rFonts w:hint="eastAsia"/>
                <w:b/>
                <w:bCs/>
                <w:highlight w:val="none"/>
              </w:rPr>
              <w:t>锅炉废气大气污染物排放标准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2704"/>
              <w:gridCol w:w="3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污染物名称</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燃煤锅炉</w:t>
                  </w:r>
                </w:p>
              </w:tc>
              <w:tc>
                <w:tcPr>
                  <w:tcW w:w="2019"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烟尘</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50</w:t>
                  </w:r>
                </w:p>
              </w:tc>
              <w:tc>
                <w:tcPr>
                  <w:tcW w:w="2019" w:type="pct"/>
                  <w:vMerge w:val="restart"/>
                  <w:noWrap w:val="0"/>
                  <w:vAlign w:val="center"/>
                </w:tcPr>
                <w:p>
                  <w:pPr>
                    <w:adjustRightInd w:val="0"/>
                    <w:spacing w:line="312" w:lineRule="atLeast"/>
                    <w:ind w:firstLine="210" w:firstLineChars="100"/>
                    <w:jc w:val="center"/>
                    <w:textAlignment w:val="baseline"/>
                    <w:rPr>
                      <w:rFonts w:ascii="宋体" w:hAnsi="宋体" w:cs="宋体"/>
                      <w:szCs w:val="21"/>
                      <w:highlight w:val="none"/>
                    </w:rPr>
                  </w:pPr>
                  <w:r>
                    <w:rPr>
                      <w:rFonts w:hint="eastAsia" w:ascii="宋体" w:hAnsi="宋体" w:cs="宋体"/>
                      <w:szCs w:val="21"/>
                      <w:highlight w:val="none"/>
                    </w:rPr>
                    <w:t>《锅炉大气污染物排放标准》（GB13271-2014）表2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SO</w:t>
                  </w:r>
                  <w:r>
                    <w:rPr>
                      <w:rFonts w:hint="eastAsia" w:ascii="宋体" w:hAnsi="宋体" w:cs="宋体"/>
                      <w:bCs/>
                      <w:szCs w:val="21"/>
                      <w:highlight w:val="none"/>
                      <w:vertAlign w:val="subscript"/>
                    </w:rPr>
                    <w:t>2</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300</w:t>
                  </w:r>
                </w:p>
              </w:tc>
              <w:tc>
                <w:tcPr>
                  <w:tcW w:w="2019" w:type="pct"/>
                  <w:vMerge w:val="continue"/>
                  <w:noWrap w:val="0"/>
                  <w:vAlign w:val="center"/>
                </w:tcPr>
                <w:p>
                  <w:pPr>
                    <w:adjustRightInd w:val="0"/>
                    <w:spacing w:line="312" w:lineRule="atLeast"/>
                    <w:ind w:firstLine="210" w:firstLineChars="100"/>
                    <w:jc w:val="center"/>
                    <w:textAlignment w:val="baseline"/>
                    <w:rPr>
                      <w:rFonts w:ascii="宋体" w:hAnsi="宋体" w:cs="宋体"/>
                      <w:bCs/>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NO</w:t>
                  </w:r>
                  <w:r>
                    <w:rPr>
                      <w:rFonts w:hint="eastAsia" w:ascii="宋体" w:hAnsi="宋体" w:cs="宋体"/>
                      <w:bCs/>
                      <w:szCs w:val="21"/>
                      <w:highlight w:val="none"/>
                      <w:vertAlign w:val="subscript"/>
                    </w:rPr>
                    <w:t>x</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300</w:t>
                  </w:r>
                </w:p>
              </w:tc>
              <w:tc>
                <w:tcPr>
                  <w:tcW w:w="2019" w:type="pct"/>
                  <w:vMerge w:val="continue"/>
                  <w:noWrap w:val="0"/>
                  <w:vAlign w:val="center"/>
                </w:tcPr>
                <w:p>
                  <w:pPr>
                    <w:adjustRightInd w:val="0"/>
                    <w:spacing w:line="312" w:lineRule="atLeast"/>
                    <w:ind w:firstLine="210" w:firstLineChars="100"/>
                    <w:jc w:val="center"/>
                    <w:textAlignment w:val="baseline"/>
                    <w:rPr>
                      <w:rFonts w:ascii="宋体" w:hAnsi="宋体" w:cs="宋体"/>
                      <w:bCs/>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汞及其化合物</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0.05</w:t>
                  </w:r>
                </w:p>
              </w:tc>
              <w:tc>
                <w:tcPr>
                  <w:tcW w:w="2019" w:type="pct"/>
                  <w:vMerge w:val="continue"/>
                  <w:noWrap w:val="0"/>
                  <w:vAlign w:val="center"/>
                </w:tcPr>
                <w:p>
                  <w:pPr>
                    <w:adjustRightInd w:val="0"/>
                    <w:spacing w:line="312" w:lineRule="atLeast"/>
                    <w:ind w:firstLine="210" w:firstLineChars="100"/>
                    <w:jc w:val="center"/>
                    <w:textAlignment w:val="baseline"/>
                    <w:rPr>
                      <w:rFonts w:ascii="宋体" w:hAnsi="宋体" w:cs="宋体"/>
                      <w:bCs/>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林格曼黑度</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≤1</w:t>
                  </w:r>
                </w:p>
              </w:tc>
              <w:tc>
                <w:tcPr>
                  <w:tcW w:w="2019" w:type="pct"/>
                  <w:vMerge w:val="continue"/>
                  <w:noWrap w:val="0"/>
                  <w:vAlign w:val="center"/>
                </w:tcPr>
                <w:p>
                  <w:pPr>
                    <w:adjustRightInd w:val="0"/>
                    <w:spacing w:line="312" w:lineRule="atLeast"/>
                    <w:ind w:firstLine="210" w:firstLineChars="100"/>
                    <w:jc w:val="center"/>
                    <w:textAlignment w:val="baseline"/>
                    <w:rPr>
                      <w:rFonts w:ascii="宋体" w:hAnsi="宋体" w:cs="宋体"/>
                      <w:bCs/>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0" w:type="pct"/>
                  <w:noWrap w:val="0"/>
                  <w:vAlign w:val="center"/>
                </w:tcPr>
                <w:p>
                  <w:pPr>
                    <w:adjustRightInd w:val="0"/>
                    <w:spacing w:line="312" w:lineRule="atLeast"/>
                    <w:jc w:val="center"/>
                    <w:textAlignment w:val="baseline"/>
                    <w:rPr>
                      <w:rFonts w:ascii="宋体" w:hAnsi="宋体" w:cs="宋体"/>
                      <w:bCs/>
                      <w:szCs w:val="21"/>
                      <w:highlight w:val="none"/>
                    </w:rPr>
                  </w:pPr>
                  <w:r>
                    <w:rPr>
                      <w:rFonts w:hint="eastAsia" w:ascii="宋体" w:hAnsi="宋体" w:cs="宋体"/>
                      <w:bCs/>
                      <w:szCs w:val="21"/>
                      <w:highlight w:val="none"/>
                    </w:rPr>
                    <w:t>烟囱高度</w:t>
                  </w:r>
                </w:p>
              </w:tc>
              <w:tc>
                <w:tcPr>
                  <w:tcW w:w="1671" w:type="pct"/>
                  <w:noWrap w:val="0"/>
                  <w:vAlign w:val="center"/>
                </w:tcPr>
                <w:p>
                  <w:pPr>
                    <w:adjustRightInd w:val="0"/>
                    <w:spacing w:line="312" w:lineRule="atLeast"/>
                    <w:ind w:firstLine="482"/>
                    <w:jc w:val="center"/>
                    <w:textAlignment w:val="baseline"/>
                    <w:rPr>
                      <w:rFonts w:ascii="宋体" w:hAnsi="宋体" w:cs="宋体"/>
                      <w:bCs/>
                      <w:szCs w:val="21"/>
                      <w:highlight w:val="none"/>
                    </w:rPr>
                  </w:pPr>
                  <w:r>
                    <w:rPr>
                      <w:rFonts w:hint="eastAsia" w:ascii="宋体" w:hAnsi="宋体" w:cs="宋体"/>
                      <w:bCs/>
                      <w:szCs w:val="21"/>
                      <w:highlight w:val="none"/>
                    </w:rPr>
                    <w:t>不低于</w:t>
                  </w:r>
                  <w:r>
                    <w:rPr>
                      <w:rFonts w:hint="eastAsia" w:ascii="宋体" w:hAnsi="宋体" w:cs="宋体"/>
                      <w:bCs/>
                      <w:szCs w:val="21"/>
                      <w:highlight w:val="none"/>
                      <w:lang w:val="en-US" w:eastAsia="zh-CN"/>
                    </w:rPr>
                    <w:t>35</w:t>
                  </w:r>
                  <w:r>
                    <w:rPr>
                      <w:rFonts w:hint="eastAsia" w:ascii="宋体" w:hAnsi="宋体" w:cs="宋体"/>
                      <w:bCs/>
                      <w:szCs w:val="21"/>
                      <w:highlight w:val="none"/>
                    </w:rPr>
                    <w:t>m</w:t>
                  </w:r>
                </w:p>
              </w:tc>
              <w:tc>
                <w:tcPr>
                  <w:tcW w:w="2019" w:type="pct"/>
                  <w:vMerge w:val="continue"/>
                  <w:noWrap w:val="0"/>
                  <w:vAlign w:val="center"/>
                </w:tcPr>
                <w:p>
                  <w:pPr>
                    <w:adjustRightInd w:val="0"/>
                    <w:spacing w:line="312" w:lineRule="atLeast"/>
                    <w:ind w:firstLine="210" w:firstLineChars="100"/>
                    <w:jc w:val="center"/>
                    <w:textAlignment w:val="baseline"/>
                    <w:rPr>
                      <w:rFonts w:ascii="宋体" w:hAnsi="宋体" w:cs="宋体"/>
                      <w:bCs/>
                      <w:szCs w:val="21"/>
                      <w:highlight w:val="none"/>
                    </w:rPr>
                  </w:pPr>
                </w:p>
              </w:tc>
            </w:tr>
          </w:tbl>
          <w:p>
            <w:pPr>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bCs/>
                <w:kern w:val="0"/>
                <w:sz w:val="24"/>
                <w:highlight w:val="none"/>
              </w:rPr>
              <w:t>2、噪声</w:t>
            </w:r>
          </w:p>
          <w:p>
            <w:pPr>
              <w:adjustRightInd w:val="0"/>
              <w:snapToGrid w:val="0"/>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highlight w:val="none"/>
              </w:rPr>
              <w:t>本项目建筑施工期间噪声执行</w:t>
            </w:r>
            <w:r>
              <w:rPr>
                <w:rFonts w:hint="eastAsia" w:ascii="宋体" w:hAnsi="宋体" w:cs="宋体"/>
                <w:spacing w:val="-20"/>
                <w:kern w:val="0"/>
                <w:sz w:val="24"/>
                <w:highlight w:val="none"/>
              </w:rPr>
              <w:t>《建筑施工场界环境噪声排放标准》（</w:t>
            </w:r>
            <w:r>
              <w:rPr>
                <w:rFonts w:ascii="宋体" w:hAnsi="宋体" w:cs="宋体"/>
                <w:spacing w:val="-20"/>
                <w:kern w:val="0"/>
                <w:sz w:val="24"/>
                <w:highlight w:val="none"/>
              </w:rPr>
              <w:t>GB12523-2011</w:t>
            </w:r>
            <w:r>
              <w:rPr>
                <w:rFonts w:hint="eastAsia" w:ascii="宋体" w:hAnsi="宋体" w:cs="宋体"/>
                <w:spacing w:val="-20"/>
                <w:kern w:val="0"/>
                <w:sz w:val="24"/>
                <w:highlight w:val="none"/>
              </w:rPr>
              <w:t>）</w:t>
            </w:r>
            <w:r>
              <w:rPr>
                <w:rFonts w:hint="eastAsia" w:ascii="宋体" w:hAnsi="宋体" w:cs="宋体"/>
                <w:kern w:val="0"/>
                <w:sz w:val="24"/>
                <w:highlight w:val="none"/>
              </w:rPr>
              <w:t>中标准限值；本项目所在区域位于农村，故本项目运营期噪声执行《工业企业厂界环境噪声排放标准》（GB12348-2008）中1类区标准，详见表3-</w:t>
            </w:r>
            <w:r>
              <w:rPr>
                <w:rFonts w:hint="eastAsia" w:ascii="宋体" w:hAnsi="宋体" w:cs="宋体"/>
                <w:kern w:val="0"/>
                <w:sz w:val="24"/>
                <w:highlight w:val="none"/>
                <w:lang w:val="en-US" w:eastAsia="zh-CN"/>
              </w:rPr>
              <w:t>7</w:t>
            </w:r>
            <w:r>
              <w:rPr>
                <w:rFonts w:hint="eastAsia" w:ascii="宋体" w:hAnsi="宋体" w:cs="宋体"/>
                <w:kern w:val="0"/>
                <w:sz w:val="24"/>
                <w:highlight w:val="none"/>
              </w:rPr>
              <w:t>、3-</w:t>
            </w:r>
            <w:r>
              <w:rPr>
                <w:rFonts w:hint="eastAsia" w:ascii="宋体" w:hAnsi="宋体" w:cs="宋体"/>
                <w:kern w:val="0"/>
                <w:sz w:val="24"/>
                <w:highlight w:val="none"/>
                <w:lang w:val="en-US" w:eastAsia="zh-CN"/>
              </w:rPr>
              <w:t>8</w:t>
            </w:r>
            <w:r>
              <w:rPr>
                <w:rFonts w:hint="eastAsia" w:ascii="宋体" w:hAnsi="宋体" w:cs="宋体"/>
                <w:kern w:val="0"/>
                <w:sz w:val="24"/>
                <w:highlight w:val="none"/>
              </w:rPr>
              <w:t>。</w:t>
            </w:r>
          </w:p>
          <w:p>
            <w:pPr>
              <w:widowControl/>
              <w:jc w:val="center"/>
              <w:rPr>
                <w:rFonts w:hint="eastAsia" w:ascii="宋体" w:hAnsi="宋体" w:cs="宋体"/>
                <w:b/>
                <w:bCs/>
                <w:kern w:val="0"/>
                <w:szCs w:val="21"/>
                <w:highlight w:val="none"/>
                <w:u w:val="single"/>
                <w:lang w:bidi="ar"/>
              </w:rPr>
            </w:pPr>
          </w:p>
          <w:p>
            <w:pPr>
              <w:widowControl/>
              <w:jc w:val="center"/>
              <w:rPr>
                <w:rFonts w:hint="eastAsia" w:ascii="宋体" w:hAnsi="宋体" w:cs="宋体"/>
                <w:b/>
                <w:bCs/>
                <w:kern w:val="0"/>
                <w:szCs w:val="21"/>
                <w:highlight w:val="none"/>
                <w:u w:val="single"/>
                <w:lang w:bidi="ar"/>
              </w:rPr>
            </w:pPr>
          </w:p>
          <w:p>
            <w:pPr>
              <w:widowControl/>
              <w:jc w:val="center"/>
              <w:rPr>
                <w:rFonts w:hint="eastAsia" w:ascii="宋体" w:hAnsi="宋体" w:cs="宋体"/>
                <w:b/>
                <w:bCs/>
                <w:szCs w:val="21"/>
                <w:highlight w:val="none"/>
                <w:u w:val="single"/>
              </w:rPr>
            </w:pPr>
            <w:r>
              <w:rPr>
                <w:rFonts w:hint="eastAsia" w:ascii="宋体" w:hAnsi="宋体" w:cs="宋体"/>
                <w:b/>
                <w:bCs/>
                <w:kern w:val="0"/>
                <w:szCs w:val="21"/>
                <w:highlight w:val="none"/>
                <w:u w:val="single"/>
                <w:lang w:bidi="ar"/>
              </w:rPr>
              <w:t>表 3-</w:t>
            </w:r>
            <w:r>
              <w:rPr>
                <w:rFonts w:hint="eastAsia" w:ascii="宋体" w:hAnsi="宋体" w:cs="宋体"/>
                <w:b/>
                <w:bCs/>
                <w:kern w:val="0"/>
                <w:szCs w:val="21"/>
                <w:highlight w:val="none"/>
                <w:u w:val="single"/>
                <w:lang w:val="en-US" w:eastAsia="zh-CN" w:bidi="ar"/>
              </w:rPr>
              <w:t>7</w:t>
            </w:r>
            <w:r>
              <w:rPr>
                <w:rFonts w:hint="eastAsia" w:ascii="宋体" w:hAnsi="宋体" w:cs="宋体"/>
                <w:b/>
                <w:bCs/>
                <w:kern w:val="0"/>
                <w:szCs w:val="21"/>
                <w:highlight w:val="none"/>
                <w:u w:val="single"/>
                <w:lang w:bidi="ar"/>
              </w:rPr>
              <w:t xml:space="preserve">  建筑施工场界噪声限值 单位：Leq[dB(A)]</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4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5000" w:type="pct"/>
                  <w:gridSpan w:val="2"/>
                  <w:noWrap w:val="0"/>
                  <w:vAlign w:val="top"/>
                </w:tcPr>
                <w:p>
                  <w:pPr>
                    <w:pStyle w:val="17"/>
                    <w:rPr>
                      <w:rFonts w:hint="eastAsia" w:ascii="宋体" w:hAnsi="宋体" w:cs="宋体"/>
                      <w:szCs w:val="21"/>
                      <w:highlight w:val="none"/>
                    </w:rPr>
                  </w:pPr>
                  <w:r>
                    <w:rPr>
                      <w:rFonts w:hint="eastAsia" w:ascii="宋体" w:hAnsi="宋体" w:cs="宋体"/>
                      <w:szCs w:val="21"/>
                      <w:highlight w:val="none"/>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99" w:type="pct"/>
                  <w:noWrap w:val="0"/>
                  <w:vAlign w:val="top"/>
                </w:tcPr>
                <w:p>
                  <w:pPr>
                    <w:pStyle w:val="17"/>
                    <w:rPr>
                      <w:rFonts w:hint="eastAsia" w:ascii="宋体" w:hAnsi="宋体" w:cs="宋体"/>
                      <w:szCs w:val="21"/>
                      <w:highlight w:val="none"/>
                    </w:rPr>
                  </w:pPr>
                  <w:r>
                    <w:rPr>
                      <w:rFonts w:hint="eastAsia" w:ascii="宋体" w:hAnsi="宋体" w:cs="宋体"/>
                      <w:szCs w:val="21"/>
                      <w:highlight w:val="none"/>
                    </w:rPr>
                    <w:t>昼间</w:t>
                  </w:r>
                </w:p>
              </w:tc>
              <w:tc>
                <w:tcPr>
                  <w:tcW w:w="2500" w:type="pct"/>
                  <w:noWrap w:val="0"/>
                  <w:vAlign w:val="top"/>
                </w:tcPr>
                <w:p>
                  <w:pPr>
                    <w:pStyle w:val="17"/>
                    <w:rPr>
                      <w:rFonts w:hint="eastAsia" w:ascii="宋体" w:hAnsi="宋体" w:cs="宋体"/>
                      <w:szCs w:val="21"/>
                      <w:highlight w:val="none"/>
                    </w:rPr>
                  </w:pPr>
                  <w:r>
                    <w:rPr>
                      <w:rFonts w:hint="eastAsia" w:ascii="宋体" w:hAnsi="宋体" w:cs="宋体"/>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99" w:type="pct"/>
                  <w:noWrap w:val="0"/>
                  <w:vAlign w:val="top"/>
                </w:tcPr>
                <w:p>
                  <w:pPr>
                    <w:pStyle w:val="17"/>
                    <w:rPr>
                      <w:rFonts w:hint="eastAsia" w:ascii="宋体" w:hAnsi="宋体" w:cs="宋体"/>
                      <w:szCs w:val="21"/>
                      <w:highlight w:val="none"/>
                    </w:rPr>
                  </w:pPr>
                  <w:r>
                    <w:rPr>
                      <w:rFonts w:hint="eastAsia" w:ascii="宋体" w:hAnsi="宋体" w:cs="宋体"/>
                      <w:szCs w:val="21"/>
                      <w:highlight w:val="none"/>
                    </w:rPr>
                    <w:t>70</w:t>
                  </w:r>
                </w:p>
              </w:tc>
              <w:tc>
                <w:tcPr>
                  <w:tcW w:w="2500" w:type="pct"/>
                  <w:noWrap w:val="0"/>
                  <w:vAlign w:val="top"/>
                </w:tcPr>
                <w:p>
                  <w:pPr>
                    <w:pStyle w:val="17"/>
                    <w:rPr>
                      <w:rFonts w:hint="eastAsia" w:ascii="宋体" w:hAnsi="宋体" w:cs="宋体"/>
                      <w:szCs w:val="21"/>
                      <w:highlight w:val="none"/>
                    </w:rPr>
                  </w:pPr>
                  <w:r>
                    <w:rPr>
                      <w:rFonts w:hint="eastAsia" w:ascii="宋体" w:hAnsi="宋体" w:cs="宋体"/>
                      <w:szCs w:val="21"/>
                      <w:highlight w:val="none"/>
                    </w:rPr>
                    <w:t>55</w:t>
                  </w:r>
                </w:p>
              </w:tc>
            </w:tr>
          </w:tbl>
          <w:p>
            <w:pPr>
              <w:widowControl/>
              <w:ind w:firstLine="422" w:firstLineChars="200"/>
              <w:jc w:val="center"/>
              <w:rPr>
                <w:rFonts w:hint="eastAsia" w:ascii="宋体" w:hAnsi="宋体" w:cs="宋体"/>
                <w:b/>
                <w:bCs/>
                <w:sz w:val="21"/>
                <w:szCs w:val="21"/>
                <w:highlight w:val="none"/>
                <w:u w:val="single"/>
              </w:rPr>
            </w:pPr>
            <w:r>
              <w:rPr>
                <w:rFonts w:hint="eastAsia" w:ascii="宋体" w:hAnsi="宋体" w:cs="宋体"/>
                <w:b/>
                <w:bCs/>
                <w:sz w:val="21"/>
                <w:szCs w:val="21"/>
                <w:highlight w:val="none"/>
                <w:u w:val="single"/>
              </w:rPr>
              <w:t>表3-</w:t>
            </w:r>
            <w:r>
              <w:rPr>
                <w:rFonts w:hint="eastAsia" w:ascii="宋体" w:hAnsi="宋体" w:cs="宋体"/>
                <w:b/>
                <w:bCs/>
                <w:sz w:val="21"/>
                <w:szCs w:val="21"/>
                <w:highlight w:val="none"/>
                <w:u w:val="single"/>
                <w:lang w:val="en-US" w:eastAsia="zh-CN"/>
              </w:rPr>
              <w:t>8</w:t>
            </w:r>
            <w:r>
              <w:rPr>
                <w:rFonts w:hint="eastAsia" w:ascii="宋体" w:hAnsi="宋体" w:cs="宋体"/>
                <w:b/>
                <w:bCs/>
                <w:sz w:val="21"/>
                <w:szCs w:val="21"/>
                <w:highlight w:val="none"/>
                <w:u w:val="single"/>
              </w:rPr>
              <w:t xml:space="preserve">  工业企业厂界环境噪声排放标准  单位：dB(A)</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2020"/>
              <w:gridCol w:w="2027"/>
              <w:gridCol w:w="2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vMerge w:val="restar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类别</w:t>
                  </w:r>
                </w:p>
              </w:tc>
              <w:tc>
                <w:tcPr>
                  <w:tcW w:w="2500" w:type="pct"/>
                  <w:gridSpan w:val="2"/>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标准值</w:t>
                  </w:r>
                </w:p>
              </w:tc>
              <w:tc>
                <w:tcPr>
                  <w:tcW w:w="1250" w:type="pc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vMerge w:val="continue"/>
                  <w:noWrap w:val="0"/>
                  <w:vAlign w:val="center"/>
                </w:tcPr>
                <w:p>
                  <w:pPr>
                    <w:widowControl/>
                    <w:jc w:val="center"/>
                    <w:rPr>
                      <w:rFonts w:hint="eastAsia" w:ascii="宋体" w:hAnsi="宋体" w:cs="宋体"/>
                      <w:sz w:val="21"/>
                      <w:szCs w:val="21"/>
                      <w:highlight w:val="none"/>
                    </w:rPr>
                  </w:pPr>
                </w:p>
              </w:tc>
              <w:tc>
                <w:tcPr>
                  <w:tcW w:w="1248" w:type="pc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昼间</w:t>
                  </w:r>
                </w:p>
              </w:tc>
              <w:tc>
                <w:tcPr>
                  <w:tcW w:w="1252" w:type="pc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夜间</w:t>
                  </w:r>
                </w:p>
              </w:tc>
              <w:tc>
                <w:tcPr>
                  <w:tcW w:w="1250" w:type="pct"/>
                  <w:vMerge w:val="restar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noWrap w:val="0"/>
                  <w:vAlign w:val="center"/>
                </w:tcPr>
                <w:p>
                  <w:pPr>
                    <w:widowControl/>
                    <w:jc w:val="center"/>
                    <w:rPr>
                      <w:rFonts w:hint="eastAsia" w:ascii="宋体" w:hAnsi="宋体" w:cs="宋体"/>
                      <w:sz w:val="21"/>
                      <w:szCs w:val="21"/>
                      <w:highlight w:val="none"/>
                    </w:rPr>
                  </w:pPr>
                  <w:r>
                    <w:rPr>
                      <w:rFonts w:hint="eastAsia" w:ascii="宋体" w:hAnsi="宋体" w:cs="宋体"/>
                      <w:sz w:val="21"/>
                      <w:szCs w:val="21"/>
                      <w:highlight w:val="none"/>
                    </w:rPr>
                    <w:t>1类</w:t>
                  </w:r>
                </w:p>
              </w:tc>
              <w:tc>
                <w:tcPr>
                  <w:tcW w:w="1248" w:type="pct"/>
                  <w:noWrap w:val="0"/>
                  <w:vAlign w:val="center"/>
                </w:tcPr>
                <w:p>
                  <w:pPr>
                    <w:widowControl/>
                    <w:jc w:val="center"/>
                    <w:rPr>
                      <w:rFonts w:ascii="宋体" w:hAnsi="宋体" w:cs="宋体"/>
                      <w:sz w:val="21"/>
                      <w:szCs w:val="21"/>
                      <w:highlight w:val="none"/>
                    </w:rPr>
                  </w:pPr>
                  <w:r>
                    <w:rPr>
                      <w:rFonts w:hint="eastAsia" w:ascii="宋体" w:hAnsi="宋体" w:cs="宋体"/>
                      <w:sz w:val="21"/>
                      <w:szCs w:val="21"/>
                      <w:highlight w:val="none"/>
                    </w:rPr>
                    <w:t>55</w:t>
                  </w:r>
                </w:p>
              </w:tc>
              <w:tc>
                <w:tcPr>
                  <w:tcW w:w="1252" w:type="pct"/>
                  <w:noWrap w:val="0"/>
                  <w:vAlign w:val="center"/>
                </w:tcPr>
                <w:p>
                  <w:pPr>
                    <w:widowControl/>
                    <w:jc w:val="center"/>
                    <w:rPr>
                      <w:rFonts w:ascii="宋体" w:hAnsi="宋体" w:cs="宋体"/>
                      <w:sz w:val="21"/>
                      <w:szCs w:val="21"/>
                      <w:highlight w:val="none"/>
                    </w:rPr>
                  </w:pPr>
                  <w:r>
                    <w:rPr>
                      <w:rFonts w:hint="eastAsia" w:ascii="宋体" w:hAnsi="宋体" w:cs="宋体"/>
                      <w:sz w:val="21"/>
                      <w:szCs w:val="21"/>
                      <w:highlight w:val="none"/>
                    </w:rPr>
                    <w:t>45</w:t>
                  </w:r>
                </w:p>
              </w:tc>
              <w:tc>
                <w:tcPr>
                  <w:tcW w:w="1250" w:type="pct"/>
                  <w:vMerge w:val="continue"/>
                  <w:noWrap w:val="0"/>
                  <w:vAlign w:val="center"/>
                </w:tcPr>
                <w:p>
                  <w:pPr>
                    <w:widowControl/>
                    <w:jc w:val="center"/>
                    <w:rPr>
                      <w:rFonts w:hint="eastAsia" w:ascii="宋体" w:hAnsi="宋体" w:cs="宋体"/>
                      <w:sz w:val="21"/>
                      <w:szCs w:val="21"/>
                      <w:highlight w:val="none"/>
                    </w:rPr>
                  </w:pPr>
                </w:p>
              </w:tc>
            </w:tr>
          </w:tbl>
          <w:p>
            <w:pPr>
              <w:pStyle w:val="40"/>
              <w:jc w:val="both"/>
              <w:rPr>
                <w:rFonts w:hint="eastAsia" w:ascii="宋体" w:hAnsi="宋体" w:eastAsia="宋体" w:cs="宋体"/>
                <w:color w:val="auto"/>
                <w:highlight w:val="none"/>
              </w:rPr>
            </w:pPr>
          </w:p>
          <w:p>
            <w:pPr>
              <w:adjustRightInd w:val="0"/>
              <w:snapToGrid w:val="0"/>
              <w:spacing w:line="360" w:lineRule="auto"/>
              <w:ind w:firstLine="482" w:firstLineChars="200"/>
              <w:jc w:val="left"/>
              <w:rPr>
                <w:rFonts w:hint="eastAsia" w:ascii="宋体" w:hAnsi="宋体" w:cs="宋体"/>
                <w:b/>
                <w:bCs/>
                <w:kern w:val="0"/>
                <w:sz w:val="24"/>
                <w:highlight w:val="none"/>
              </w:rPr>
            </w:pPr>
            <w:r>
              <w:rPr>
                <w:rFonts w:hint="eastAsia" w:ascii="宋体" w:hAnsi="宋体" w:cs="宋体"/>
                <w:b/>
                <w:bCs/>
                <w:kern w:val="0"/>
                <w:sz w:val="24"/>
                <w:highlight w:val="none"/>
              </w:rPr>
              <w:t>3、固体废物</w:t>
            </w:r>
          </w:p>
          <w:p>
            <w:pPr>
              <w:adjustRightInd w:val="0"/>
              <w:snapToGrid w:val="0"/>
              <w:spacing w:line="360" w:lineRule="auto"/>
              <w:ind w:firstLine="480" w:firstLineChars="200"/>
              <w:jc w:val="left"/>
              <w:rPr>
                <w:rFonts w:hint="eastAsia"/>
                <w:szCs w:val="21"/>
                <w:highlight w:val="yellow"/>
              </w:rPr>
            </w:pPr>
            <w:r>
              <w:rPr>
                <w:rFonts w:hint="eastAsia" w:ascii="宋体" w:hAnsi="宋体" w:cs="宋体"/>
                <w:kern w:val="0"/>
                <w:sz w:val="24"/>
                <w:highlight w:val="none"/>
              </w:rPr>
              <w:t>根据固废的类别，一般固废在厂区内暂存、处置执行《一般工业固体废 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5" w:hRule="atLeast"/>
          <w:jc w:val="center"/>
        </w:trPr>
        <w:tc>
          <w:tcPr>
            <w:tcW w:w="751" w:type="dxa"/>
            <w:noWrap w:val="0"/>
            <w:vAlign w:val="center"/>
          </w:tcPr>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总量</w:t>
            </w:r>
          </w:p>
          <w:p>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控制</w:t>
            </w:r>
          </w:p>
          <w:p>
            <w:pPr>
              <w:adjustRightInd w:val="0"/>
              <w:snapToGrid w:val="0"/>
              <w:jc w:val="center"/>
              <w:rPr>
                <w:kern w:val="0"/>
                <w:szCs w:val="21"/>
                <w:highlight w:val="none"/>
              </w:rPr>
            </w:pPr>
            <w:r>
              <w:rPr>
                <w:rFonts w:hint="eastAsia" w:ascii="宋体" w:hAnsi="宋体" w:cs="宋体"/>
                <w:kern w:val="0"/>
                <w:sz w:val="24"/>
                <w:highlight w:val="none"/>
              </w:rPr>
              <w:t>指标</w:t>
            </w:r>
          </w:p>
        </w:tc>
        <w:tc>
          <w:tcPr>
            <w:tcW w:w="8310" w:type="dxa"/>
            <w:noWrap w:val="0"/>
            <w:vAlign w:val="center"/>
          </w:tcPr>
          <w:p>
            <w:pPr>
              <w:adjustRightInd w:val="0"/>
              <w:snapToGrid w:val="0"/>
              <w:spacing w:line="360" w:lineRule="auto"/>
              <w:ind w:firstLine="480" w:firstLineChars="200"/>
              <w:jc w:val="left"/>
              <w:rPr>
                <w:rFonts w:hint="eastAsia" w:ascii="宋体" w:hAnsi="宋体" w:cs="宋体"/>
                <w:kern w:val="0"/>
                <w:sz w:val="24"/>
                <w:highlight w:val="none"/>
                <w:u w:val="single"/>
              </w:rPr>
            </w:pPr>
            <w:r>
              <w:rPr>
                <w:rFonts w:hint="eastAsia" w:ascii="宋体" w:hAnsi="宋体" w:cs="宋体"/>
                <w:kern w:val="0"/>
                <w:sz w:val="24"/>
                <w:highlight w:val="none"/>
                <w:u w:val="none"/>
              </w:rPr>
              <w:t>本项目排污口为一般排放口，属于其他行业排放管理的建设项目，且本项目排放量很少，根据国家相关规定及吉林省生态环境厅《关于进一步明确建设项目主要污染物排放总量审核有关事宜的复函》，本项目环评审批过程中予以豁免主要污染物总量审核，故本项目无需申请总量控制指标。</w:t>
            </w:r>
          </w:p>
        </w:tc>
      </w:tr>
    </w:tbl>
    <w:p>
      <w:pPr>
        <w:pStyle w:val="20"/>
        <w:jc w:val="center"/>
        <w:outlineLvl w:val="0"/>
        <w:rPr>
          <w:rFonts w:ascii="Times New Roman" w:hAnsi="Times New Roman"/>
          <w:b/>
          <w:bCs/>
          <w:snapToGrid w:val="0"/>
          <w:sz w:val="30"/>
          <w:szCs w:val="30"/>
          <w:highlight w:val="none"/>
        </w:rPr>
      </w:pPr>
      <w:r>
        <w:rPr>
          <w:rFonts w:ascii="Times New Roman" w:hAnsi="Times New Roman"/>
          <w:snapToGrid w:val="0"/>
          <w:sz w:val="36"/>
          <w:szCs w:val="36"/>
          <w:highlight w:val="yellow"/>
        </w:rPr>
        <w:br w:type="page"/>
      </w:r>
      <w:r>
        <w:rPr>
          <w:rFonts w:ascii="Times New Roman" w:hAnsi="Times New Roman"/>
          <w:b/>
          <w:bCs/>
          <w:snapToGrid w:val="0"/>
          <w:sz w:val="30"/>
          <w:szCs w:val="30"/>
          <w:highlight w:val="none"/>
        </w:rPr>
        <w:t>四、主要环境影响和保护措施</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3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97" w:type="dxa"/>
            <w:noWrap w:val="0"/>
            <w:tcMar>
              <w:left w:w="28" w:type="dxa"/>
              <w:right w:w="28" w:type="dxa"/>
            </w:tcMar>
            <w:vAlign w:val="center"/>
          </w:tcPr>
          <w:p>
            <w:pPr>
              <w:pStyle w:val="20"/>
              <w:adjustRightInd w:val="0"/>
              <w:snapToGrid w:val="0"/>
              <w:spacing w:before="0" w:beforeAutospacing="0" w:after="0" w:afterAutospacing="0"/>
              <w:rPr>
                <w:rFonts w:ascii="Times New Roman" w:hAnsi="Times New Roman"/>
                <w:kern w:val="2"/>
                <w:szCs w:val="24"/>
                <w:highlight w:val="yellow"/>
              </w:rPr>
            </w:pPr>
          </w:p>
          <w:p>
            <w:pPr>
              <w:pStyle w:val="2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施工</w:t>
            </w:r>
          </w:p>
          <w:p>
            <w:pPr>
              <w:pStyle w:val="2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期环</w:t>
            </w:r>
          </w:p>
          <w:p>
            <w:pPr>
              <w:pStyle w:val="2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境保</w:t>
            </w:r>
          </w:p>
          <w:p>
            <w:pPr>
              <w:pStyle w:val="2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护措</w:t>
            </w:r>
          </w:p>
          <w:p>
            <w:pPr>
              <w:pStyle w:val="2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施</w:t>
            </w:r>
          </w:p>
          <w:p>
            <w:pPr>
              <w:pStyle w:val="20"/>
              <w:adjustRightInd w:val="0"/>
              <w:snapToGrid w:val="0"/>
              <w:spacing w:before="0" w:beforeAutospacing="0" w:after="0" w:afterAutospacing="0"/>
              <w:jc w:val="center"/>
              <w:rPr>
                <w:rFonts w:ascii="Times New Roman" w:hAnsi="Times New Roman"/>
                <w:bCs/>
                <w:kern w:val="2"/>
                <w:sz w:val="21"/>
                <w:szCs w:val="21"/>
                <w:highlight w:val="yellow"/>
              </w:rPr>
            </w:pPr>
          </w:p>
        </w:tc>
        <w:tc>
          <w:tcPr>
            <w:tcW w:w="8384" w:type="dxa"/>
            <w:noWrap w:val="0"/>
            <w:vAlign w:val="center"/>
          </w:tcPr>
          <w:p>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1、施工期</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施工期环境影响特征：工程施工对环境的影响，包括废气、废水、噪声和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固体废物等影响，施工期环境污染行为较为复杂，但施工期环境污染只是短期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影响，随着工程竣工，施工影响基本消除。项目施工过程中应切实注意施工扬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尘及噪声的控制措施。</w:t>
            </w:r>
          </w:p>
          <w:p>
            <w:pPr>
              <w:widowControl/>
              <w:spacing w:line="360" w:lineRule="auto"/>
              <w:ind w:firstLine="480" w:firstLineChars="200"/>
              <w:jc w:val="left"/>
              <w:rPr>
                <w:rFonts w:hint="eastAsia" w:ascii="宋体" w:hAnsi="宋体" w:eastAsia="宋体" w:cs="宋体"/>
                <w:kern w:val="0"/>
                <w:sz w:val="24"/>
                <w:highlight w:val="none"/>
              </w:rPr>
            </w:pPr>
            <w:r>
              <w:rPr>
                <w:rFonts w:hint="default" w:ascii="宋体" w:hAnsi="宋体" w:eastAsia="宋体" w:cs="宋体"/>
                <w:kern w:val="0"/>
                <w:sz w:val="24"/>
                <w:highlight w:val="none"/>
                <w:lang w:val="en-US" w:eastAsia="zh-CN"/>
              </w:rPr>
              <w:t>1</w:t>
            </w:r>
            <w:r>
              <w:rPr>
                <w:rFonts w:hint="eastAsia" w:ascii="宋体" w:hAnsi="宋体" w:eastAsia="宋体" w:cs="宋体"/>
                <w:kern w:val="0"/>
                <w:sz w:val="24"/>
                <w:highlight w:val="none"/>
                <w:lang w:val="en-US" w:eastAsia="zh-CN"/>
              </w:rPr>
              <w:t xml:space="preserve">、施工扬尘污染防治措施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施工过程中采取的扬尘措施如下：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1</w:t>
            </w:r>
            <w:r>
              <w:rPr>
                <w:rFonts w:hint="eastAsia" w:ascii="宋体" w:hAnsi="宋体" w:eastAsia="宋体" w:cs="宋体"/>
                <w:kern w:val="0"/>
                <w:sz w:val="24"/>
                <w:highlight w:val="none"/>
                <w:lang w:val="en-US" w:eastAsia="zh-CN"/>
              </w:rPr>
              <w:t xml:space="preserve">）建设单位的首要责任。建设单位对施工扬尘治理负总责，将施工扬尘治理费用列入工程造价，在工程承包合同中明确相关内容，并及时足额支付。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2</w:t>
            </w:r>
            <w:r>
              <w:rPr>
                <w:rFonts w:hint="eastAsia" w:ascii="宋体" w:hAnsi="宋体" w:eastAsia="宋体" w:cs="宋体"/>
                <w:kern w:val="0"/>
                <w:sz w:val="24"/>
                <w:highlight w:val="none"/>
                <w:lang w:val="en-US" w:eastAsia="zh-CN"/>
              </w:rPr>
              <w:t xml:space="preserve">）施工单位的主要责任。施工单位要建立施工扬尘治理责任制，编制扬尘控制专项方案，并严格实施。要在施工现场公示扬尘治理措施、责任人、主管部门等信息，并及时向当地主管部门报送施工扬尘治理措施落实情况。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3</w:t>
            </w:r>
            <w:r>
              <w:rPr>
                <w:rFonts w:hint="eastAsia" w:ascii="宋体" w:hAnsi="宋体" w:eastAsia="宋体" w:cs="宋体"/>
                <w:kern w:val="0"/>
                <w:sz w:val="24"/>
                <w:highlight w:val="none"/>
                <w:lang w:val="en-US" w:eastAsia="zh-CN"/>
              </w:rPr>
              <w:t xml:space="preserve">）渣土运输单位的主要责任。渣土运输单位要建立工程渣土（建筑垃圾）运输扬尘污染防治管理制度和相关措施，使用合规车辆，加强对车辆、人员管理。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4</w:t>
            </w:r>
            <w:r>
              <w:rPr>
                <w:rFonts w:hint="eastAsia" w:ascii="宋体" w:hAnsi="宋体" w:eastAsia="宋体" w:cs="宋体"/>
                <w:kern w:val="0"/>
                <w:sz w:val="24"/>
                <w:highlight w:val="none"/>
                <w:lang w:val="en-US" w:eastAsia="zh-CN"/>
              </w:rPr>
              <w:t xml:space="preserve">）土石方施工的挖掘作业等要采取喷淋、洒水等防扬尘措施，未施工的裸露作业面、裸露区域要使用密目安全网进行有效覆盖；基内坡道要采取硬化、覆盖等防扬尘措施；开挖期间不能及时外运、裸露的土石方必须按要求及时覆盖；现场雾炮等洒水降尘措施要及时开启。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5</w:t>
            </w:r>
            <w:r>
              <w:rPr>
                <w:rFonts w:hint="eastAsia" w:ascii="宋体" w:hAnsi="宋体" w:eastAsia="宋体" w:cs="宋体"/>
                <w:kern w:val="0"/>
                <w:sz w:val="24"/>
                <w:highlight w:val="none"/>
                <w:lang w:val="en-US" w:eastAsia="zh-CN"/>
              </w:rPr>
              <w:t xml:space="preserve">）后期配套工程作业时，必须采取有效的防扬尘措施，按用途、施工条件分段施工，严禁使用现场搅拌砼；施工时留出足够的施工作业面，其他部位要覆盖严密；施工用料及工具要分类分区放置并进行覆盖；施工过程中产生的建筑垃圾，定点存放、覆盖或及时外运，并对施工服务的道路清洁负责。 </w:t>
            </w:r>
          </w:p>
          <w:p>
            <w:pPr>
              <w:widowControl/>
              <w:spacing w:line="360" w:lineRule="auto"/>
              <w:ind w:firstLine="480" w:firstLineChars="200"/>
              <w:jc w:val="left"/>
              <w:rPr>
                <w:rFonts w:hint="eastAsia" w:ascii="宋体" w:hAnsi="宋体" w:eastAsia="宋体" w:cs="宋体"/>
                <w:kern w:val="0"/>
                <w:sz w:val="24"/>
                <w:highlight w:val="none"/>
              </w:rPr>
            </w:pPr>
            <w:r>
              <w:rPr>
                <w:rFonts w:hint="default" w:ascii="宋体" w:hAnsi="宋体" w:eastAsia="宋体" w:cs="宋体"/>
                <w:kern w:val="0"/>
                <w:sz w:val="24"/>
                <w:highlight w:val="none"/>
                <w:lang w:val="en-US" w:eastAsia="zh-CN"/>
              </w:rPr>
              <w:t>2</w:t>
            </w:r>
            <w:r>
              <w:rPr>
                <w:rFonts w:hint="eastAsia" w:ascii="宋体" w:hAnsi="宋体" w:eastAsia="宋体" w:cs="宋体"/>
                <w:kern w:val="0"/>
                <w:sz w:val="24"/>
                <w:highlight w:val="none"/>
                <w:lang w:val="en-US" w:eastAsia="zh-CN"/>
              </w:rPr>
              <w:t xml:space="preserve">、施工废水污染防治措施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施工期间的废水主要为水泥拌和废水、浇筑养护废水和车辆冲洗废水和施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工人员生活污水等。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施工产生的废水成分简单，间歇性产生，主要为悬浮物，产生量较少，就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近修建简易的沉淀池，经过沉淀处理后全部回用于施工场地抑尘洒水等。施工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期间施工人员产生的生活污水排入现有工程化粪池内，后期清掏用于农肥。 </w:t>
            </w:r>
          </w:p>
          <w:p>
            <w:pPr>
              <w:widowControl/>
              <w:spacing w:line="360" w:lineRule="auto"/>
              <w:ind w:firstLine="480" w:firstLineChars="200"/>
              <w:jc w:val="left"/>
              <w:rPr>
                <w:rFonts w:hint="eastAsia" w:ascii="宋体" w:hAnsi="宋体" w:eastAsia="宋体" w:cs="宋体"/>
                <w:kern w:val="0"/>
                <w:sz w:val="24"/>
                <w:highlight w:val="none"/>
              </w:rPr>
            </w:pPr>
            <w:r>
              <w:rPr>
                <w:rFonts w:hint="default" w:ascii="宋体" w:hAnsi="宋体" w:eastAsia="宋体" w:cs="宋体"/>
                <w:kern w:val="0"/>
                <w:sz w:val="24"/>
                <w:highlight w:val="none"/>
                <w:lang w:val="en-US" w:eastAsia="zh-CN"/>
              </w:rPr>
              <w:t>3</w:t>
            </w:r>
            <w:r>
              <w:rPr>
                <w:rFonts w:hint="eastAsia" w:ascii="宋体" w:hAnsi="宋体" w:eastAsia="宋体" w:cs="宋体"/>
                <w:kern w:val="0"/>
                <w:sz w:val="24"/>
                <w:highlight w:val="none"/>
                <w:lang w:val="en-US" w:eastAsia="zh-CN"/>
              </w:rPr>
              <w:t xml:space="preserve">、施工噪声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施工场地的噪声主要是施工机械设备噪声，物料装卸、碰撞噪声及施工人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员的活动噪声，土方阶段主要是挖土机</w:t>
            </w:r>
            <w:r>
              <w:rPr>
                <w:rFonts w:hint="default" w:ascii="宋体" w:hAnsi="宋体" w:eastAsia="宋体" w:cs="宋体"/>
                <w:kern w:val="0"/>
                <w:sz w:val="24"/>
                <w:highlight w:val="none"/>
                <w:lang w:val="en-US" w:eastAsia="zh-CN"/>
              </w:rPr>
              <w:t>78-96dB(A)</w:t>
            </w:r>
            <w:r>
              <w:rPr>
                <w:rFonts w:hint="eastAsia" w:ascii="宋体" w:hAnsi="宋体" w:eastAsia="宋体" w:cs="宋体"/>
                <w:kern w:val="0"/>
                <w:sz w:val="24"/>
                <w:highlight w:val="none"/>
                <w:lang w:val="en-US" w:eastAsia="zh-CN"/>
              </w:rPr>
              <w:t xml:space="preserve">，结构阶段主要是振捣器和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电焊机</w:t>
            </w:r>
            <w:r>
              <w:rPr>
                <w:rFonts w:hint="default" w:ascii="宋体" w:hAnsi="宋体" w:eastAsia="宋体" w:cs="宋体"/>
                <w:kern w:val="0"/>
                <w:sz w:val="24"/>
                <w:highlight w:val="none"/>
                <w:lang w:val="en-US" w:eastAsia="zh-CN"/>
              </w:rPr>
              <w:t>90-95dB(A)</w:t>
            </w:r>
            <w:r>
              <w:rPr>
                <w:rFonts w:hint="eastAsia" w:ascii="宋体" w:hAnsi="宋体" w:eastAsia="宋体" w:cs="宋体"/>
                <w:kern w:val="0"/>
                <w:sz w:val="24"/>
                <w:highlight w:val="none"/>
                <w:lang w:val="en-US" w:eastAsia="zh-CN"/>
              </w:rPr>
              <w:t xml:space="preserve">，装修阶段主要是载重汽车 </w:t>
            </w:r>
            <w:r>
              <w:rPr>
                <w:rFonts w:hint="default" w:ascii="宋体" w:hAnsi="宋体" w:eastAsia="宋体" w:cs="宋体"/>
                <w:kern w:val="0"/>
                <w:sz w:val="24"/>
                <w:highlight w:val="none"/>
                <w:lang w:val="en-US" w:eastAsia="zh-CN"/>
              </w:rPr>
              <w:t>75-90dB(A)</w:t>
            </w:r>
            <w:r>
              <w:rPr>
                <w:rFonts w:hint="eastAsia" w:ascii="宋体" w:hAnsi="宋体" w:eastAsia="宋体" w:cs="宋体"/>
                <w:kern w:val="0"/>
                <w:sz w:val="24"/>
                <w:highlight w:val="none"/>
                <w:lang w:val="en-US" w:eastAsia="zh-CN"/>
              </w:rPr>
              <w:t xml:space="preserve">，这些机械设备的单体噪声一般噪声在 </w:t>
            </w:r>
            <w:r>
              <w:rPr>
                <w:rFonts w:hint="default" w:ascii="宋体" w:hAnsi="宋体" w:eastAsia="宋体" w:cs="宋体"/>
                <w:kern w:val="0"/>
                <w:sz w:val="24"/>
                <w:highlight w:val="none"/>
                <w:lang w:val="en-US" w:eastAsia="zh-CN"/>
              </w:rPr>
              <w:t>80dB(A)</w:t>
            </w:r>
            <w:r>
              <w:rPr>
                <w:rFonts w:hint="eastAsia" w:ascii="宋体" w:hAnsi="宋体" w:eastAsia="宋体" w:cs="宋体"/>
                <w:kern w:val="0"/>
                <w:sz w:val="24"/>
                <w:highlight w:val="none"/>
                <w:lang w:val="en-US" w:eastAsia="zh-CN"/>
              </w:rPr>
              <w:t xml:space="preserve">以上，且各施工阶段均有大量设备相互作用。在建筑施工期间向周围排放噪声必须按照《中华人民共和国环境噪声污染防治法》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规定，严格按《建筑施工场界环境噪声排放标准》（</w:t>
            </w:r>
            <w:r>
              <w:rPr>
                <w:rFonts w:hint="default" w:ascii="宋体" w:hAnsi="宋体" w:eastAsia="宋体" w:cs="宋体"/>
                <w:kern w:val="0"/>
                <w:sz w:val="24"/>
                <w:highlight w:val="none"/>
                <w:lang w:val="en-US" w:eastAsia="zh-CN"/>
              </w:rPr>
              <w:t>GB12523-2011</w:t>
            </w:r>
            <w:r>
              <w:rPr>
                <w:rFonts w:hint="eastAsia" w:ascii="宋体" w:hAnsi="宋体" w:eastAsia="宋体" w:cs="宋体"/>
                <w:kern w:val="0"/>
                <w:sz w:val="24"/>
                <w:highlight w:val="none"/>
                <w:lang w:val="en-US" w:eastAsia="zh-CN"/>
              </w:rPr>
              <w:t>）进行控制。</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为减少施工期噪声对周围环境的影响，建议项目采取以下措施：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合理安排施工时间。安排施工计划时，应尽可能避免大量的高噪声设备同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时施工，避开周围环境对噪声的敏感时间，减少夜间施工量。尽量加快施工进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度，缩短整个工期。降低设备声级。尽量选用低噪声施工机械；对动力机械设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备进行定期的维护、养护，维修不良的设备；闲置不用的设备应立即关闭；运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输车辆进入现场应减速，并减少鸣笛。降低人为噪声。根据当地环保部门制定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的噪声防治条例的要求施工，以免影响周围村民的生活。建立临时声障。对位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置相对固定的机械设备，能在棚内操作的尽量进入操作间，可适当建立单面声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障。通过采取上述措施后，项目施工产生的噪声对周围环境影响较小。 </w:t>
            </w:r>
          </w:p>
          <w:p>
            <w:pPr>
              <w:widowControl/>
              <w:spacing w:line="360" w:lineRule="auto"/>
              <w:ind w:firstLine="480" w:firstLineChars="200"/>
              <w:jc w:val="left"/>
              <w:rPr>
                <w:rFonts w:hint="eastAsia" w:ascii="宋体" w:hAnsi="宋体" w:eastAsia="宋体" w:cs="宋体"/>
                <w:kern w:val="0"/>
                <w:sz w:val="24"/>
                <w:highlight w:val="none"/>
              </w:rPr>
            </w:pPr>
            <w:r>
              <w:rPr>
                <w:rFonts w:hint="default" w:ascii="宋体" w:hAnsi="宋体" w:eastAsia="宋体" w:cs="宋体"/>
                <w:kern w:val="0"/>
                <w:sz w:val="24"/>
                <w:highlight w:val="none"/>
                <w:lang w:val="en-US" w:eastAsia="zh-CN"/>
              </w:rPr>
              <w:t>4</w:t>
            </w:r>
            <w:r>
              <w:rPr>
                <w:rFonts w:hint="eastAsia" w:ascii="宋体" w:hAnsi="宋体" w:eastAsia="宋体" w:cs="宋体"/>
                <w:kern w:val="0"/>
                <w:sz w:val="24"/>
                <w:highlight w:val="none"/>
                <w:lang w:val="en-US" w:eastAsia="zh-CN"/>
              </w:rPr>
              <w:t xml:space="preserve">、施工固体废物 </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施工产生的固体废物主要是建筑垃圾、生活垃圾，将建筑垃圾严格实行定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点堆放，生活垃圾应分类回收，做到日产日清，严禁随地丢弃。对施工开挖的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土壤应有计划的分层回填，并尽量将表层土回填表层。通过严格采取上述污染防治措施，可有效降低施工期对周围环境的影响。</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综上，项目施工期各要素对环境的影响是暂时的、局部的，采取有效的控 </w:t>
            </w:r>
          </w:p>
          <w:p>
            <w:pPr>
              <w:widowControl/>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制措施，可将影响降至最低，施工结束后，其影响基本可消除。同时由于施工 </w:t>
            </w:r>
          </w:p>
          <w:p>
            <w:pPr>
              <w:widowControl/>
              <w:spacing w:line="360" w:lineRule="auto"/>
              <w:jc w:val="left"/>
              <w:rPr>
                <w:highlight w:val="yellow"/>
              </w:rPr>
            </w:pPr>
            <w:r>
              <w:rPr>
                <w:rFonts w:hint="eastAsia" w:ascii="宋体" w:hAnsi="宋体" w:eastAsia="宋体" w:cs="宋体"/>
                <w:kern w:val="0"/>
                <w:sz w:val="24"/>
                <w:highlight w:val="none"/>
                <w:lang w:val="en-US" w:eastAsia="zh-CN"/>
              </w:rPr>
              <w:t>期较短故对区域环境影响时间较小，不会改变区域环境质量。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97" w:type="dxa"/>
            <w:noWrap w:val="0"/>
            <w:tcMar>
              <w:left w:w="28" w:type="dxa"/>
              <w:right w:w="28" w:type="dxa"/>
            </w:tcMar>
            <w:vAlign w:val="center"/>
          </w:tcPr>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bCs/>
                <w:sz w:val="24"/>
                <w:highlight w:val="none"/>
              </w:rPr>
            </w:pPr>
            <w:r>
              <w:rPr>
                <w:bCs/>
                <w:sz w:val="24"/>
                <w:highlight w:val="none"/>
              </w:rPr>
              <w:t>措施</w:t>
            </w: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pStyle w:val="22"/>
              <w:rPr>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bCs/>
                <w:sz w:val="24"/>
                <w:highlight w:val="none"/>
              </w:rPr>
            </w:pPr>
            <w:r>
              <w:rPr>
                <w:bCs/>
                <w:sz w:val="24"/>
                <w:highlight w:val="none"/>
              </w:rPr>
              <w:t>措施</w:t>
            </w:r>
          </w:p>
          <w:p>
            <w:pPr>
              <w:adjustRightInd w:val="0"/>
              <w:snapToGrid w:val="0"/>
              <w:jc w:val="center"/>
              <w:rPr>
                <w:bCs/>
                <w:sz w:val="24"/>
                <w:highlight w:val="none"/>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bCs/>
                <w:sz w:val="24"/>
                <w:highlight w:val="none"/>
              </w:rPr>
            </w:pPr>
            <w:r>
              <w:rPr>
                <w:bCs/>
                <w:sz w:val="24"/>
                <w:highlight w:val="none"/>
              </w:rPr>
              <w:t>措施</w:t>
            </w: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bCs/>
                <w:sz w:val="24"/>
                <w:highlight w:val="none"/>
              </w:rPr>
            </w:pPr>
            <w:r>
              <w:rPr>
                <w:bCs/>
                <w:sz w:val="24"/>
                <w:highlight w:val="none"/>
              </w:rPr>
              <w:t>措施</w:t>
            </w: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bCs/>
                <w:sz w:val="24"/>
                <w:highlight w:val="yellow"/>
              </w:rPr>
            </w:pPr>
            <w:r>
              <w:rPr>
                <w:bCs/>
                <w:sz w:val="24"/>
                <w:highlight w:val="none"/>
              </w:rPr>
              <w:t>措施</w:t>
            </w: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none"/>
              </w:rPr>
            </w:pPr>
            <w:r>
              <w:rPr>
                <w:bCs/>
                <w:sz w:val="24"/>
                <w:highlight w:val="none"/>
              </w:rPr>
              <w:t>运营</w:t>
            </w:r>
          </w:p>
          <w:p>
            <w:pPr>
              <w:adjustRightInd w:val="0"/>
              <w:snapToGrid w:val="0"/>
              <w:jc w:val="center"/>
              <w:rPr>
                <w:bCs/>
                <w:sz w:val="24"/>
                <w:highlight w:val="none"/>
              </w:rPr>
            </w:pPr>
            <w:r>
              <w:rPr>
                <w:bCs/>
                <w:sz w:val="24"/>
                <w:highlight w:val="none"/>
              </w:rPr>
              <w:t>期环</w:t>
            </w:r>
          </w:p>
          <w:p>
            <w:pPr>
              <w:adjustRightInd w:val="0"/>
              <w:snapToGrid w:val="0"/>
              <w:jc w:val="center"/>
              <w:rPr>
                <w:bCs/>
                <w:sz w:val="24"/>
                <w:highlight w:val="none"/>
              </w:rPr>
            </w:pPr>
            <w:r>
              <w:rPr>
                <w:bCs/>
                <w:sz w:val="24"/>
                <w:highlight w:val="none"/>
              </w:rPr>
              <w:t>境影</w:t>
            </w:r>
          </w:p>
          <w:p>
            <w:pPr>
              <w:adjustRightInd w:val="0"/>
              <w:snapToGrid w:val="0"/>
              <w:jc w:val="center"/>
              <w:rPr>
                <w:bCs/>
                <w:sz w:val="24"/>
                <w:highlight w:val="none"/>
              </w:rPr>
            </w:pPr>
            <w:r>
              <w:rPr>
                <w:bCs/>
                <w:sz w:val="24"/>
                <w:highlight w:val="none"/>
              </w:rPr>
              <w:t>响和</w:t>
            </w:r>
          </w:p>
          <w:p>
            <w:pPr>
              <w:adjustRightInd w:val="0"/>
              <w:snapToGrid w:val="0"/>
              <w:jc w:val="center"/>
              <w:rPr>
                <w:bCs/>
                <w:sz w:val="24"/>
                <w:highlight w:val="none"/>
              </w:rPr>
            </w:pPr>
            <w:r>
              <w:rPr>
                <w:bCs/>
                <w:sz w:val="24"/>
                <w:highlight w:val="none"/>
              </w:rPr>
              <w:t>保护</w:t>
            </w:r>
          </w:p>
          <w:p>
            <w:pPr>
              <w:adjustRightInd w:val="0"/>
              <w:snapToGrid w:val="0"/>
              <w:jc w:val="center"/>
              <w:rPr>
                <w:rFonts w:hint="eastAsia"/>
                <w:bCs/>
                <w:sz w:val="24"/>
                <w:highlight w:val="yellow"/>
              </w:rPr>
            </w:pPr>
            <w:r>
              <w:rPr>
                <w:bCs/>
                <w:sz w:val="24"/>
                <w:highlight w:val="none"/>
              </w:rPr>
              <w:t>措</w:t>
            </w:r>
            <w:r>
              <w:rPr>
                <w:rFonts w:hint="eastAsia"/>
                <w:bCs/>
                <w:sz w:val="24"/>
                <w:highlight w:val="none"/>
              </w:rPr>
              <w:t>施</w:t>
            </w: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Cs/>
                <w:sz w:val="24"/>
                <w:highlight w:val="yellow"/>
              </w:rPr>
            </w:pPr>
          </w:p>
          <w:p>
            <w:pPr>
              <w:adjustRightInd w:val="0"/>
              <w:snapToGrid w:val="0"/>
              <w:jc w:val="center"/>
              <w:rPr>
                <w:b/>
                <w:szCs w:val="21"/>
                <w:highlight w:val="yellow"/>
              </w:rPr>
            </w:pPr>
          </w:p>
        </w:tc>
        <w:tc>
          <w:tcPr>
            <w:tcW w:w="8384" w:type="dxa"/>
            <w:noWrap w:val="0"/>
            <w:vAlign w:val="center"/>
          </w:tcPr>
          <w:p>
            <w:pPr>
              <w:numPr>
                <w:ilvl w:val="0"/>
                <w:numId w:val="9"/>
              </w:num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废水</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本项目不新增劳动定员</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无生活污水。废水产生环节主要为锅炉定期排污水和软水制备系统产生的浓水，锅炉废水和反冲洗废水排入厂区内现有化粪池，定期清掏作用于附近农田施肥，不排入地表水体。废水排放量为54t/a，污水水质较简单，主要污染物</w:t>
            </w:r>
            <w:r>
              <w:rPr>
                <w:rFonts w:hint="default" w:ascii="宋体" w:hAnsi="宋体" w:eastAsia="宋体" w:cs="宋体"/>
                <w:kern w:val="0"/>
                <w:sz w:val="24"/>
                <w:highlight w:val="none"/>
                <w:lang w:val="en-US" w:eastAsia="zh-CN"/>
              </w:rPr>
              <w:t>COD</w:t>
            </w:r>
            <w:r>
              <w:rPr>
                <w:rFonts w:hint="eastAsia" w:ascii="宋体" w:hAnsi="宋体" w:eastAsia="宋体" w:cs="宋体"/>
                <w:kern w:val="0"/>
                <w:sz w:val="24"/>
                <w:highlight w:val="none"/>
                <w:lang w:val="en-US" w:eastAsia="zh-CN"/>
              </w:rPr>
              <w:t>浓度较低约为10</w:t>
            </w:r>
            <w:r>
              <w:rPr>
                <w:rFonts w:hint="default" w:ascii="宋体" w:hAnsi="宋体" w:eastAsia="宋体" w:cs="宋体"/>
                <w:kern w:val="0"/>
                <w:sz w:val="24"/>
                <w:highlight w:val="none"/>
                <w:lang w:val="en-US" w:eastAsia="zh-CN"/>
              </w:rPr>
              <w:t>0mg/L</w:t>
            </w:r>
            <w:r>
              <w:rPr>
                <w:rFonts w:hint="eastAsia" w:ascii="宋体" w:hAnsi="宋体" w:eastAsia="宋体" w:cs="宋体"/>
                <w:kern w:val="0"/>
                <w:sz w:val="24"/>
                <w:highlight w:val="none"/>
                <w:lang w:val="en-US" w:eastAsia="zh-CN"/>
              </w:rPr>
              <w:t>，</w:t>
            </w:r>
            <w:r>
              <w:rPr>
                <w:rFonts w:hint="default" w:ascii="宋体" w:hAnsi="宋体" w:eastAsia="宋体" w:cs="宋体"/>
                <w:kern w:val="0"/>
                <w:sz w:val="24"/>
                <w:highlight w:val="none"/>
                <w:lang w:val="en-US" w:eastAsia="zh-CN"/>
              </w:rPr>
              <w:t>COD</w:t>
            </w:r>
            <w:r>
              <w:rPr>
                <w:rFonts w:hint="eastAsia" w:ascii="宋体" w:hAnsi="宋体" w:eastAsia="宋体" w:cs="宋体"/>
                <w:kern w:val="0"/>
                <w:sz w:val="24"/>
                <w:highlight w:val="none"/>
                <w:lang w:val="en-US" w:eastAsia="zh-CN"/>
              </w:rPr>
              <w:t xml:space="preserve">产生量约 </w:t>
            </w:r>
            <w:r>
              <w:rPr>
                <w:rFonts w:hint="default" w:ascii="宋体" w:hAnsi="宋体" w:eastAsia="宋体" w:cs="宋体"/>
                <w:kern w:val="0"/>
                <w:sz w:val="24"/>
                <w:highlight w:val="none"/>
                <w:lang w:val="en-US" w:eastAsia="zh-CN"/>
              </w:rPr>
              <w:t>0.0</w:t>
            </w:r>
            <w:r>
              <w:rPr>
                <w:rFonts w:hint="eastAsia" w:ascii="宋体" w:hAnsi="宋体" w:eastAsia="宋体" w:cs="宋体"/>
                <w:kern w:val="0"/>
                <w:sz w:val="24"/>
                <w:highlight w:val="none"/>
                <w:lang w:val="en-US" w:eastAsia="zh-CN"/>
              </w:rPr>
              <w:t>054</w:t>
            </w:r>
            <w:r>
              <w:rPr>
                <w:rFonts w:hint="default" w:ascii="宋体" w:hAnsi="宋体" w:eastAsia="宋体" w:cs="宋体"/>
                <w:kern w:val="0"/>
                <w:sz w:val="24"/>
                <w:highlight w:val="none"/>
                <w:lang w:val="en-US" w:eastAsia="zh-CN"/>
              </w:rPr>
              <w:t>t/a</w:t>
            </w:r>
            <w:r>
              <w:rPr>
                <w:rFonts w:hint="eastAsia" w:ascii="宋体" w:hAnsi="宋体" w:eastAsia="宋体" w:cs="宋体"/>
                <w:kern w:val="0"/>
                <w:sz w:val="24"/>
                <w:highlight w:val="none"/>
                <w:lang w:val="en-US" w:eastAsia="zh-CN"/>
              </w:rPr>
              <w:t>。</w:t>
            </w:r>
          </w:p>
          <w:p>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2、废气</w:t>
            </w:r>
          </w:p>
          <w:p>
            <w:pPr>
              <w:widowControl/>
              <w:spacing w:line="360" w:lineRule="auto"/>
              <w:ind w:firstLine="420" w:firstLineChars="200"/>
              <w:jc w:val="left"/>
              <w:rPr>
                <w:rFonts w:hint="eastAsia" w:ascii="宋体" w:hAnsi="宋体" w:cs="宋体"/>
                <w:kern w:val="0"/>
                <w:sz w:val="24"/>
                <w:highlight w:val="none"/>
              </w:rPr>
            </w:pPr>
            <w:r>
              <w:rPr>
                <w:rFonts w:hint="eastAsia" w:ascii="宋体" w:hAnsi="宋体" w:cs="宋体"/>
                <w:kern w:val="0"/>
                <w:szCs w:val="21"/>
                <w:highlight w:val="none"/>
              </w:rPr>
              <w:t>（</w:t>
            </w:r>
            <w:r>
              <w:rPr>
                <w:rFonts w:hint="eastAsia" w:ascii="宋体" w:hAnsi="宋体" w:cs="宋体"/>
                <w:kern w:val="0"/>
                <w:sz w:val="24"/>
                <w:highlight w:val="none"/>
              </w:rPr>
              <w:t xml:space="preserve">1）锅炉废气 </w:t>
            </w:r>
          </w:p>
          <w:p>
            <w:pPr>
              <w:autoSpaceDE w:val="0"/>
              <w:autoSpaceDN w:val="0"/>
              <w:adjustRightInd w:val="0"/>
              <w:snapToGrid w:val="0"/>
              <w:spacing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本项目废气为生物质锅炉燃烧产生废气，主要污染物为</w:t>
            </w:r>
            <w:r>
              <w:rPr>
                <w:rFonts w:hint="eastAsia" w:ascii="Times New Roman" w:hAnsi="Times New Roman" w:eastAsia="宋体" w:cs="Times New Roman"/>
                <w:sz w:val="24"/>
                <w:highlight w:val="none"/>
                <w:lang w:val="en-US" w:eastAsia="zh-CN"/>
              </w:rPr>
              <w:t xml:space="preserve">颗粒物、 </w:t>
            </w:r>
            <w:r>
              <w:rPr>
                <w:rFonts w:hint="default" w:ascii="Times New Roman" w:hAnsi="Times New Roman" w:eastAsia="宋体" w:cs="Times New Roman"/>
                <w:sz w:val="24"/>
                <w:highlight w:val="none"/>
                <w:lang w:val="en-US" w:eastAsia="zh-CN"/>
              </w:rPr>
              <w:t>SO</w:t>
            </w:r>
            <w:r>
              <w:rPr>
                <w:rFonts w:hint="default" w:ascii="Times New Roman" w:hAnsi="Times New Roman" w:eastAsia="宋体" w:cs="Times New Roman"/>
                <w:sz w:val="24"/>
                <w:highlight w:val="none"/>
                <w:vertAlign w:val="subscript"/>
                <w:lang w:val="en-US" w:eastAsia="zh-CN"/>
              </w:rPr>
              <w:t>2</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NO</w:t>
            </w:r>
            <w:r>
              <w:rPr>
                <w:rFonts w:hint="default" w:ascii="Times New Roman" w:hAnsi="Times New Roman" w:eastAsia="宋体" w:cs="Times New Roman"/>
                <w:sz w:val="24"/>
                <w:highlight w:val="none"/>
                <w:vertAlign w:val="subscript"/>
                <w:lang w:val="en-US" w:eastAsia="zh-CN"/>
              </w:rPr>
              <w:t>x</w:t>
            </w:r>
            <w:r>
              <w:rPr>
                <w:rFonts w:hint="eastAsia" w:ascii="Times New Roman" w:hAnsi="Times New Roman" w:eastAsia="宋体" w:cs="Times New Roman"/>
                <w:sz w:val="24"/>
                <w:highlight w:val="none"/>
                <w:lang w:val="en-US" w:eastAsia="zh-CN"/>
              </w:rPr>
              <w:t>、汞及其化合物以及烟气黑度</w:t>
            </w:r>
            <w:r>
              <w:rPr>
                <w:rFonts w:hint="eastAsia" w:ascii="宋体" w:hAnsi="宋体" w:cs="宋体"/>
                <w:kern w:val="0"/>
                <w:sz w:val="24"/>
                <w:highlight w:val="none"/>
              </w:rPr>
              <w:t>。本项目使用锅炉为</w:t>
            </w:r>
            <w:r>
              <w:rPr>
                <w:rFonts w:hint="eastAsia" w:ascii="宋体" w:hAnsi="宋体" w:cs="宋体"/>
                <w:kern w:val="0"/>
                <w:sz w:val="24"/>
                <w:highlight w:val="none"/>
                <w:lang w:val="en-US" w:eastAsia="zh-CN"/>
              </w:rPr>
              <w:t>1</w:t>
            </w:r>
            <w:r>
              <w:rPr>
                <w:rFonts w:hint="eastAsia" w:ascii="宋体" w:hAnsi="宋体" w:cs="宋体"/>
                <w:kern w:val="0"/>
                <w:sz w:val="24"/>
                <w:highlight w:val="none"/>
              </w:rPr>
              <w:t>台</w:t>
            </w:r>
            <w:r>
              <w:rPr>
                <w:rFonts w:hint="eastAsia" w:ascii="宋体" w:hAnsi="宋体" w:cs="宋体"/>
                <w:kern w:val="0"/>
                <w:sz w:val="24"/>
                <w:highlight w:val="none"/>
                <w:lang w:val="en-US" w:eastAsia="zh-CN"/>
              </w:rPr>
              <w:t>4</w:t>
            </w:r>
            <w:r>
              <w:rPr>
                <w:rFonts w:hint="eastAsia" w:ascii="宋体" w:hAnsi="宋体" w:cs="宋体"/>
                <w:kern w:val="0"/>
                <w:sz w:val="24"/>
                <w:highlight w:val="none"/>
              </w:rPr>
              <w:t>t/h生物质</w:t>
            </w:r>
            <w:r>
              <w:rPr>
                <w:rFonts w:hint="eastAsia" w:ascii="宋体" w:hAnsi="宋体" w:cs="宋体"/>
                <w:kern w:val="0"/>
                <w:sz w:val="24"/>
                <w:highlight w:val="none"/>
                <w:lang w:val="en-US" w:eastAsia="zh-CN"/>
              </w:rPr>
              <w:t>蒸汽</w:t>
            </w:r>
            <w:r>
              <w:rPr>
                <w:rFonts w:hint="eastAsia" w:ascii="宋体" w:hAnsi="宋体" w:cs="宋体"/>
                <w:kern w:val="0"/>
                <w:sz w:val="24"/>
                <w:highlight w:val="none"/>
              </w:rPr>
              <w:t>锅炉。项目年运行</w:t>
            </w:r>
            <w:r>
              <w:rPr>
                <w:rFonts w:hint="eastAsia" w:ascii="宋体" w:hAnsi="宋体" w:cs="宋体"/>
                <w:kern w:val="0"/>
                <w:sz w:val="24"/>
                <w:highlight w:val="none"/>
                <w:lang w:val="en-US" w:eastAsia="zh-CN"/>
              </w:rPr>
              <w:t>90</w:t>
            </w:r>
            <w:r>
              <w:rPr>
                <w:rFonts w:hint="eastAsia" w:ascii="宋体" w:hAnsi="宋体" w:cs="宋体"/>
                <w:kern w:val="0"/>
                <w:sz w:val="24"/>
                <w:highlight w:val="none"/>
              </w:rPr>
              <w:t>天，平均每天运行24h，根据建设单位提供资料</w:t>
            </w:r>
            <w:r>
              <w:rPr>
                <w:rFonts w:hint="eastAsia" w:ascii="宋体" w:hAnsi="宋体" w:cs="宋体"/>
                <w:kern w:val="0"/>
                <w:sz w:val="24"/>
                <w:highlight w:val="none"/>
                <w:u w:val="none"/>
              </w:rPr>
              <w:t>，锅炉总燃料消耗量为</w:t>
            </w:r>
            <w:r>
              <w:rPr>
                <w:rFonts w:hint="eastAsia" w:ascii="宋体" w:hAnsi="宋体" w:cs="宋体"/>
                <w:kern w:val="0"/>
                <w:sz w:val="24"/>
                <w:highlight w:val="none"/>
                <w:u w:val="none"/>
                <w:lang w:val="en-US" w:eastAsia="zh-CN"/>
              </w:rPr>
              <w:t>880</w:t>
            </w:r>
            <w:r>
              <w:rPr>
                <w:rFonts w:hint="eastAsia" w:ascii="宋体" w:hAnsi="宋体" w:cs="宋体"/>
                <w:kern w:val="0"/>
                <w:sz w:val="24"/>
                <w:highlight w:val="none"/>
                <w:u w:val="none"/>
              </w:rPr>
              <w:t>t/a</w:t>
            </w:r>
            <w:r>
              <w:rPr>
                <w:rFonts w:hint="eastAsia" w:ascii="宋体" w:hAnsi="宋体" w:cs="宋体"/>
                <w:kern w:val="0"/>
                <w:sz w:val="24"/>
                <w:highlight w:val="none"/>
              </w:rPr>
              <w:t>。</w:t>
            </w:r>
            <w:r>
              <w:rPr>
                <w:rFonts w:hint="eastAsia" w:ascii="宋体" w:hAnsi="宋体" w:cs="宋体"/>
                <w:kern w:val="0"/>
                <w:sz w:val="24"/>
                <w:highlight w:val="none"/>
                <w:u w:val="single"/>
              </w:rPr>
              <w:t>锅炉废气经布袋除尘器处理后经</w:t>
            </w:r>
            <w:r>
              <w:rPr>
                <w:rFonts w:hint="eastAsia" w:ascii="宋体" w:hAnsi="宋体" w:cs="宋体"/>
                <w:kern w:val="0"/>
                <w:sz w:val="24"/>
                <w:highlight w:val="none"/>
                <w:u w:val="single"/>
                <w:lang w:val="en-US" w:eastAsia="zh-CN"/>
              </w:rPr>
              <w:t>35</w:t>
            </w:r>
            <w:r>
              <w:rPr>
                <w:rFonts w:hint="eastAsia" w:ascii="宋体" w:hAnsi="宋体" w:cs="宋体"/>
                <w:kern w:val="0"/>
                <w:sz w:val="24"/>
                <w:highlight w:val="none"/>
                <w:u w:val="single"/>
              </w:rPr>
              <w:t>m 高排气筒进行有组织排放</w:t>
            </w:r>
            <w:r>
              <w:rPr>
                <w:rFonts w:hint="eastAsia" w:ascii="宋体" w:hAnsi="宋体" w:cs="宋体"/>
                <w:kern w:val="0"/>
                <w:sz w:val="24"/>
                <w:highlight w:val="none"/>
              </w:rPr>
              <w:t xml:space="preserve">。 </w:t>
            </w:r>
          </w:p>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highlight w:val="none"/>
              </w:rPr>
              <w:t xml:space="preserve">生物质锅炉烟气量及污染物排放量按照《排污许可证申请与核发技术规 范 锅炉》（HJ953-2018）及《污染源源强核算技术指南 锅炉》（HJ991-2018） 进行计算。 </w:t>
            </w:r>
          </w:p>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highlight w:val="none"/>
              </w:rPr>
              <w:t xml:space="preserve">根据《污染源源强核算技术指南锅炉》 (HJ991-2018），项目正常工况有组织废气源强核算应采用物料衡算法。 </w:t>
            </w:r>
          </w:p>
          <w:p>
            <w:pPr>
              <w:widowControl/>
              <w:spacing w:line="360" w:lineRule="auto"/>
              <w:ind w:left="480"/>
              <w:jc w:val="left"/>
              <w:rPr>
                <w:rFonts w:hint="eastAsia" w:ascii="宋体" w:hAnsi="宋体" w:cs="宋体"/>
                <w:kern w:val="0"/>
                <w:sz w:val="24"/>
                <w:highlight w:val="none"/>
              </w:rPr>
            </w:pPr>
            <w:r>
              <w:rPr>
                <w:rFonts w:hint="eastAsia" w:ascii="宋体" w:hAnsi="宋体" w:cs="宋体"/>
                <w:kern w:val="0"/>
                <w:sz w:val="24"/>
                <w:highlight w:val="none"/>
              </w:rPr>
              <w:t>①烟气量：</w:t>
            </w:r>
          </w:p>
          <w:p>
            <w:pPr>
              <w:pStyle w:val="67"/>
              <w:adjustRightInd w:val="0"/>
              <w:snapToGrid w:val="0"/>
              <w:spacing w:line="360" w:lineRule="auto"/>
              <w:ind w:firstLine="480" w:firstLineChars="200"/>
              <w:rPr>
                <w:sz w:val="24"/>
                <w:szCs w:val="24"/>
                <w:highlight w:val="none"/>
              </w:rPr>
            </w:pPr>
            <w:r>
              <w:rPr>
                <w:rFonts w:hint="eastAsia"/>
                <w:sz w:val="24"/>
                <w:szCs w:val="24"/>
                <w:highlight w:val="none"/>
              </w:rPr>
              <w:t>根据《污染源源强核算技术指南 锅炉》（</w:t>
            </w:r>
            <w:r>
              <w:rPr>
                <w:sz w:val="24"/>
                <w:szCs w:val="24"/>
                <w:highlight w:val="none"/>
              </w:rPr>
              <w:t>HJ991-2018</w:t>
            </w:r>
            <w:r>
              <w:rPr>
                <w:rFonts w:hint="eastAsia"/>
                <w:sz w:val="24"/>
                <w:szCs w:val="24"/>
                <w:highlight w:val="none"/>
              </w:rPr>
              <w:t>）附录</w:t>
            </w:r>
            <w:r>
              <w:rPr>
                <w:sz w:val="24"/>
                <w:szCs w:val="24"/>
                <w:highlight w:val="none"/>
              </w:rPr>
              <w:t>C</w:t>
            </w:r>
            <w:r>
              <w:rPr>
                <w:rFonts w:hint="eastAsia"/>
                <w:sz w:val="24"/>
                <w:szCs w:val="24"/>
                <w:highlight w:val="none"/>
              </w:rPr>
              <w:t>中没有元素分析时，干烟气排放量的经验公式计算参照《排污许可证申请与核发技术规范 锅炉》（</w:t>
            </w:r>
            <w:r>
              <w:rPr>
                <w:sz w:val="24"/>
                <w:szCs w:val="24"/>
                <w:highlight w:val="none"/>
              </w:rPr>
              <w:t>HJ953-2018</w:t>
            </w:r>
            <w:r>
              <w:rPr>
                <w:rFonts w:hint="eastAsia"/>
                <w:sz w:val="24"/>
                <w:szCs w:val="24"/>
                <w:highlight w:val="none"/>
              </w:rPr>
              <w:t>）中表</w:t>
            </w:r>
            <w:r>
              <w:rPr>
                <w:sz w:val="24"/>
                <w:szCs w:val="24"/>
                <w:highlight w:val="none"/>
              </w:rPr>
              <w:t>5</w:t>
            </w:r>
            <w:r>
              <w:rPr>
                <w:rFonts w:hint="eastAsia"/>
                <w:sz w:val="24"/>
                <w:szCs w:val="24"/>
                <w:highlight w:val="none"/>
              </w:rPr>
              <w:t>进行计算。</w:t>
            </w:r>
          </w:p>
          <w:p>
            <w:pPr>
              <w:pStyle w:val="67"/>
              <w:adjustRightInd w:val="0"/>
              <w:snapToGrid w:val="0"/>
              <w:spacing w:line="360" w:lineRule="auto"/>
              <w:ind w:firstLine="480" w:firstLineChars="200"/>
              <w:rPr>
                <w:sz w:val="24"/>
                <w:szCs w:val="24"/>
                <w:highlight w:val="none"/>
              </w:rPr>
            </w:pPr>
            <w:r>
              <w:rPr>
                <w:rFonts w:hint="eastAsia"/>
                <w:sz w:val="24"/>
                <w:szCs w:val="24"/>
                <w:highlight w:val="none"/>
              </w:rPr>
              <w:t>根据生物质燃料成分检测报告，燃料干燥无灰基挥发分</w:t>
            </w:r>
            <w:r>
              <w:rPr>
                <w:sz w:val="24"/>
                <w:szCs w:val="24"/>
                <w:highlight w:val="none"/>
              </w:rPr>
              <w:t>V</w:t>
            </w:r>
            <w:r>
              <w:rPr>
                <w:sz w:val="24"/>
                <w:szCs w:val="24"/>
                <w:highlight w:val="none"/>
                <w:vertAlign w:val="subscript"/>
              </w:rPr>
              <w:t>daf</w:t>
            </w:r>
            <w:r>
              <w:rPr>
                <w:rFonts w:hint="eastAsia"/>
                <w:sz w:val="24"/>
                <w:szCs w:val="24"/>
                <w:highlight w:val="none"/>
              </w:rPr>
              <w:t>为81.37%&gt;15%，且燃料收到基低位发热量Q</w:t>
            </w:r>
            <w:r>
              <w:rPr>
                <w:rFonts w:hint="eastAsia"/>
                <w:sz w:val="24"/>
                <w:szCs w:val="24"/>
                <w:highlight w:val="none"/>
                <w:vertAlign w:val="subscript"/>
              </w:rPr>
              <w:t>net.ar</w:t>
            </w:r>
            <w:r>
              <w:rPr>
                <w:rFonts w:hint="eastAsia"/>
                <w:sz w:val="24"/>
                <w:szCs w:val="24"/>
                <w:highlight w:val="none"/>
              </w:rPr>
              <w:t>为15.76MJ/kg&gt;12.54MJ/kg，因此参照《排污许可证申请与核发技术规范 锅炉》（HJ953-2018）中表5燃生物质锅炉基准烟气量计算公式如下：</w:t>
            </w:r>
          </w:p>
          <w:p>
            <w:pPr>
              <w:pStyle w:val="67"/>
              <w:adjustRightInd w:val="0"/>
              <w:snapToGrid w:val="0"/>
              <w:spacing w:line="360" w:lineRule="auto"/>
              <w:ind w:firstLine="1200" w:firstLineChars="500"/>
              <w:rPr>
                <w:sz w:val="24"/>
                <w:szCs w:val="24"/>
                <w:highlight w:val="none"/>
              </w:rPr>
            </w:pPr>
            <w:r>
              <w:rPr>
                <w:rFonts w:hint="eastAsia"/>
                <w:position w:val="-10"/>
                <w:sz w:val="24"/>
                <w:szCs w:val="24"/>
                <w:highlight w:val="none"/>
              </w:rPr>
              <w:object>
                <v:shape id="_x0000_i1025" o:spt="75" type="#_x0000_t75" style="height:16.5pt;width:117.75pt;" o:ole="t" filled="f" o:preferrelative="t" stroked="f" coordsize="21600,21600">
                  <v:path/>
                  <v:fill on="f" focussize="0,0"/>
                  <v:stroke on="f"/>
                  <v:imagedata r:id="rId12" o:title=""/>
                  <o:lock v:ext="edit" aspectratio="t"/>
                  <w10:wrap type="none"/>
                  <w10:anchorlock/>
                </v:shape>
                <o:OLEObject Type="Embed" ProgID="Equation.3" ShapeID="_x0000_i1025" DrawAspect="Content" ObjectID="_1468075725" r:id="rId11">
                  <o:LockedField>false</o:LockedField>
                </o:OLEObject>
              </w:object>
            </w:r>
          </w:p>
          <w:p>
            <w:pPr>
              <w:pStyle w:val="67"/>
              <w:adjustRightInd w:val="0"/>
              <w:snapToGrid w:val="0"/>
              <w:spacing w:line="360" w:lineRule="auto"/>
              <w:ind w:firstLine="480" w:firstLineChars="200"/>
              <w:outlineLvl w:val="0"/>
              <w:rPr>
                <w:sz w:val="24"/>
                <w:szCs w:val="24"/>
                <w:highlight w:val="none"/>
              </w:rPr>
            </w:pPr>
            <w:r>
              <w:rPr>
                <w:rFonts w:hint="eastAsia"/>
                <w:sz w:val="24"/>
                <w:szCs w:val="24"/>
                <w:highlight w:val="none"/>
              </w:rPr>
              <w:t>式中：</w:t>
            </w:r>
            <w:r>
              <w:rPr>
                <w:sz w:val="24"/>
                <w:szCs w:val="24"/>
                <w:highlight w:val="none"/>
              </w:rPr>
              <w:t>V</w:t>
            </w:r>
            <w:r>
              <w:rPr>
                <w:sz w:val="24"/>
                <w:szCs w:val="24"/>
                <w:highlight w:val="none"/>
                <w:vertAlign w:val="subscript"/>
              </w:rPr>
              <w:t>gy</w:t>
            </w:r>
            <w:r>
              <w:rPr>
                <w:rFonts w:hint="eastAsia"/>
                <w:sz w:val="24"/>
                <w:szCs w:val="24"/>
                <w:highlight w:val="none"/>
              </w:rPr>
              <w:t>：基准烟气量，</w:t>
            </w:r>
            <w:r>
              <w:rPr>
                <w:sz w:val="24"/>
                <w:szCs w:val="24"/>
                <w:highlight w:val="none"/>
              </w:rPr>
              <w:t>Nm</w:t>
            </w:r>
            <w:r>
              <w:rPr>
                <w:sz w:val="24"/>
                <w:szCs w:val="24"/>
                <w:highlight w:val="none"/>
                <w:vertAlign w:val="superscript"/>
              </w:rPr>
              <w:t>3</w:t>
            </w:r>
            <w:r>
              <w:rPr>
                <w:sz w:val="24"/>
                <w:szCs w:val="24"/>
                <w:highlight w:val="none"/>
              </w:rPr>
              <w:t>/kg</w:t>
            </w:r>
            <w:r>
              <w:rPr>
                <w:rFonts w:hint="eastAsia"/>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ascii="宋体" w:hAnsi="宋体"/>
                <w:sz w:val="24"/>
                <w:szCs w:val="24"/>
                <w:highlight w:val="none"/>
              </w:rPr>
              <w:t>Q</w:t>
            </w:r>
            <w:r>
              <w:rPr>
                <w:rFonts w:ascii="宋体" w:hAnsi="宋体"/>
                <w:sz w:val="24"/>
                <w:szCs w:val="24"/>
                <w:highlight w:val="none"/>
                <w:vertAlign w:val="subscript"/>
              </w:rPr>
              <w:t>net.ar</w:t>
            </w:r>
            <w:r>
              <w:rPr>
                <w:rFonts w:hint="eastAsia" w:ascii="宋体" w:hAnsi="宋体"/>
                <w:sz w:val="24"/>
                <w:szCs w:val="24"/>
                <w:highlight w:val="none"/>
              </w:rPr>
              <w:t>：基低位发热量，MJ/kg；</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本项目生物质颗粒总用量为</w:t>
            </w:r>
            <w:r>
              <w:rPr>
                <w:rFonts w:hint="eastAsia" w:ascii="宋体" w:hAnsi="宋体"/>
                <w:sz w:val="24"/>
                <w:szCs w:val="24"/>
                <w:highlight w:val="none"/>
                <w:lang w:val="en-US" w:eastAsia="zh-CN"/>
              </w:rPr>
              <w:t>88</w:t>
            </w:r>
            <w:r>
              <w:rPr>
                <w:rFonts w:hint="eastAsia" w:ascii="宋体" w:hAnsi="宋体"/>
                <w:sz w:val="24"/>
                <w:szCs w:val="24"/>
                <w:highlight w:val="none"/>
              </w:rPr>
              <w:t>0</w:t>
            </w:r>
            <w:r>
              <w:rPr>
                <w:rFonts w:ascii="宋体" w:hAnsi="宋体"/>
                <w:sz w:val="24"/>
                <w:szCs w:val="24"/>
                <w:highlight w:val="none"/>
              </w:rPr>
              <w:t>t/a</w:t>
            </w:r>
            <w:r>
              <w:rPr>
                <w:rFonts w:hint="eastAsia" w:ascii="宋体" w:hAnsi="宋体"/>
                <w:sz w:val="24"/>
                <w:szCs w:val="24"/>
                <w:highlight w:val="none"/>
              </w:rPr>
              <w:t>，烟气量（</w:t>
            </w:r>
            <w:r>
              <w:rPr>
                <w:rFonts w:ascii="宋体" w:hAnsi="宋体"/>
                <w:sz w:val="24"/>
                <w:szCs w:val="24"/>
                <w:highlight w:val="none"/>
              </w:rPr>
              <w:t>V</w:t>
            </w:r>
            <w:r>
              <w:rPr>
                <w:rFonts w:ascii="宋体" w:hAnsi="宋体"/>
                <w:sz w:val="24"/>
                <w:szCs w:val="24"/>
                <w:highlight w:val="none"/>
                <w:vertAlign w:val="subscript"/>
              </w:rPr>
              <w:t>g</w:t>
            </w:r>
            <w:r>
              <w:rPr>
                <w:rFonts w:hint="eastAsia" w:ascii="宋体" w:hAnsi="宋体"/>
                <w:sz w:val="24"/>
                <w:szCs w:val="24"/>
                <w:highlight w:val="none"/>
              </w:rPr>
              <w:t>）计算结果结果如下：</w:t>
            </w:r>
          </w:p>
          <w:p>
            <w:pPr>
              <w:widowControl/>
              <w:jc w:val="center"/>
              <w:rPr>
                <w:rFonts w:ascii="宋体" w:hAnsi="宋体" w:cs="宋体"/>
                <w:kern w:val="0"/>
                <w:sz w:val="24"/>
                <w:highlight w:val="none"/>
              </w:rPr>
            </w:pPr>
            <w:r>
              <w:rPr>
                <w:rFonts w:hint="eastAsia" w:ascii="宋体" w:hAnsi="宋体" w:cs="宋体"/>
                <w:b/>
                <w:bCs/>
                <w:szCs w:val="21"/>
                <w:highlight w:val="none"/>
                <w:u w:val="single"/>
              </w:rPr>
              <w:t>表4-</w:t>
            </w:r>
            <w:r>
              <w:rPr>
                <w:rFonts w:hint="eastAsia" w:ascii="宋体" w:hAnsi="宋体" w:cs="宋体"/>
                <w:b/>
                <w:bCs/>
                <w:szCs w:val="21"/>
                <w:highlight w:val="none"/>
                <w:u w:val="single"/>
                <w:lang w:val="en-US" w:eastAsia="zh-CN"/>
              </w:rPr>
              <w:t>1</w:t>
            </w:r>
            <w:r>
              <w:rPr>
                <w:rFonts w:hint="eastAsia" w:ascii="宋体" w:hAnsi="宋体" w:cs="宋体"/>
                <w:b/>
                <w:bCs/>
                <w:szCs w:val="21"/>
                <w:highlight w:val="none"/>
                <w:u w:val="single"/>
              </w:rPr>
              <w:t xml:space="preserve">  </w:t>
            </w:r>
            <w:r>
              <w:rPr>
                <w:rFonts w:hint="eastAsia" w:ascii="宋体" w:hAnsi="宋体"/>
                <w:b/>
                <w:bCs/>
                <w:szCs w:val="21"/>
                <w:highlight w:val="none"/>
                <w:u w:val="single"/>
              </w:rPr>
              <w:t>基准烟气量（V</w:t>
            </w:r>
            <w:r>
              <w:rPr>
                <w:rFonts w:hint="eastAsia" w:ascii="宋体" w:hAnsi="宋体"/>
                <w:b/>
                <w:bCs/>
                <w:szCs w:val="21"/>
                <w:highlight w:val="none"/>
                <w:u w:val="single"/>
                <w:vertAlign w:val="subscript"/>
              </w:rPr>
              <w:t>gy</w:t>
            </w:r>
            <w:r>
              <w:rPr>
                <w:rFonts w:hint="eastAsia" w:ascii="宋体" w:hAnsi="宋体"/>
                <w:b/>
                <w:bCs/>
                <w:szCs w:val="21"/>
                <w:highlight w:val="none"/>
                <w:u w:val="single"/>
              </w:rPr>
              <w:t>）、烟气量（V</w:t>
            </w:r>
            <w:r>
              <w:rPr>
                <w:rFonts w:hint="eastAsia" w:ascii="宋体" w:hAnsi="宋体"/>
                <w:b/>
                <w:bCs/>
                <w:szCs w:val="21"/>
                <w:highlight w:val="none"/>
                <w:u w:val="single"/>
                <w:vertAlign w:val="subscript"/>
              </w:rPr>
              <w:t>g</w:t>
            </w:r>
            <w:r>
              <w:rPr>
                <w:rFonts w:hint="eastAsia" w:ascii="宋体" w:hAnsi="宋体"/>
                <w:b/>
                <w:bCs/>
                <w:szCs w:val="21"/>
                <w:highlight w:val="none"/>
                <w:u w:val="single"/>
              </w:rPr>
              <w:t>）计算结果</w:t>
            </w:r>
          </w:p>
          <w:tbl>
            <w:tblPr>
              <w:tblStyle w:val="23"/>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204"/>
              <w:gridCol w:w="2837"/>
              <w:gridCol w:w="1147"/>
              <w:gridCol w:w="1031"/>
              <w:gridCol w:w="840"/>
              <w:gridCol w:w="110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415" w:hRule="atLeast"/>
                <w:jc w:val="center"/>
              </w:trPr>
              <w:tc>
                <w:tcPr>
                  <w:tcW w:w="737" w:type="pct"/>
                  <w:noWrap w:val="0"/>
                  <w:vAlign w:val="top"/>
                </w:tcPr>
                <w:p>
                  <w:pPr>
                    <w:widowControl/>
                    <w:jc w:val="center"/>
                    <w:textAlignment w:val="center"/>
                    <w:rPr>
                      <w:rFonts w:hint="eastAsia" w:ascii="宋体" w:hAnsi="宋体"/>
                      <w:sz w:val="21"/>
                      <w:szCs w:val="21"/>
                      <w:highlight w:val="none"/>
                    </w:rPr>
                  </w:pPr>
                  <w:r>
                    <w:rPr>
                      <w:rFonts w:hint="eastAsia" w:ascii="宋体" w:hAnsi="宋体"/>
                      <w:sz w:val="21"/>
                      <w:szCs w:val="21"/>
                      <w:highlight w:val="none"/>
                    </w:rPr>
                    <w:t>项目</w:t>
                  </w:r>
                </w:p>
              </w:tc>
              <w:tc>
                <w:tcPr>
                  <w:tcW w:w="3069" w:type="pct"/>
                  <w:gridSpan w:val="3"/>
                  <w:noWrap w:val="0"/>
                  <w:vAlign w:val="center"/>
                </w:tcPr>
                <w:p>
                  <w:pPr>
                    <w:widowControl/>
                    <w:jc w:val="center"/>
                    <w:textAlignment w:val="center"/>
                    <w:rPr>
                      <w:rFonts w:ascii="宋体" w:hAnsi="宋体"/>
                      <w:sz w:val="21"/>
                      <w:szCs w:val="21"/>
                      <w:highlight w:val="none"/>
                    </w:rPr>
                  </w:pPr>
                  <w:r>
                    <w:rPr>
                      <w:rFonts w:hint="eastAsia" w:ascii="宋体" w:hAnsi="宋体"/>
                      <w:sz w:val="21"/>
                      <w:szCs w:val="21"/>
                      <w:highlight w:val="none"/>
                    </w:rPr>
                    <w:t>基准烟气量</w:t>
                  </w:r>
                  <w:r>
                    <w:rPr>
                      <w:rFonts w:ascii="宋体" w:hAnsi="宋体"/>
                      <w:sz w:val="21"/>
                      <w:szCs w:val="21"/>
                      <w:highlight w:val="none"/>
                    </w:rPr>
                    <w:t>V</w:t>
                  </w:r>
                  <w:r>
                    <w:rPr>
                      <w:rFonts w:ascii="宋体" w:hAnsi="宋体"/>
                      <w:sz w:val="21"/>
                      <w:szCs w:val="21"/>
                      <w:highlight w:val="none"/>
                      <w:vertAlign w:val="subscript"/>
                    </w:rPr>
                    <w:t>gy</w:t>
                  </w:r>
                </w:p>
              </w:tc>
              <w:tc>
                <w:tcPr>
                  <w:tcW w:w="1193" w:type="pct"/>
                  <w:gridSpan w:val="2"/>
                  <w:noWrap w:val="0"/>
                  <w:vAlign w:val="center"/>
                </w:tcPr>
                <w:p>
                  <w:pPr>
                    <w:widowControl/>
                    <w:jc w:val="center"/>
                    <w:textAlignment w:val="center"/>
                    <w:rPr>
                      <w:rFonts w:ascii="宋体" w:hAnsi="宋体"/>
                      <w:sz w:val="21"/>
                      <w:szCs w:val="21"/>
                      <w:highlight w:val="none"/>
                    </w:rPr>
                  </w:pPr>
                  <w:r>
                    <w:rPr>
                      <w:rFonts w:hint="eastAsia" w:ascii="宋体" w:hAnsi="宋体"/>
                      <w:sz w:val="21"/>
                      <w:szCs w:val="21"/>
                      <w:highlight w:val="none"/>
                    </w:rPr>
                    <w:t>烟气量（</w:t>
                  </w:r>
                  <w:r>
                    <w:rPr>
                      <w:rFonts w:ascii="宋体" w:hAnsi="宋体"/>
                      <w:sz w:val="21"/>
                      <w:szCs w:val="21"/>
                      <w:highlight w:val="none"/>
                    </w:rPr>
                    <w:t>V</w:t>
                  </w:r>
                  <w:r>
                    <w:rPr>
                      <w:rFonts w:ascii="宋体" w:hAnsi="宋体"/>
                      <w:sz w:val="21"/>
                      <w:szCs w:val="21"/>
                      <w:highlight w:val="none"/>
                      <w:vertAlign w:val="subscript"/>
                    </w:rPr>
                    <w:t>g</w:t>
                  </w:r>
                  <w:r>
                    <w:rPr>
                      <w:rFonts w:hint="eastAsia" w:ascii="宋体" w:hAnsi="宋体"/>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8" w:hRule="atLeast"/>
                <w:jc w:val="center"/>
              </w:trPr>
              <w:tc>
                <w:tcPr>
                  <w:tcW w:w="2473" w:type="pct"/>
                  <w:gridSpan w:val="2"/>
                  <w:noWrap w:val="0"/>
                  <w:vAlign w:val="top"/>
                </w:tcPr>
                <w:p>
                  <w:pPr>
                    <w:widowControl/>
                    <w:jc w:val="center"/>
                    <w:textAlignment w:val="center"/>
                    <w:rPr>
                      <w:rFonts w:ascii="宋体" w:hAnsi="宋体"/>
                      <w:sz w:val="21"/>
                      <w:szCs w:val="21"/>
                      <w:highlight w:val="none"/>
                    </w:rPr>
                  </w:pPr>
                  <w:r>
                    <w:rPr>
                      <w:rFonts w:hint="eastAsia" w:ascii="宋体" w:hAnsi="宋体"/>
                      <w:sz w:val="21"/>
                      <w:szCs w:val="21"/>
                      <w:highlight w:val="none"/>
                    </w:rPr>
                    <w:t>公式</w:t>
                  </w:r>
                </w:p>
              </w:tc>
              <w:tc>
                <w:tcPr>
                  <w:tcW w:w="702" w:type="pct"/>
                  <w:noWrap w:val="0"/>
                  <w:vAlign w:val="center"/>
                </w:tcPr>
                <w:p>
                  <w:pPr>
                    <w:widowControl/>
                    <w:jc w:val="center"/>
                    <w:textAlignment w:val="center"/>
                    <w:rPr>
                      <w:rFonts w:ascii="宋体" w:hAnsi="宋体"/>
                      <w:sz w:val="21"/>
                      <w:szCs w:val="21"/>
                      <w:highlight w:val="none"/>
                    </w:rPr>
                  </w:pPr>
                  <w:r>
                    <w:rPr>
                      <w:rFonts w:ascii="宋体" w:hAnsi="宋体"/>
                      <w:bCs/>
                      <w:sz w:val="21"/>
                      <w:szCs w:val="21"/>
                      <w:highlight w:val="none"/>
                    </w:rPr>
                    <w:t>Q</w:t>
                  </w:r>
                  <w:r>
                    <w:rPr>
                      <w:rFonts w:ascii="宋体" w:hAnsi="宋体"/>
                      <w:bCs/>
                      <w:sz w:val="21"/>
                      <w:szCs w:val="21"/>
                      <w:highlight w:val="none"/>
                      <w:vertAlign w:val="subscript"/>
                    </w:rPr>
                    <w:t>net.ar</w:t>
                  </w:r>
                  <w:r>
                    <w:rPr>
                      <w:rFonts w:ascii="宋体" w:hAnsi="宋体"/>
                      <w:sz w:val="21"/>
                      <w:szCs w:val="21"/>
                      <w:highlight w:val="none"/>
                    </w:rPr>
                    <w:t>（MJ/kg）</w:t>
                  </w:r>
                </w:p>
              </w:tc>
              <w:tc>
                <w:tcPr>
                  <w:tcW w:w="631" w:type="pct"/>
                  <w:noWrap w:val="0"/>
                  <w:vAlign w:val="center"/>
                </w:tcPr>
                <w:p>
                  <w:pPr>
                    <w:widowControl/>
                    <w:jc w:val="center"/>
                    <w:textAlignment w:val="center"/>
                    <w:rPr>
                      <w:rFonts w:ascii="宋体" w:hAnsi="宋体"/>
                      <w:sz w:val="21"/>
                      <w:szCs w:val="21"/>
                      <w:highlight w:val="none"/>
                    </w:rPr>
                  </w:pPr>
                  <w:r>
                    <w:rPr>
                      <w:rFonts w:ascii="宋体" w:hAnsi="宋体"/>
                      <w:sz w:val="21"/>
                      <w:szCs w:val="21"/>
                      <w:highlight w:val="none"/>
                    </w:rPr>
                    <w:t>V</w:t>
                  </w:r>
                  <w:r>
                    <w:rPr>
                      <w:rFonts w:ascii="宋体" w:hAnsi="宋体"/>
                      <w:sz w:val="21"/>
                      <w:szCs w:val="21"/>
                      <w:highlight w:val="none"/>
                      <w:vertAlign w:val="subscript"/>
                    </w:rPr>
                    <w:t>gy</w:t>
                  </w:r>
                  <w:r>
                    <w:rPr>
                      <w:rFonts w:ascii="宋体" w:hAnsi="宋体"/>
                      <w:sz w:val="21"/>
                      <w:szCs w:val="21"/>
                      <w:highlight w:val="none"/>
                    </w:rPr>
                    <w:t>（Nm</w:t>
                  </w:r>
                  <w:r>
                    <w:rPr>
                      <w:rFonts w:ascii="宋体" w:hAnsi="宋体"/>
                      <w:sz w:val="21"/>
                      <w:szCs w:val="21"/>
                      <w:highlight w:val="none"/>
                      <w:vertAlign w:val="superscript"/>
                    </w:rPr>
                    <w:t>3</w:t>
                  </w:r>
                  <w:r>
                    <w:rPr>
                      <w:rFonts w:ascii="宋体" w:hAnsi="宋体"/>
                      <w:sz w:val="21"/>
                      <w:szCs w:val="21"/>
                      <w:highlight w:val="none"/>
                    </w:rPr>
                    <w:t>/kg）</w:t>
                  </w:r>
                </w:p>
              </w:tc>
              <w:tc>
                <w:tcPr>
                  <w:tcW w:w="514" w:type="pct"/>
                  <w:noWrap w:val="0"/>
                  <w:vAlign w:val="center"/>
                </w:tcPr>
                <w:p>
                  <w:pPr>
                    <w:widowControl/>
                    <w:jc w:val="center"/>
                    <w:textAlignment w:val="center"/>
                    <w:rPr>
                      <w:rFonts w:ascii="宋体" w:hAnsi="宋体"/>
                      <w:sz w:val="21"/>
                      <w:szCs w:val="21"/>
                      <w:highlight w:val="none"/>
                    </w:rPr>
                  </w:pPr>
                  <w:r>
                    <w:rPr>
                      <w:rFonts w:hint="eastAsia" w:ascii="宋体" w:hAnsi="宋体"/>
                      <w:sz w:val="21"/>
                      <w:szCs w:val="21"/>
                      <w:highlight w:val="none"/>
                    </w:rPr>
                    <w:t>生物质量</w:t>
                  </w:r>
                  <w:r>
                    <w:rPr>
                      <w:rFonts w:ascii="宋体" w:hAnsi="宋体"/>
                      <w:sz w:val="21"/>
                      <w:szCs w:val="21"/>
                      <w:highlight w:val="none"/>
                    </w:rPr>
                    <w:t>（t/a）</w:t>
                  </w:r>
                </w:p>
              </w:tc>
              <w:tc>
                <w:tcPr>
                  <w:tcW w:w="678" w:type="pct"/>
                  <w:noWrap w:val="0"/>
                  <w:vAlign w:val="center"/>
                </w:tcPr>
                <w:p>
                  <w:pPr>
                    <w:widowControl/>
                    <w:jc w:val="center"/>
                    <w:textAlignment w:val="center"/>
                    <w:rPr>
                      <w:rFonts w:ascii="宋体" w:hAnsi="宋体"/>
                      <w:sz w:val="21"/>
                      <w:szCs w:val="21"/>
                      <w:highlight w:val="none"/>
                    </w:rPr>
                  </w:pPr>
                  <w:r>
                    <w:rPr>
                      <w:rFonts w:ascii="宋体" w:hAnsi="宋体"/>
                      <w:sz w:val="21"/>
                      <w:szCs w:val="21"/>
                      <w:highlight w:val="none"/>
                    </w:rPr>
                    <w:t>Vg（Nm</w:t>
                  </w:r>
                  <w:r>
                    <w:rPr>
                      <w:rFonts w:ascii="宋体" w:hAnsi="宋体"/>
                      <w:sz w:val="21"/>
                      <w:szCs w:val="21"/>
                      <w:highlight w:val="none"/>
                      <w:vertAlign w:val="superscript"/>
                    </w:rPr>
                    <w:t>3</w:t>
                  </w:r>
                  <w:r>
                    <w:rPr>
                      <w:rFonts w:ascii="宋体" w:hAnsi="宋体"/>
                      <w:sz w:val="21"/>
                      <w:szCs w:val="21"/>
                      <w:highlight w:val="none"/>
                    </w:rPr>
                    <w: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69" w:hRule="atLeast"/>
                <w:jc w:val="center"/>
              </w:trPr>
              <w:tc>
                <w:tcPr>
                  <w:tcW w:w="737" w:type="pct"/>
                  <w:noWrap w:val="0"/>
                  <w:vAlign w:val="top"/>
                </w:tcPr>
                <w:p>
                  <w:pPr>
                    <w:jc w:val="center"/>
                    <w:rPr>
                      <w:rFonts w:hint="eastAsia" w:ascii="宋体" w:hAnsi="宋体"/>
                      <w:position w:val="-10"/>
                      <w:sz w:val="21"/>
                      <w:szCs w:val="21"/>
                      <w:highlight w:val="none"/>
                    </w:rPr>
                  </w:pPr>
                  <w:r>
                    <w:rPr>
                      <w:rFonts w:hint="eastAsia" w:ascii="宋体" w:hAnsi="宋体"/>
                      <w:position w:val="-10"/>
                      <w:sz w:val="21"/>
                      <w:szCs w:val="21"/>
                      <w:highlight w:val="none"/>
                    </w:rPr>
                    <w:t>锅炉</w:t>
                  </w:r>
                </w:p>
              </w:tc>
              <w:tc>
                <w:tcPr>
                  <w:tcW w:w="1736" w:type="pct"/>
                  <w:noWrap w:val="0"/>
                  <w:vAlign w:val="center"/>
                </w:tcPr>
                <w:p>
                  <w:pPr>
                    <w:jc w:val="center"/>
                    <w:rPr>
                      <w:rFonts w:ascii="宋体" w:hAnsi="宋体"/>
                      <w:sz w:val="21"/>
                      <w:szCs w:val="21"/>
                      <w:highlight w:val="none"/>
                    </w:rPr>
                  </w:pPr>
                  <w:r>
                    <w:rPr>
                      <w:rFonts w:hint="eastAsia" w:ascii="宋体" w:hAnsi="宋体"/>
                      <w:position w:val="-10"/>
                      <w:sz w:val="21"/>
                      <w:szCs w:val="21"/>
                      <w:highlight w:val="none"/>
                    </w:rPr>
                    <w:object>
                      <v:shape id="_x0000_i1026" o:spt="75" type="#_x0000_t75" style="height:16.5pt;width:117.75pt;" o:ole="t" filled="f" o:preferrelative="t" stroked="f" coordsize="21600,21600">
                        <v:path/>
                        <v:fill on="f" focussize="0,0"/>
                        <v:stroke on="f"/>
                        <v:imagedata r:id="rId12" o:title=""/>
                        <o:lock v:ext="edit" aspectratio="t"/>
                        <w10:wrap type="none"/>
                        <w10:anchorlock/>
                      </v:shape>
                      <o:OLEObject Type="Embed" ProgID="Equation.3" ShapeID="_x0000_i1026" DrawAspect="Content" ObjectID="_1468075726" r:id="rId13">
                        <o:LockedField>false</o:LockedField>
                      </o:OLEObject>
                    </w:object>
                  </w:r>
                </w:p>
              </w:tc>
              <w:tc>
                <w:tcPr>
                  <w:tcW w:w="702" w:type="pct"/>
                  <w:noWrap w:val="0"/>
                  <w:vAlign w:val="center"/>
                </w:tcPr>
                <w:p>
                  <w:pPr>
                    <w:widowControl/>
                    <w:jc w:val="center"/>
                    <w:textAlignment w:val="center"/>
                    <w:rPr>
                      <w:rFonts w:ascii="宋体" w:hAnsi="宋体"/>
                      <w:sz w:val="21"/>
                      <w:szCs w:val="21"/>
                      <w:highlight w:val="none"/>
                    </w:rPr>
                  </w:pPr>
                  <w:r>
                    <w:rPr>
                      <w:rFonts w:ascii="宋体" w:hAnsi="宋体"/>
                      <w:sz w:val="21"/>
                      <w:szCs w:val="21"/>
                      <w:highlight w:val="none"/>
                    </w:rPr>
                    <w:t>15.76</w:t>
                  </w:r>
                </w:p>
              </w:tc>
              <w:tc>
                <w:tcPr>
                  <w:tcW w:w="631" w:type="pct"/>
                  <w:noWrap w:val="0"/>
                  <w:vAlign w:val="center"/>
                </w:tcPr>
                <w:p>
                  <w:pPr>
                    <w:widowControl/>
                    <w:jc w:val="center"/>
                    <w:textAlignment w:val="center"/>
                    <w:rPr>
                      <w:rFonts w:ascii="宋体" w:hAnsi="宋体"/>
                      <w:sz w:val="21"/>
                      <w:szCs w:val="21"/>
                      <w:highlight w:val="none"/>
                    </w:rPr>
                  </w:pPr>
                  <w:r>
                    <w:rPr>
                      <w:rFonts w:ascii="宋体" w:hAnsi="宋体"/>
                      <w:sz w:val="21"/>
                      <w:szCs w:val="21"/>
                      <w:highlight w:val="none"/>
                    </w:rPr>
                    <w:t>7.07</w:t>
                  </w:r>
                </w:p>
              </w:tc>
              <w:tc>
                <w:tcPr>
                  <w:tcW w:w="514" w:type="pct"/>
                  <w:noWrap w:val="0"/>
                  <w:vAlign w:val="center"/>
                </w:tcPr>
                <w:p>
                  <w:pPr>
                    <w:widowControl/>
                    <w:jc w:val="center"/>
                    <w:textAlignment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880</w:t>
                  </w:r>
                </w:p>
              </w:tc>
              <w:tc>
                <w:tcPr>
                  <w:tcW w:w="678" w:type="pct"/>
                  <w:noWrap w:val="0"/>
                  <w:vAlign w:val="center"/>
                </w:tcPr>
                <w:p>
                  <w:pPr>
                    <w:widowControl/>
                    <w:jc w:val="center"/>
                    <w:textAlignment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6.22</w:t>
                  </w:r>
                  <w:r>
                    <w:rPr>
                      <w:rFonts w:ascii="宋体" w:hAnsi="宋体" w:cs="Arial"/>
                      <w:sz w:val="21"/>
                      <w:szCs w:val="21"/>
                      <w:highlight w:val="none"/>
                    </w:rPr>
                    <w:t>×</w:t>
                  </w:r>
                  <w:r>
                    <w:rPr>
                      <w:rFonts w:hint="eastAsia" w:ascii="宋体" w:hAnsi="宋体"/>
                      <w:sz w:val="21"/>
                      <w:szCs w:val="21"/>
                      <w:highlight w:val="none"/>
                    </w:rPr>
                    <w:t>10</w:t>
                  </w:r>
                  <w:r>
                    <w:rPr>
                      <w:rFonts w:hint="eastAsia" w:ascii="宋体" w:hAnsi="宋体"/>
                      <w:sz w:val="21"/>
                      <w:szCs w:val="21"/>
                      <w:highlight w:val="none"/>
                      <w:vertAlign w:val="superscript"/>
                      <w:lang w:val="en-US" w:eastAsia="zh-CN"/>
                    </w:rPr>
                    <w:t>6</w:t>
                  </w:r>
                </w:p>
              </w:tc>
            </w:tr>
          </w:tbl>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②颗粒物（烟尘）</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根据《污染源源强核算技术指南 锅炉》（</w:t>
            </w:r>
            <w:r>
              <w:rPr>
                <w:rFonts w:ascii="宋体" w:hAnsi="宋体"/>
                <w:sz w:val="24"/>
                <w:szCs w:val="24"/>
                <w:highlight w:val="none"/>
              </w:rPr>
              <w:t>HJ991-2018</w:t>
            </w:r>
            <w:r>
              <w:rPr>
                <w:rFonts w:hint="eastAsia" w:ascii="宋体" w:hAnsi="宋体"/>
                <w:sz w:val="24"/>
                <w:szCs w:val="24"/>
                <w:highlight w:val="none"/>
              </w:rPr>
              <w:t>），烟尘排放量依据以下公式计算：</w:t>
            </w:r>
          </w:p>
          <w:p>
            <w:pPr>
              <w:pStyle w:val="13"/>
              <w:widowControl/>
              <w:spacing w:line="240" w:lineRule="auto"/>
              <w:rPr>
                <w:rFonts w:ascii="宋体"/>
                <w:highlight w:val="none"/>
              </w:rPr>
            </w:pPr>
            <w:r>
              <w:rPr>
                <w:rFonts w:ascii="宋体"/>
                <w:highlight w:val="none"/>
              </w:rPr>
              <w:drawing>
                <wp:inline distT="0" distB="0" distL="114300" distR="114300">
                  <wp:extent cx="1951355" cy="735330"/>
                  <wp:effectExtent l="0" t="0" r="10795" b="7620"/>
                  <wp:docPr id="90" name="图片 5" descr="说明: 360截图201903111642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descr="说明: 360截图20190311164235782"/>
                          <pic:cNvPicPr>
                            <a:picLocks noChangeAspect="1"/>
                          </pic:cNvPicPr>
                        </pic:nvPicPr>
                        <pic:blipFill>
                          <a:blip r:embed="rId14"/>
                          <a:stretch>
                            <a:fillRect/>
                          </a:stretch>
                        </pic:blipFill>
                        <pic:spPr>
                          <a:xfrm>
                            <a:off x="0" y="0"/>
                            <a:ext cx="1951355" cy="735330"/>
                          </a:xfrm>
                          <a:prstGeom prst="rect">
                            <a:avLst/>
                          </a:prstGeom>
                          <a:noFill/>
                          <a:ln>
                            <a:noFill/>
                          </a:ln>
                        </pic:spPr>
                      </pic:pic>
                    </a:graphicData>
                  </a:graphic>
                </wp:inline>
              </w:drawing>
            </w:r>
          </w:p>
          <w:p>
            <w:pPr>
              <w:pStyle w:val="67"/>
              <w:adjustRightInd w:val="0"/>
              <w:snapToGrid w:val="0"/>
              <w:spacing w:line="360" w:lineRule="auto"/>
              <w:ind w:firstLine="480" w:firstLineChars="200"/>
              <w:outlineLvl w:val="0"/>
              <w:rPr>
                <w:rFonts w:ascii="宋体" w:hAnsi="宋体"/>
                <w:sz w:val="24"/>
                <w:szCs w:val="24"/>
                <w:highlight w:val="none"/>
              </w:rPr>
            </w:pPr>
            <w:r>
              <w:rPr>
                <w:rFonts w:ascii="宋体" w:hAnsi="宋体"/>
                <w:sz w:val="24"/>
                <w:szCs w:val="24"/>
                <w:highlight w:val="none"/>
              </w:rPr>
              <w:t>式中：E</w:t>
            </w:r>
            <w:r>
              <w:rPr>
                <w:rFonts w:ascii="宋体" w:hAnsi="宋体"/>
                <w:sz w:val="24"/>
                <w:szCs w:val="24"/>
                <w:highlight w:val="none"/>
                <w:vertAlign w:val="subscript"/>
              </w:rPr>
              <w:t>A</w:t>
            </w:r>
            <w:r>
              <w:rPr>
                <w:rFonts w:ascii="宋体" w:hAnsi="宋体"/>
                <w:sz w:val="24"/>
                <w:szCs w:val="24"/>
                <w:highlight w:val="none"/>
              </w:rPr>
              <w:t>：</w:t>
            </w:r>
            <w:r>
              <w:rPr>
                <w:rFonts w:hint="eastAsia" w:ascii="宋体" w:hAnsi="宋体"/>
                <w:sz w:val="24"/>
                <w:szCs w:val="24"/>
                <w:highlight w:val="none"/>
              </w:rPr>
              <w:t>核算时段内颗粒物（烟尘）排放量</w:t>
            </w:r>
            <w:r>
              <w:rPr>
                <w:rFonts w:ascii="宋体" w:hAnsi="宋体"/>
                <w:sz w:val="24"/>
                <w:szCs w:val="24"/>
                <w:highlight w:val="none"/>
              </w:rPr>
              <w:t>，t；</w:t>
            </w:r>
          </w:p>
          <w:p>
            <w:pPr>
              <w:pStyle w:val="67"/>
              <w:adjustRightInd w:val="0"/>
              <w:snapToGrid w:val="0"/>
              <w:spacing w:line="360" w:lineRule="auto"/>
              <w:ind w:left="630" w:leftChars="300" w:firstLine="480" w:firstLineChars="200"/>
              <w:rPr>
                <w:rFonts w:ascii="宋体" w:hAnsi="宋体"/>
                <w:sz w:val="24"/>
                <w:szCs w:val="24"/>
                <w:highlight w:val="none"/>
              </w:rPr>
            </w:pPr>
            <w:r>
              <w:rPr>
                <w:rFonts w:ascii="宋体" w:hAnsi="宋体"/>
                <w:sz w:val="24"/>
                <w:szCs w:val="24"/>
                <w:highlight w:val="none"/>
              </w:rPr>
              <w:t>R：</w:t>
            </w:r>
            <w:r>
              <w:rPr>
                <w:rFonts w:hint="eastAsia" w:ascii="宋体" w:hAnsi="宋体"/>
                <w:sz w:val="24"/>
                <w:szCs w:val="24"/>
                <w:highlight w:val="none"/>
              </w:rPr>
              <w:t>核算时段内锅炉燃料耗量，</w:t>
            </w:r>
            <w:r>
              <w:rPr>
                <w:rFonts w:ascii="宋体" w:hAnsi="宋体"/>
                <w:sz w:val="24"/>
                <w:szCs w:val="24"/>
                <w:highlight w:val="none"/>
              </w:rPr>
              <w:t>t；</w:t>
            </w:r>
          </w:p>
          <w:p>
            <w:pPr>
              <w:pStyle w:val="67"/>
              <w:adjustRightInd w:val="0"/>
              <w:snapToGrid w:val="0"/>
              <w:spacing w:line="360" w:lineRule="auto"/>
              <w:ind w:left="630" w:leftChars="300" w:firstLine="480" w:firstLineChars="200"/>
              <w:rPr>
                <w:rFonts w:ascii="宋体" w:hAnsi="宋体"/>
                <w:sz w:val="24"/>
                <w:szCs w:val="24"/>
                <w:highlight w:val="none"/>
              </w:rPr>
            </w:pPr>
            <w:r>
              <w:rPr>
                <w:rFonts w:ascii="宋体" w:hAnsi="宋体"/>
                <w:sz w:val="24"/>
                <w:szCs w:val="24"/>
                <w:highlight w:val="none"/>
              </w:rPr>
              <w:t>A</w:t>
            </w:r>
            <w:r>
              <w:rPr>
                <w:rFonts w:ascii="宋体" w:hAnsi="宋体"/>
                <w:sz w:val="24"/>
                <w:szCs w:val="24"/>
                <w:highlight w:val="none"/>
                <w:vertAlign w:val="subscript"/>
              </w:rPr>
              <w:t>ar</w:t>
            </w:r>
            <w:r>
              <w:rPr>
                <w:rFonts w:ascii="宋体" w:hAnsi="宋体"/>
                <w:sz w:val="24"/>
                <w:szCs w:val="24"/>
                <w:highlight w:val="none"/>
              </w:rPr>
              <w:t>：</w:t>
            </w:r>
            <w:r>
              <w:rPr>
                <w:rFonts w:hint="eastAsia" w:ascii="宋体" w:hAnsi="宋体"/>
                <w:sz w:val="24"/>
                <w:szCs w:val="24"/>
                <w:highlight w:val="none"/>
              </w:rPr>
              <w:t>收到基灰分的质量分数，</w:t>
            </w:r>
            <w:r>
              <w:rPr>
                <w:rFonts w:ascii="宋体" w:hAnsi="宋体"/>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ascii="宋体" w:hAnsi="宋体"/>
                <w:sz w:val="24"/>
                <w:szCs w:val="24"/>
                <w:highlight w:val="none"/>
              </w:rPr>
              <w:t>d</w:t>
            </w:r>
            <w:r>
              <w:rPr>
                <w:rFonts w:ascii="宋体" w:hAnsi="宋体"/>
                <w:sz w:val="24"/>
                <w:szCs w:val="24"/>
                <w:highlight w:val="none"/>
                <w:vertAlign w:val="subscript"/>
              </w:rPr>
              <w:t>fh</w:t>
            </w:r>
            <w:r>
              <w:rPr>
                <w:rFonts w:ascii="宋体" w:hAnsi="宋体"/>
                <w:sz w:val="24"/>
                <w:szCs w:val="24"/>
                <w:highlight w:val="none"/>
              </w:rPr>
              <w:t>：</w:t>
            </w:r>
            <w:r>
              <w:rPr>
                <w:rFonts w:hint="eastAsia" w:ascii="宋体" w:hAnsi="宋体"/>
                <w:sz w:val="24"/>
                <w:szCs w:val="24"/>
                <w:highlight w:val="none"/>
              </w:rPr>
              <w:t>锅炉烟气带出的飞灰份额，</w:t>
            </w:r>
            <w:r>
              <w:rPr>
                <w:rFonts w:ascii="宋体" w:hAnsi="宋体"/>
                <w:sz w:val="24"/>
                <w:szCs w:val="24"/>
                <w:highlight w:val="none"/>
              </w:rPr>
              <w:t>%；</w:t>
            </w:r>
          </w:p>
          <w:p>
            <w:pPr>
              <w:pStyle w:val="13"/>
              <w:spacing w:line="360" w:lineRule="auto"/>
              <w:ind w:firstLine="720" w:firstLineChars="300"/>
              <w:rPr>
                <w:rFonts w:ascii="宋体"/>
                <w:highlight w:val="none"/>
              </w:rPr>
            </w:pPr>
            <w:r>
              <w:rPr>
                <w:rFonts w:ascii="宋体"/>
                <w:highlight w:val="none"/>
              </w:rPr>
              <w:t>ηc：</w:t>
            </w:r>
            <w:r>
              <w:rPr>
                <w:rFonts w:hint="eastAsia" w:ascii="宋体"/>
                <w:highlight w:val="none"/>
              </w:rPr>
              <w:t>综合除尘效率，</w:t>
            </w:r>
            <w:r>
              <w:rPr>
                <w:rFonts w:ascii="宋体"/>
                <w:highlight w:val="none"/>
              </w:rPr>
              <w:t>%；</w:t>
            </w:r>
          </w:p>
          <w:p>
            <w:pPr>
              <w:pStyle w:val="67"/>
              <w:adjustRightInd w:val="0"/>
              <w:snapToGrid w:val="0"/>
              <w:spacing w:line="360" w:lineRule="auto"/>
              <w:ind w:firstLine="720" w:firstLineChars="300"/>
              <w:rPr>
                <w:rFonts w:ascii="宋体" w:hAnsi="宋体"/>
                <w:sz w:val="24"/>
                <w:szCs w:val="24"/>
                <w:highlight w:val="none"/>
              </w:rPr>
            </w:pPr>
            <w:r>
              <w:rPr>
                <w:rFonts w:hint="eastAsia" w:ascii="宋体" w:hAnsi="宋体"/>
                <w:sz w:val="24"/>
                <w:szCs w:val="24"/>
                <w:highlight w:val="none"/>
              </w:rPr>
              <w:t>Cfn</w:t>
            </w:r>
            <w:r>
              <w:rPr>
                <w:rFonts w:ascii="宋体" w:hAnsi="宋体"/>
                <w:sz w:val="24"/>
                <w:szCs w:val="24"/>
                <w:highlight w:val="none"/>
              </w:rPr>
              <w:t>：</w:t>
            </w:r>
            <w:r>
              <w:rPr>
                <w:rFonts w:hint="eastAsia" w:ascii="宋体" w:hAnsi="宋体"/>
                <w:sz w:val="24"/>
                <w:szCs w:val="24"/>
                <w:highlight w:val="none"/>
              </w:rPr>
              <w:t>飞灰中的可燃物含量，</w:t>
            </w:r>
            <w:r>
              <w:rPr>
                <w:rFonts w:ascii="宋体" w:hAnsi="宋体"/>
                <w:sz w:val="24"/>
                <w:szCs w:val="24"/>
                <w:highlight w:val="none"/>
              </w:rPr>
              <w:t>%。</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各参数取值及颗粒物计算结果见下表：</w:t>
            </w:r>
          </w:p>
          <w:p>
            <w:pPr>
              <w:jc w:val="center"/>
              <w:rPr>
                <w:rFonts w:hint="eastAsia" w:ascii="宋体" w:hAnsi="宋体"/>
                <w:b/>
                <w:bCs/>
                <w:szCs w:val="21"/>
                <w:highlight w:val="none"/>
                <w:u w:val="single"/>
              </w:rPr>
            </w:pPr>
          </w:p>
          <w:p>
            <w:pPr>
              <w:jc w:val="center"/>
              <w:rPr>
                <w:rFonts w:hint="eastAsia" w:ascii="宋体" w:hAnsi="宋体"/>
                <w:b/>
                <w:bCs/>
                <w:szCs w:val="21"/>
                <w:highlight w:val="none"/>
                <w:u w:val="single"/>
              </w:rPr>
            </w:pPr>
          </w:p>
          <w:p>
            <w:pPr>
              <w:jc w:val="center"/>
              <w:rPr>
                <w:rFonts w:ascii="宋体" w:hAnsi="宋体"/>
                <w:b/>
                <w:bCs/>
                <w:szCs w:val="21"/>
                <w:highlight w:val="none"/>
                <w:u w:val="single"/>
              </w:rPr>
            </w:pPr>
            <w:r>
              <w:rPr>
                <w:rFonts w:hint="eastAsia" w:ascii="宋体" w:hAnsi="宋体"/>
                <w:b/>
                <w:bCs/>
                <w:szCs w:val="21"/>
                <w:highlight w:val="none"/>
                <w:u w:val="single"/>
              </w:rPr>
              <w:t>表4-</w:t>
            </w:r>
            <w:r>
              <w:rPr>
                <w:rFonts w:hint="eastAsia" w:ascii="宋体" w:hAnsi="宋体"/>
                <w:b/>
                <w:bCs/>
                <w:szCs w:val="21"/>
                <w:highlight w:val="none"/>
                <w:u w:val="single"/>
                <w:lang w:val="en-US" w:eastAsia="zh-CN"/>
              </w:rPr>
              <w:t>2</w:t>
            </w:r>
            <w:r>
              <w:rPr>
                <w:rFonts w:hint="eastAsia" w:ascii="宋体" w:hAnsi="宋体"/>
                <w:b/>
                <w:bCs/>
                <w:szCs w:val="21"/>
                <w:highlight w:val="none"/>
                <w:u w:val="single"/>
              </w:rPr>
              <w:t xml:space="preserve">   颗粒物计算结果</w:t>
            </w:r>
          </w:p>
          <w:tbl>
            <w:tblPr>
              <w:tblStyle w:val="23"/>
              <w:tblW w:w="5000" w:type="pct"/>
              <w:jc w:val="center"/>
              <w:tblLayout w:type="autofit"/>
              <w:tblCellMar>
                <w:top w:w="15" w:type="dxa"/>
                <w:left w:w="15" w:type="dxa"/>
                <w:bottom w:w="15" w:type="dxa"/>
                <w:right w:w="15" w:type="dxa"/>
              </w:tblCellMar>
            </w:tblPr>
            <w:tblGrid>
              <w:gridCol w:w="1506"/>
              <w:gridCol w:w="3120"/>
              <w:gridCol w:w="555"/>
              <w:gridCol w:w="555"/>
              <w:gridCol w:w="555"/>
              <w:gridCol w:w="555"/>
              <w:gridCol w:w="556"/>
              <w:gridCol w:w="766"/>
            </w:tblGrid>
            <w:tr>
              <w:tblPrEx>
                <w:tblCellMar>
                  <w:top w:w="15" w:type="dxa"/>
                  <w:left w:w="15" w:type="dxa"/>
                  <w:bottom w:w="15" w:type="dxa"/>
                  <w:right w:w="15" w:type="dxa"/>
                </w:tblCellMar>
              </w:tblPrEx>
              <w:trPr>
                <w:trHeight w:val="390" w:hRule="atLeast"/>
                <w:jc w:val="center"/>
              </w:trPr>
              <w:tc>
                <w:tcPr>
                  <w:tcW w:w="932" w:type="pct"/>
                  <w:tcBorders>
                    <w:top w:val="single" w:color="auto" w:sz="12" w:space="0"/>
                    <w:bottom w:val="single" w:color="000000" w:sz="4" w:space="0"/>
                    <w:right w:val="single" w:color="000000" w:sz="4" w:space="0"/>
                  </w:tcBorders>
                  <w:noWrap w:val="0"/>
                  <w:vAlign w:val="top"/>
                </w:tcPr>
                <w:p>
                  <w:pPr>
                    <w:widowControl/>
                    <w:jc w:val="center"/>
                    <w:textAlignment w:val="center"/>
                    <w:rPr>
                      <w:rFonts w:hint="eastAsia" w:ascii="宋体" w:hAnsi="宋体"/>
                      <w:szCs w:val="21"/>
                      <w:highlight w:val="none"/>
                    </w:rPr>
                  </w:pPr>
                  <w:r>
                    <w:rPr>
                      <w:rFonts w:hint="eastAsia" w:ascii="宋体" w:hAnsi="宋体"/>
                      <w:szCs w:val="21"/>
                      <w:highlight w:val="none"/>
                    </w:rPr>
                    <w:t>项目</w:t>
                  </w:r>
                </w:p>
              </w:tc>
              <w:tc>
                <w:tcPr>
                  <w:tcW w:w="1900" w:type="pct"/>
                  <w:tcBorders>
                    <w:top w:val="single" w:color="auto" w:sz="12"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计算公式</w:t>
                  </w:r>
                </w:p>
              </w:tc>
              <w:tc>
                <w:tcPr>
                  <w:tcW w:w="339" w:type="pct"/>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R（t）</w:t>
                  </w:r>
                </w:p>
              </w:tc>
              <w:tc>
                <w:tcPr>
                  <w:tcW w:w="339" w:type="pct"/>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A</w:t>
                  </w:r>
                  <w:r>
                    <w:rPr>
                      <w:rFonts w:ascii="宋体" w:hAnsi="宋体"/>
                      <w:szCs w:val="21"/>
                      <w:highlight w:val="none"/>
                      <w:vertAlign w:val="subscript"/>
                    </w:rPr>
                    <w:t>ar</w:t>
                  </w:r>
                  <w:r>
                    <w:rPr>
                      <w:rFonts w:ascii="宋体" w:hAnsi="宋体"/>
                      <w:szCs w:val="21"/>
                      <w:highlight w:val="none"/>
                    </w:rPr>
                    <w:t>（%）</w:t>
                  </w:r>
                </w:p>
              </w:tc>
              <w:tc>
                <w:tcPr>
                  <w:tcW w:w="339" w:type="pct"/>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d</w:t>
                  </w:r>
                  <w:r>
                    <w:rPr>
                      <w:rFonts w:ascii="宋体" w:hAnsi="宋体"/>
                      <w:szCs w:val="21"/>
                      <w:highlight w:val="none"/>
                      <w:vertAlign w:val="subscript"/>
                    </w:rPr>
                    <w:t>fh</w:t>
                  </w:r>
                  <w:r>
                    <w:rPr>
                      <w:rFonts w:ascii="宋体" w:hAnsi="宋体"/>
                      <w:szCs w:val="21"/>
                      <w:highlight w:val="none"/>
                    </w:rPr>
                    <w:t>（%）</w:t>
                  </w:r>
                </w:p>
              </w:tc>
              <w:tc>
                <w:tcPr>
                  <w:tcW w:w="339" w:type="pct"/>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η</w:t>
                  </w:r>
                  <w:r>
                    <w:rPr>
                      <w:rFonts w:ascii="宋体" w:hAnsi="宋体"/>
                      <w:szCs w:val="21"/>
                      <w:highlight w:val="none"/>
                      <w:vertAlign w:val="subscript"/>
                    </w:rPr>
                    <w:t>c</w:t>
                  </w:r>
                  <w:r>
                    <w:rPr>
                      <w:rFonts w:ascii="宋体" w:hAnsi="宋体"/>
                      <w:szCs w:val="21"/>
                      <w:highlight w:val="none"/>
                    </w:rPr>
                    <w:t>（%）</w:t>
                  </w:r>
                </w:p>
              </w:tc>
              <w:tc>
                <w:tcPr>
                  <w:tcW w:w="339" w:type="pct"/>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C</w:t>
                  </w:r>
                  <w:r>
                    <w:rPr>
                      <w:rFonts w:ascii="宋体" w:hAnsi="宋体"/>
                      <w:szCs w:val="21"/>
                      <w:highlight w:val="none"/>
                      <w:vertAlign w:val="subscript"/>
                    </w:rPr>
                    <w:t>fn</w:t>
                  </w:r>
                  <w:r>
                    <w:rPr>
                      <w:rFonts w:ascii="宋体" w:hAnsi="宋体"/>
                      <w:szCs w:val="21"/>
                      <w:highlight w:val="none"/>
                    </w:rPr>
                    <w:t>（%）</w:t>
                  </w:r>
                </w:p>
              </w:tc>
              <w:tc>
                <w:tcPr>
                  <w:tcW w:w="468" w:type="pct"/>
                  <w:tcBorders>
                    <w:top w:val="single" w:color="auto" w:sz="12" w:space="0"/>
                    <w:left w:val="single" w:color="000000" w:sz="4" w:space="0"/>
                    <w:bottom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E</w:t>
                  </w:r>
                  <w:r>
                    <w:rPr>
                      <w:rFonts w:ascii="宋体" w:hAnsi="宋体"/>
                      <w:szCs w:val="21"/>
                      <w:highlight w:val="none"/>
                      <w:vertAlign w:val="subscript"/>
                    </w:rPr>
                    <w:t>A</w:t>
                  </w:r>
                  <w:r>
                    <w:rPr>
                      <w:rFonts w:ascii="宋体" w:hAnsi="宋体"/>
                      <w:szCs w:val="21"/>
                      <w:highlight w:val="none"/>
                    </w:rPr>
                    <w:t>（t/a）</w:t>
                  </w:r>
                </w:p>
              </w:tc>
            </w:tr>
            <w:tr>
              <w:tblPrEx>
                <w:tblCellMar>
                  <w:top w:w="15" w:type="dxa"/>
                  <w:left w:w="15" w:type="dxa"/>
                  <w:bottom w:w="15" w:type="dxa"/>
                  <w:right w:w="15" w:type="dxa"/>
                </w:tblCellMar>
              </w:tblPrEx>
              <w:trPr>
                <w:trHeight w:val="572" w:hRule="atLeast"/>
                <w:jc w:val="center"/>
              </w:trPr>
              <w:tc>
                <w:tcPr>
                  <w:tcW w:w="932" w:type="pct"/>
                  <w:tcBorders>
                    <w:top w:val="single" w:color="000000" w:sz="4" w:space="0"/>
                    <w:bottom w:val="single" w:color="000000" w:sz="4" w:space="0"/>
                    <w:right w:val="single" w:color="000000" w:sz="4" w:space="0"/>
                  </w:tcBorders>
                  <w:noWrap w:val="0"/>
                  <w:vAlign w:val="center"/>
                </w:tcPr>
                <w:p>
                  <w:pPr>
                    <w:jc w:val="center"/>
                    <w:rPr>
                      <w:rFonts w:ascii="宋体" w:hAnsi="宋体"/>
                      <w:szCs w:val="21"/>
                      <w:highlight w:val="none"/>
                    </w:rPr>
                  </w:pPr>
                  <w:r>
                    <w:rPr>
                      <w:rFonts w:ascii="宋体" w:hAnsi="宋体"/>
                      <w:szCs w:val="21"/>
                      <w:highlight w:val="none"/>
                    </w:rPr>
                    <w:t>锅炉</w:t>
                  </w:r>
                </w:p>
              </w:tc>
              <w:tc>
                <w:tcPr>
                  <w:tcW w:w="1900" w:type="pct"/>
                  <w:tcBorders>
                    <w:top w:val="single" w:color="000000" w:sz="4" w:space="0"/>
                    <w:right w:val="single" w:color="000000" w:sz="4" w:space="0"/>
                  </w:tcBorders>
                  <w:noWrap w:val="0"/>
                  <w:vAlign w:val="center"/>
                </w:tcPr>
                <w:p>
                  <w:pPr>
                    <w:jc w:val="center"/>
                    <w:rPr>
                      <w:rFonts w:ascii="宋体" w:hAnsi="宋体"/>
                      <w:szCs w:val="21"/>
                      <w:highlight w:val="none"/>
                    </w:rPr>
                  </w:pPr>
                  <w:r>
                    <w:rPr>
                      <w:rFonts w:ascii="宋体" w:hAnsi="宋体"/>
                      <w:szCs w:val="21"/>
                      <w:highlight w:val="none"/>
                    </w:rPr>
                    <w:drawing>
                      <wp:inline distT="0" distB="0" distL="114300" distR="114300">
                        <wp:extent cx="1951355" cy="735330"/>
                        <wp:effectExtent l="0" t="0" r="10795" b="7620"/>
                        <wp:docPr id="91" name="图片 6" descr="说明: 360截图201903111642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说明: 360截图20190311164235782"/>
                                <pic:cNvPicPr>
                                  <a:picLocks noChangeAspect="1"/>
                                </pic:cNvPicPr>
                              </pic:nvPicPr>
                              <pic:blipFill>
                                <a:blip r:embed="rId14"/>
                                <a:stretch>
                                  <a:fillRect/>
                                </a:stretch>
                              </pic:blipFill>
                              <pic:spPr>
                                <a:xfrm>
                                  <a:off x="0" y="0"/>
                                  <a:ext cx="1951355" cy="735330"/>
                                </a:xfrm>
                                <a:prstGeom prst="rect">
                                  <a:avLst/>
                                </a:prstGeom>
                                <a:noFill/>
                                <a:ln>
                                  <a:noFill/>
                                </a:ln>
                              </pic:spPr>
                            </pic:pic>
                          </a:graphicData>
                        </a:graphic>
                      </wp:inline>
                    </w:drawing>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val="en-US" w:eastAsia="zh-CN"/>
                    </w:rPr>
                    <w:t>880</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11.43</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50</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9</w:t>
                  </w:r>
                  <w:r>
                    <w:rPr>
                      <w:rFonts w:hint="eastAsia" w:ascii="宋体" w:hAnsi="宋体"/>
                      <w:szCs w:val="21"/>
                      <w:highlight w:val="none"/>
                    </w:rPr>
                    <w:t>9.9</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yellow"/>
                    </w:rPr>
                  </w:pPr>
                  <w:r>
                    <w:rPr>
                      <w:rFonts w:ascii="宋体" w:hAnsi="宋体"/>
                      <w:szCs w:val="21"/>
                      <w:highlight w:val="none"/>
                    </w:rPr>
                    <w:t>15</w:t>
                  </w:r>
                </w:p>
              </w:tc>
              <w:tc>
                <w:tcPr>
                  <w:tcW w:w="468" w:type="pct"/>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eastAsia="宋体"/>
                      <w:szCs w:val="21"/>
                      <w:highlight w:val="yellow"/>
                      <w:lang w:eastAsia="zh-CN"/>
                    </w:rPr>
                  </w:pPr>
                  <w:r>
                    <w:rPr>
                      <w:rFonts w:hint="eastAsia" w:ascii="宋体" w:hAnsi="宋体"/>
                      <w:szCs w:val="21"/>
                      <w:highlight w:val="none"/>
                    </w:rPr>
                    <w:t>0.0</w:t>
                  </w:r>
                  <w:r>
                    <w:rPr>
                      <w:rFonts w:hint="eastAsia" w:ascii="宋体" w:hAnsi="宋体"/>
                      <w:szCs w:val="21"/>
                      <w:highlight w:val="none"/>
                      <w:lang w:val="en-US" w:eastAsia="zh-CN"/>
                    </w:rPr>
                    <w:t>6</w:t>
                  </w:r>
                </w:p>
              </w:tc>
            </w:tr>
          </w:tbl>
          <w:p>
            <w:pPr>
              <w:pStyle w:val="67"/>
              <w:adjustRightInd w:val="0"/>
              <w:snapToGrid w:val="0"/>
              <w:spacing w:before="120" w:beforeLines="50" w:line="360" w:lineRule="auto"/>
              <w:ind w:firstLine="480" w:firstLineChars="200"/>
              <w:rPr>
                <w:rFonts w:hint="eastAsia" w:ascii="宋体" w:hAnsi="宋体"/>
                <w:sz w:val="24"/>
                <w:szCs w:val="24"/>
                <w:highlight w:val="none"/>
              </w:rPr>
            </w:pPr>
            <w:r>
              <w:rPr>
                <w:rFonts w:hint="eastAsia" w:ascii="宋体" w:hAnsi="宋体"/>
                <w:sz w:val="24"/>
                <w:highlight w:val="none"/>
              </w:rPr>
              <w:t>注：本项目锅炉为链条炉，燃料为生物质颗粒，根据HJ991-2018表B.2，飞灰份额加 30%。d</w:t>
            </w:r>
            <w:r>
              <w:rPr>
                <w:rFonts w:hint="eastAsia" w:ascii="宋体" w:hAnsi="宋体"/>
                <w:sz w:val="24"/>
                <w:highlight w:val="none"/>
                <w:vertAlign w:val="subscript"/>
              </w:rPr>
              <w:t>fh</w:t>
            </w:r>
            <w:r>
              <w:rPr>
                <w:rFonts w:hint="eastAsia" w:ascii="宋体" w:hAnsi="宋体"/>
                <w:sz w:val="24"/>
                <w:highlight w:val="none"/>
              </w:rPr>
              <w:t>取最大值为50%。</w:t>
            </w:r>
          </w:p>
          <w:p>
            <w:pPr>
              <w:pStyle w:val="67"/>
              <w:adjustRightInd w:val="0"/>
              <w:snapToGrid w:val="0"/>
              <w:spacing w:before="120" w:beforeLines="50" w:line="360" w:lineRule="auto"/>
              <w:ind w:firstLine="480" w:firstLineChars="200"/>
              <w:rPr>
                <w:rFonts w:ascii="宋体" w:hAnsi="宋体"/>
                <w:sz w:val="24"/>
                <w:szCs w:val="24"/>
                <w:highlight w:val="none"/>
                <w:u w:val="single"/>
              </w:rPr>
            </w:pPr>
            <w:r>
              <w:rPr>
                <w:rFonts w:hint="eastAsia" w:ascii="宋体" w:hAnsi="宋体"/>
                <w:sz w:val="24"/>
                <w:szCs w:val="24"/>
                <w:highlight w:val="none"/>
              </w:rPr>
              <w:t>根据上表计算结果可知，本项目颗粒物排放量为0.0</w:t>
            </w:r>
            <w:r>
              <w:rPr>
                <w:rFonts w:hint="eastAsia" w:ascii="宋体" w:hAnsi="宋体"/>
                <w:sz w:val="24"/>
                <w:szCs w:val="24"/>
                <w:highlight w:val="none"/>
                <w:lang w:val="en-US" w:eastAsia="zh-CN"/>
              </w:rPr>
              <w:t>6</w:t>
            </w:r>
            <w:r>
              <w:rPr>
                <w:rFonts w:ascii="宋体" w:hAnsi="宋体"/>
                <w:sz w:val="24"/>
                <w:szCs w:val="24"/>
                <w:highlight w:val="none"/>
              </w:rPr>
              <w:t>t/a</w:t>
            </w:r>
            <w:r>
              <w:rPr>
                <w:rFonts w:hint="eastAsia" w:ascii="宋体" w:hAnsi="宋体"/>
                <w:sz w:val="24"/>
                <w:szCs w:val="24"/>
                <w:highlight w:val="none"/>
              </w:rPr>
              <w:t>。拟采取措施：</w:t>
            </w:r>
            <w:r>
              <w:rPr>
                <w:rFonts w:hint="eastAsia" w:ascii="宋体" w:hAnsi="宋体"/>
                <w:sz w:val="24"/>
                <w:szCs w:val="24"/>
                <w:highlight w:val="none"/>
                <w:u w:val="single"/>
              </w:rPr>
              <w:t>项目建成后锅炉废气通过布袋除尘设备（除尘效率99.9%）处理后</w:t>
            </w:r>
            <w:r>
              <w:rPr>
                <w:rFonts w:ascii="宋体" w:hAnsi="宋体"/>
                <w:sz w:val="24"/>
                <w:szCs w:val="24"/>
                <w:highlight w:val="none"/>
                <w:u w:val="single"/>
              </w:rPr>
              <w:t>，由</w:t>
            </w:r>
            <w:r>
              <w:rPr>
                <w:rFonts w:hint="eastAsia" w:ascii="宋体" w:hAnsi="宋体"/>
                <w:sz w:val="24"/>
                <w:szCs w:val="24"/>
                <w:highlight w:val="none"/>
                <w:u w:val="single"/>
                <w:lang w:val="en-US" w:eastAsia="zh-CN"/>
              </w:rPr>
              <w:t>35</w:t>
            </w:r>
            <w:r>
              <w:rPr>
                <w:rFonts w:hint="eastAsia" w:ascii="宋体" w:hAnsi="宋体"/>
                <w:sz w:val="24"/>
                <w:szCs w:val="24"/>
                <w:highlight w:val="none"/>
                <w:u w:val="single"/>
              </w:rPr>
              <w:t>m高（内径0.</w:t>
            </w:r>
            <w:r>
              <w:rPr>
                <w:rFonts w:hint="eastAsia" w:ascii="宋体" w:hAnsi="宋体"/>
                <w:sz w:val="24"/>
                <w:szCs w:val="24"/>
                <w:highlight w:val="none"/>
                <w:u w:val="single"/>
                <w:lang w:val="en-US" w:eastAsia="zh-CN"/>
              </w:rPr>
              <w:t>5</w:t>
            </w:r>
            <w:r>
              <w:rPr>
                <w:rFonts w:hint="eastAsia" w:ascii="宋体" w:hAnsi="宋体"/>
                <w:sz w:val="24"/>
                <w:szCs w:val="24"/>
                <w:highlight w:val="none"/>
                <w:u w:val="single"/>
              </w:rPr>
              <w:t>m）烟囱排放（烟囱符合采样部位要设置永久采样孔并设置采样监测平台和排污口标志内容）。</w:t>
            </w:r>
          </w:p>
          <w:p>
            <w:pPr>
              <w:pStyle w:val="67"/>
              <w:adjustRightInd w:val="0"/>
              <w:snapToGrid w:val="0"/>
              <w:spacing w:line="360" w:lineRule="auto"/>
              <w:ind w:firstLine="480" w:firstLineChars="200"/>
              <w:outlineLvl w:val="0"/>
              <w:rPr>
                <w:rFonts w:ascii="宋体" w:hAnsi="宋体"/>
                <w:sz w:val="24"/>
                <w:szCs w:val="24"/>
                <w:highlight w:val="none"/>
              </w:rPr>
            </w:pPr>
            <w:r>
              <w:rPr>
                <w:rFonts w:hint="eastAsia" w:ascii="宋体" w:hAnsi="宋体"/>
                <w:sz w:val="24"/>
                <w:szCs w:val="24"/>
                <w:highlight w:val="none"/>
              </w:rPr>
              <w:t>③</w:t>
            </w:r>
            <w:r>
              <w:rPr>
                <w:rFonts w:ascii="宋体" w:hAnsi="宋体"/>
                <w:sz w:val="24"/>
                <w:szCs w:val="24"/>
                <w:highlight w:val="none"/>
              </w:rPr>
              <w:t>SO</w:t>
            </w:r>
            <w:r>
              <w:rPr>
                <w:rFonts w:ascii="宋体" w:hAnsi="宋体"/>
                <w:sz w:val="24"/>
                <w:szCs w:val="24"/>
                <w:highlight w:val="none"/>
                <w:vertAlign w:val="subscript"/>
              </w:rPr>
              <w:t>2</w:t>
            </w:r>
            <w:r>
              <w:rPr>
                <w:rFonts w:hint="eastAsia" w:ascii="宋体" w:hAnsi="宋体"/>
                <w:sz w:val="24"/>
                <w:szCs w:val="24"/>
                <w:highlight w:val="none"/>
              </w:rPr>
              <w:t>排放情况</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根据《污染源源强核算技术指南 锅炉》（HJ991-2018）附录B中表B.7，</w:t>
            </w:r>
            <w:r>
              <w:rPr>
                <w:rFonts w:ascii="宋体" w:hAnsi="宋体"/>
                <w:sz w:val="24"/>
                <w:szCs w:val="24"/>
                <w:highlight w:val="none"/>
              </w:rPr>
              <w:t>SO</w:t>
            </w:r>
            <w:r>
              <w:rPr>
                <w:rFonts w:ascii="宋体" w:hAnsi="宋体"/>
                <w:sz w:val="24"/>
                <w:szCs w:val="24"/>
                <w:highlight w:val="none"/>
                <w:vertAlign w:val="subscript"/>
              </w:rPr>
              <w:t>2</w:t>
            </w:r>
            <w:r>
              <w:rPr>
                <w:rFonts w:hint="eastAsia" w:ascii="宋体" w:hAnsi="宋体"/>
                <w:sz w:val="24"/>
                <w:szCs w:val="24"/>
                <w:highlight w:val="none"/>
              </w:rPr>
              <w:t>排放量依据以下公式计算：</w:t>
            </w:r>
          </w:p>
          <w:p>
            <w:pPr>
              <w:pStyle w:val="67"/>
              <w:adjustRightInd w:val="0"/>
              <w:snapToGrid w:val="0"/>
              <w:spacing w:line="360" w:lineRule="auto"/>
              <w:ind w:firstLine="480" w:firstLineChars="200"/>
              <w:rPr>
                <w:rFonts w:ascii="宋体" w:hAnsi="宋体"/>
                <w:sz w:val="24"/>
                <w:szCs w:val="24"/>
                <w:highlight w:val="none"/>
              </w:rPr>
            </w:pPr>
            <w:r>
              <w:rPr>
                <w:rFonts w:ascii="宋体" w:hAnsi="宋体"/>
                <w:sz w:val="24"/>
                <w:szCs w:val="24"/>
                <w:highlight w:val="none"/>
              </w:rPr>
              <w:drawing>
                <wp:inline distT="0" distB="0" distL="114300" distR="114300">
                  <wp:extent cx="2686050" cy="467995"/>
                  <wp:effectExtent l="0" t="0" r="0" b="8255"/>
                  <wp:docPr id="92" name="图片 7" descr="说明: 360截图201903111649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descr="说明: 360截图20190311164921602"/>
                          <pic:cNvPicPr>
                            <a:picLocks noChangeAspect="1"/>
                          </pic:cNvPicPr>
                        </pic:nvPicPr>
                        <pic:blipFill>
                          <a:blip r:embed="rId15"/>
                          <a:stretch>
                            <a:fillRect/>
                          </a:stretch>
                        </pic:blipFill>
                        <pic:spPr>
                          <a:xfrm>
                            <a:off x="0" y="0"/>
                            <a:ext cx="2686050" cy="467995"/>
                          </a:xfrm>
                          <a:prstGeom prst="rect">
                            <a:avLst/>
                          </a:prstGeom>
                          <a:noFill/>
                          <a:ln>
                            <a:noFill/>
                          </a:ln>
                        </pic:spPr>
                      </pic:pic>
                    </a:graphicData>
                  </a:graphic>
                </wp:inline>
              </w:drawing>
            </w:r>
          </w:p>
          <w:p>
            <w:pPr>
              <w:pStyle w:val="67"/>
              <w:adjustRightInd w:val="0"/>
              <w:snapToGrid w:val="0"/>
              <w:spacing w:line="360" w:lineRule="auto"/>
              <w:ind w:firstLine="480" w:firstLineChars="200"/>
              <w:outlineLvl w:val="0"/>
              <w:rPr>
                <w:rFonts w:ascii="宋体" w:hAnsi="宋体"/>
                <w:sz w:val="24"/>
                <w:szCs w:val="24"/>
                <w:highlight w:val="none"/>
              </w:rPr>
            </w:pPr>
            <w:r>
              <w:rPr>
                <w:rFonts w:ascii="宋体" w:hAnsi="宋体"/>
                <w:sz w:val="24"/>
                <w:szCs w:val="24"/>
                <w:highlight w:val="none"/>
              </w:rPr>
              <w:t>式中：</w:t>
            </w:r>
            <w:r>
              <w:rPr>
                <w:rFonts w:hint="eastAsia" w:ascii="宋体" w:hAnsi="宋体"/>
                <w:sz w:val="24"/>
                <w:szCs w:val="24"/>
                <w:highlight w:val="none"/>
              </w:rPr>
              <w:t>E</w:t>
            </w:r>
            <w:r>
              <w:rPr>
                <w:rFonts w:ascii="宋体" w:hAnsi="宋体"/>
                <w:sz w:val="24"/>
                <w:szCs w:val="24"/>
                <w:highlight w:val="none"/>
                <w:vertAlign w:val="subscript"/>
              </w:rPr>
              <w:t>SO2</w:t>
            </w:r>
            <w:r>
              <w:rPr>
                <w:rFonts w:ascii="宋体" w:hAnsi="宋体"/>
                <w:sz w:val="24"/>
                <w:szCs w:val="24"/>
                <w:highlight w:val="none"/>
              </w:rPr>
              <w:t>：</w:t>
            </w:r>
            <w:r>
              <w:rPr>
                <w:rFonts w:hint="eastAsia" w:ascii="宋体" w:hAnsi="宋体"/>
                <w:sz w:val="24"/>
                <w:szCs w:val="24"/>
                <w:highlight w:val="none"/>
              </w:rPr>
              <w:t>核算时段内二氧化硫排放量</w:t>
            </w:r>
            <w:r>
              <w:rPr>
                <w:rFonts w:ascii="宋体" w:hAnsi="宋体"/>
                <w:sz w:val="24"/>
                <w:szCs w:val="24"/>
                <w:highlight w:val="none"/>
              </w:rPr>
              <w:t>，</w:t>
            </w:r>
            <w:r>
              <w:rPr>
                <w:rFonts w:hint="eastAsia" w:ascii="宋体" w:hAnsi="宋体"/>
                <w:sz w:val="24"/>
                <w:szCs w:val="24"/>
                <w:highlight w:val="none"/>
              </w:rPr>
              <w:t>t；</w:t>
            </w:r>
          </w:p>
          <w:p>
            <w:pPr>
              <w:pStyle w:val="67"/>
              <w:adjustRightInd w:val="0"/>
              <w:snapToGrid w:val="0"/>
              <w:spacing w:line="360" w:lineRule="auto"/>
              <w:ind w:left="630" w:leftChars="300" w:firstLine="480" w:firstLineChars="200"/>
              <w:rPr>
                <w:rFonts w:ascii="宋体" w:hAnsi="宋体"/>
                <w:sz w:val="24"/>
                <w:szCs w:val="24"/>
                <w:highlight w:val="none"/>
              </w:rPr>
            </w:pPr>
            <w:r>
              <w:rPr>
                <w:rFonts w:hint="eastAsia" w:ascii="宋体" w:hAnsi="宋体"/>
                <w:sz w:val="24"/>
                <w:szCs w:val="24"/>
                <w:highlight w:val="none"/>
              </w:rPr>
              <w:t>R</w:t>
            </w:r>
            <w:r>
              <w:rPr>
                <w:rFonts w:ascii="宋体" w:hAnsi="宋体"/>
                <w:sz w:val="24"/>
                <w:szCs w:val="24"/>
                <w:highlight w:val="none"/>
              </w:rPr>
              <w:t>：</w:t>
            </w:r>
            <w:r>
              <w:rPr>
                <w:rFonts w:hint="eastAsia" w:ascii="宋体" w:hAnsi="宋体"/>
                <w:sz w:val="24"/>
                <w:szCs w:val="24"/>
                <w:highlight w:val="none"/>
              </w:rPr>
              <w:t>核算时段内锅炉燃料耗量</w:t>
            </w:r>
            <w:r>
              <w:rPr>
                <w:rFonts w:ascii="宋体" w:hAnsi="宋体"/>
                <w:sz w:val="24"/>
                <w:szCs w:val="24"/>
                <w:highlight w:val="none"/>
              </w:rPr>
              <w:t>，</w:t>
            </w:r>
            <w:r>
              <w:rPr>
                <w:rFonts w:hint="eastAsia" w:ascii="宋体" w:hAnsi="宋体"/>
                <w:sz w:val="24"/>
                <w:szCs w:val="24"/>
                <w:highlight w:val="none"/>
              </w:rPr>
              <w:t>t</w:t>
            </w:r>
            <w:r>
              <w:rPr>
                <w:rFonts w:ascii="宋体" w:hAnsi="宋体"/>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hint="eastAsia" w:ascii="宋体" w:hAnsi="宋体"/>
                <w:sz w:val="24"/>
                <w:szCs w:val="24"/>
                <w:highlight w:val="none"/>
              </w:rPr>
              <w:t>S</w:t>
            </w:r>
            <w:r>
              <w:rPr>
                <w:rFonts w:hint="eastAsia" w:ascii="宋体" w:hAnsi="宋体"/>
                <w:sz w:val="24"/>
                <w:szCs w:val="24"/>
                <w:highlight w:val="none"/>
                <w:vertAlign w:val="subscript"/>
              </w:rPr>
              <w:t>ar</w:t>
            </w:r>
            <w:r>
              <w:rPr>
                <w:rFonts w:ascii="宋体" w:hAnsi="宋体"/>
                <w:sz w:val="24"/>
                <w:szCs w:val="24"/>
                <w:highlight w:val="none"/>
              </w:rPr>
              <w:t>：</w:t>
            </w:r>
            <w:r>
              <w:rPr>
                <w:rFonts w:hint="eastAsia" w:ascii="宋体" w:hAnsi="宋体"/>
                <w:sz w:val="24"/>
                <w:szCs w:val="24"/>
                <w:highlight w:val="none"/>
              </w:rPr>
              <w:t>收到基硫的质量分数，</w:t>
            </w:r>
            <w:r>
              <w:rPr>
                <w:rFonts w:ascii="宋体" w:hAnsi="宋体"/>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hint="eastAsia" w:ascii="宋体" w:hAnsi="宋体"/>
                <w:sz w:val="24"/>
                <w:szCs w:val="24"/>
                <w:highlight w:val="none"/>
              </w:rPr>
              <w:t>q</w:t>
            </w:r>
            <w:r>
              <w:rPr>
                <w:rFonts w:hint="eastAsia" w:ascii="宋体" w:hAnsi="宋体"/>
                <w:sz w:val="24"/>
                <w:szCs w:val="24"/>
                <w:highlight w:val="none"/>
                <w:vertAlign w:val="subscript"/>
              </w:rPr>
              <w:t>4</w:t>
            </w:r>
            <w:r>
              <w:rPr>
                <w:rFonts w:ascii="宋体" w:hAnsi="宋体"/>
                <w:sz w:val="24"/>
                <w:szCs w:val="24"/>
                <w:highlight w:val="none"/>
              </w:rPr>
              <w:t>：</w:t>
            </w:r>
            <w:r>
              <w:rPr>
                <w:rFonts w:hint="eastAsia" w:ascii="宋体" w:hAnsi="宋体"/>
                <w:sz w:val="24"/>
                <w:szCs w:val="24"/>
                <w:highlight w:val="none"/>
              </w:rPr>
              <w:t>锅炉机械不完全燃烧热损失，%</w:t>
            </w:r>
            <w:r>
              <w:rPr>
                <w:rFonts w:ascii="宋体" w:hAnsi="宋体"/>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ascii="宋体" w:hAnsi="宋体"/>
                <w:sz w:val="24"/>
                <w:szCs w:val="24"/>
                <w:highlight w:val="none"/>
              </w:rPr>
              <w:t>η</w:t>
            </w:r>
            <w:r>
              <w:rPr>
                <w:rFonts w:hint="eastAsia" w:ascii="宋体" w:hAnsi="宋体"/>
                <w:sz w:val="24"/>
                <w:szCs w:val="24"/>
                <w:highlight w:val="none"/>
                <w:vertAlign w:val="subscript"/>
              </w:rPr>
              <w:t>s</w:t>
            </w:r>
            <w:r>
              <w:rPr>
                <w:rFonts w:ascii="宋体" w:hAnsi="宋体"/>
                <w:sz w:val="24"/>
                <w:szCs w:val="24"/>
                <w:highlight w:val="none"/>
              </w:rPr>
              <w:t>：</w:t>
            </w:r>
            <w:r>
              <w:rPr>
                <w:rFonts w:hint="eastAsia" w:ascii="宋体" w:hAnsi="宋体"/>
                <w:sz w:val="24"/>
                <w:szCs w:val="24"/>
                <w:highlight w:val="none"/>
              </w:rPr>
              <w:t>脱硫效率，%</w:t>
            </w:r>
            <w:r>
              <w:rPr>
                <w:rFonts w:ascii="宋体" w:hAnsi="宋体"/>
                <w:sz w:val="24"/>
                <w:szCs w:val="24"/>
                <w:highlight w:val="none"/>
              </w:rPr>
              <w:t>；</w:t>
            </w:r>
          </w:p>
          <w:p>
            <w:pPr>
              <w:pStyle w:val="67"/>
              <w:adjustRightInd w:val="0"/>
              <w:snapToGrid w:val="0"/>
              <w:spacing w:line="360" w:lineRule="auto"/>
              <w:ind w:left="630" w:leftChars="300" w:firstLine="480" w:firstLineChars="200"/>
              <w:rPr>
                <w:rFonts w:ascii="宋体" w:hAnsi="宋体"/>
                <w:sz w:val="24"/>
                <w:szCs w:val="24"/>
                <w:highlight w:val="none"/>
              </w:rPr>
            </w:pPr>
            <w:r>
              <w:rPr>
                <w:rFonts w:hint="eastAsia" w:ascii="宋体" w:hAnsi="宋体"/>
                <w:sz w:val="24"/>
                <w:szCs w:val="24"/>
                <w:highlight w:val="none"/>
              </w:rPr>
              <w:t>K</w:t>
            </w:r>
            <w:r>
              <w:rPr>
                <w:rFonts w:ascii="宋体" w:hAnsi="宋体"/>
                <w:sz w:val="24"/>
                <w:szCs w:val="24"/>
                <w:highlight w:val="none"/>
              </w:rPr>
              <w:t>：</w:t>
            </w:r>
            <w:r>
              <w:rPr>
                <w:rFonts w:hint="eastAsia" w:ascii="宋体" w:hAnsi="宋体"/>
                <w:sz w:val="24"/>
                <w:szCs w:val="24"/>
                <w:highlight w:val="none"/>
              </w:rPr>
              <w:t>燃料中的硫燃烧后氧化成二氧化硫的份额，量纲一的量。</w:t>
            </w:r>
          </w:p>
          <w:p>
            <w:pPr>
              <w:pStyle w:val="67"/>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各参数取值及SO</w:t>
            </w:r>
            <w:r>
              <w:rPr>
                <w:rFonts w:hint="eastAsia" w:ascii="宋体" w:hAnsi="宋体"/>
                <w:sz w:val="24"/>
                <w:szCs w:val="24"/>
                <w:highlight w:val="none"/>
                <w:vertAlign w:val="subscript"/>
              </w:rPr>
              <w:t>2</w:t>
            </w:r>
            <w:r>
              <w:rPr>
                <w:rFonts w:hint="eastAsia" w:ascii="宋体" w:hAnsi="宋体"/>
                <w:sz w:val="24"/>
                <w:szCs w:val="24"/>
                <w:highlight w:val="none"/>
              </w:rPr>
              <w:t>计算结果见下表：</w:t>
            </w:r>
          </w:p>
          <w:p>
            <w:pPr>
              <w:jc w:val="center"/>
              <w:rPr>
                <w:rFonts w:ascii="宋体" w:hAnsi="宋体"/>
                <w:b/>
                <w:bCs/>
                <w:szCs w:val="21"/>
                <w:highlight w:val="none"/>
                <w:u w:val="single"/>
              </w:rPr>
            </w:pPr>
            <w:r>
              <w:rPr>
                <w:rFonts w:hint="eastAsia" w:ascii="宋体" w:hAnsi="宋体"/>
                <w:b/>
                <w:bCs/>
                <w:szCs w:val="21"/>
                <w:highlight w:val="none"/>
                <w:u w:val="single"/>
              </w:rPr>
              <w:t>表4-</w:t>
            </w:r>
            <w:r>
              <w:rPr>
                <w:rFonts w:hint="eastAsia" w:ascii="宋体" w:hAnsi="宋体"/>
                <w:b/>
                <w:bCs/>
                <w:szCs w:val="21"/>
                <w:highlight w:val="none"/>
                <w:u w:val="single"/>
                <w:lang w:val="en-US" w:eastAsia="zh-CN"/>
              </w:rPr>
              <w:t>3</w:t>
            </w:r>
            <w:r>
              <w:rPr>
                <w:rFonts w:hint="eastAsia" w:ascii="宋体" w:hAnsi="宋体"/>
                <w:b/>
                <w:bCs/>
                <w:szCs w:val="21"/>
                <w:highlight w:val="none"/>
                <w:u w:val="single"/>
              </w:rPr>
              <w:t xml:space="preserve">   SO</w:t>
            </w:r>
            <w:r>
              <w:rPr>
                <w:rFonts w:hint="eastAsia" w:ascii="宋体" w:hAnsi="宋体"/>
                <w:b/>
                <w:bCs/>
                <w:szCs w:val="21"/>
                <w:highlight w:val="none"/>
                <w:u w:val="single"/>
                <w:vertAlign w:val="subscript"/>
              </w:rPr>
              <w:t>2</w:t>
            </w:r>
            <w:r>
              <w:rPr>
                <w:rFonts w:hint="eastAsia" w:ascii="宋体" w:hAnsi="宋体"/>
                <w:b/>
                <w:bCs/>
                <w:szCs w:val="21"/>
                <w:highlight w:val="none"/>
                <w:u w:val="single"/>
              </w:rPr>
              <w:t>计算结果</w:t>
            </w:r>
          </w:p>
          <w:tbl>
            <w:tblPr>
              <w:tblStyle w:val="23"/>
              <w:tblW w:w="0" w:type="auto"/>
              <w:jc w:val="center"/>
              <w:tblLayout w:type="autofit"/>
              <w:tblCellMar>
                <w:top w:w="15" w:type="dxa"/>
                <w:left w:w="15" w:type="dxa"/>
                <w:bottom w:w="15" w:type="dxa"/>
                <w:right w:w="15" w:type="dxa"/>
              </w:tblCellMar>
            </w:tblPr>
            <w:tblGrid>
              <w:gridCol w:w="996"/>
              <w:gridCol w:w="3560"/>
              <w:gridCol w:w="578"/>
              <w:gridCol w:w="623"/>
              <w:gridCol w:w="613"/>
              <w:gridCol w:w="604"/>
              <w:gridCol w:w="429"/>
              <w:gridCol w:w="765"/>
            </w:tblGrid>
            <w:tr>
              <w:tblPrEx>
                <w:tblCellMar>
                  <w:top w:w="15" w:type="dxa"/>
                  <w:left w:w="15" w:type="dxa"/>
                  <w:bottom w:w="15" w:type="dxa"/>
                  <w:right w:w="15" w:type="dxa"/>
                </w:tblCellMar>
              </w:tblPrEx>
              <w:trPr>
                <w:trHeight w:val="425" w:hRule="atLeast"/>
                <w:jc w:val="center"/>
              </w:trPr>
              <w:tc>
                <w:tcPr>
                  <w:tcW w:w="996" w:type="dxa"/>
                  <w:tcBorders>
                    <w:top w:val="single" w:color="auto" w:sz="12" w:space="0"/>
                    <w:bottom w:val="single" w:color="000000" w:sz="4" w:space="0"/>
                    <w:right w:val="single" w:color="000000" w:sz="4" w:space="0"/>
                  </w:tcBorders>
                  <w:noWrap w:val="0"/>
                  <w:vAlign w:val="top"/>
                </w:tcPr>
                <w:p>
                  <w:pPr>
                    <w:widowControl/>
                    <w:jc w:val="center"/>
                    <w:textAlignment w:val="center"/>
                    <w:rPr>
                      <w:rFonts w:ascii="宋体" w:hAnsi="宋体"/>
                      <w:szCs w:val="21"/>
                      <w:highlight w:val="none"/>
                    </w:rPr>
                  </w:pPr>
                  <w:r>
                    <w:rPr>
                      <w:rFonts w:ascii="宋体" w:hAnsi="宋体"/>
                      <w:szCs w:val="21"/>
                      <w:highlight w:val="none"/>
                    </w:rPr>
                    <w:t>项目</w:t>
                  </w:r>
                </w:p>
              </w:tc>
              <w:tc>
                <w:tcPr>
                  <w:tcW w:w="3560" w:type="dxa"/>
                  <w:tcBorders>
                    <w:top w:val="single" w:color="auto" w:sz="12"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计算公式</w:t>
                  </w:r>
                </w:p>
              </w:tc>
              <w:tc>
                <w:tcPr>
                  <w:tcW w:w="578" w:type="dxa"/>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R（t）</w:t>
                  </w:r>
                </w:p>
              </w:tc>
              <w:tc>
                <w:tcPr>
                  <w:tcW w:w="623" w:type="dxa"/>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S</w:t>
                  </w:r>
                  <w:r>
                    <w:rPr>
                      <w:rFonts w:ascii="宋体" w:hAnsi="宋体"/>
                      <w:szCs w:val="21"/>
                      <w:highlight w:val="none"/>
                      <w:vertAlign w:val="subscript"/>
                    </w:rPr>
                    <w:t>ar</w:t>
                  </w:r>
                  <w:r>
                    <w:rPr>
                      <w:rFonts w:ascii="宋体" w:hAnsi="宋体"/>
                      <w:szCs w:val="21"/>
                      <w:highlight w:val="none"/>
                    </w:rPr>
                    <w:t>（%）</w:t>
                  </w:r>
                </w:p>
              </w:tc>
              <w:tc>
                <w:tcPr>
                  <w:tcW w:w="613" w:type="dxa"/>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q</w:t>
                  </w:r>
                  <w:r>
                    <w:rPr>
                      <w:rFonts w:ascii="宋体" w:hAnsi="宋体"/>
                      <w:szCs w:val="21"/>
                      <w:highlight w:val="none"/>
                      <w:vertAlign w:val="subscript"/>
                    </w:rPr>
                    <w:t>4</w:t>
                  </w:r>
                  <w:r>
                    <w:rPr>
                      <w:rFonts w:ascii="宋体" w:hAnsi="宋体"/>
                      <w:szCs w:val="21"/>
                      <w:highlight w:val="none"/>
                    </w:rPr>
                    <w:t>（%）</w:t>
                  </w:r>
                </w:p>
              </w:tc>
              <w:tc>
                <w:tcPr>
                  <w:tcW w:w="604" w:type="dxa"/>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η</w:t>
                  </w:r>
                  <w:r>
                    <w:rPr>
                      <w:rFonts w:ascii="宋体" w:hAnsi="宋体"/>
                      <w:szCs w:val="21"/>
                      <w:highlight w:val="none"/>
                      <w:vertAlign w:val="subscript"/>
                    </w:rPr>
                    <w:t>s</w:t>
                  </w:r>
                  <w:r>
                    <w:rPr>
                      <w:rFonts w:ascii="宋体" w:hAnsi="宋体"/>
                      <w:szCs w:val="21"/>
                      <w:highlight w:val="none"/>
                    </w:rPr>
                    <w:t>（%）</w:t>
                  </w:r>
                </w:p>
              </w:tc>
              <w:tc>
                <w:tcPr>
                  <w:tcW w:w="429" w:type="dxa"/>
                  <w:tcBorders>
                    <w:top w:val="single" w:color="auto" w:sz="12"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K</w:t>
                  </w:r>
                </w:p>
              </w:tc>
              <w:tc>
                <w:tcPr>
                  <w:tcW w:w="765" w:type="dxa"/>
                  <w:tcBorders>
                    <w:top w:val="single" w:color="auto" w:sz="12" w:space="0"/>
                    <w:left w:val="single" w:color="000000" w:sz="4" w:space="0"/>
                    <w:bottom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E</w:t>
                  </w:r>
                  <w:r>
                    <w:rPr>
                      <w:rFonts w:ascii="宋体" w:hAnsi="宋体"/>
                      <w:szCs w:val="21"/>
                      <w:highlight w:val="none"/>
                      <w:vertAlign w:val="subscript"/>
                    </w:rPr>
                    <w:t>SO2</w:t>
                  </w:r>
                  <w:r>
                    <w:rPr>
                      <w:rFonts w:ascii="宋体" w:hAnsi="宋体"/>
                      <w:szCs w:val="21"/>
                      <w:highlight w:val="none"/>
                    </w:rPr>
                    <w:t>（t/a）</w:t>
                  </w:r>
                </w:p>
              </w:tc>
            </w:tr>
            <w:tr>
              <w:tblPrEx>
                <w:tblCellMar>
                  <w:top w:w="15" w:type="dxa"/>
                  <w:left w:w="15" w:type="dxa"/>
                  <w:bottom w:w="15" w:type="dxa"/>
                  <w:right w:w="15" w:type="dxa"/>
                </w:tblCellMar>
              </w:tblPrEx>
              <w:trPr>
                <w:trHeight w:val="463" w:hRule="atLeast"/>
                <w:jc w:val="center"/>
              </w:trPr>
              <w:tc>
                <w:tcPr>
                  <w:tcW w:w="996" w:type="dxa"/>
                  <w:tcBorders>
                    <w:top w:val="single" w:color="000000" w:sz="4" w:space="0"/>
                    <w:bottom w:val="single" w:color="000000" w:sz="4" w:space="0"/>
                    <w:right w:val="single" w:color="000000" w:sz="4" w:space="0"/>
                  </w:tcBorders>
                  <w:noWrap w:val="0"/>
                  <w:vAlign w:val="top"/>
                </w:tcPr>
                <w:p>
                  <w:pPr>
                    <w:jc w:val="center"/>
                    <w:rPr>
                      <w:rFonts w:ascii="宋体" w:hAnsi="宋体"/>
                      <w:szCs w:val="21"/>
                      <w:highlight w:val="none"/>
                    </w:rPr>
                  </w:pPr>
                  <w:r>
                    <w:rPr>
                      <w:rFonts w:ascii="宋体" w:hAnsi="宋体"/>
                      <w:szCs w:val="21"/>
                      <w:highlight w:val="none"/>
                    </w:rPr>
                    <w:t>锅炉</w:t>
                  </w:r>
                </w:p>
              </w:tc>
              <w:tc>
                <w:tcPr>
                  <w:tcW w:w="3560" w:type="dxa"/>
                  <w:tcBorders>
                    <w:top w:val="single" w:color="000000" w:sz="4" w:space="0"/>
                    <w:right w:val="single" w:color="000000" w:sz="4" w:space="0"/>
                  </w:tcBorders>
                  <w:noWrap w:val="0"/>
                  <w:vAlign w:val="center"/>
                </w:tcPr>
                <w:p>
                  <w:pPr>
                    <w:jc w:val="center"/>
                    <w:rPr>
                      <w:rFonts w:ascii="宋体" w:hAnsi="宋体"/>
                      <w:szCs w:val="21"/>
                      <w:highlight w:val="none"/>
                    </w:rPr>
                  </w:pPr>
                  <w:r>
                    <w:rPr>
                      <w:rFonts w:ascii="宋体" w:hAnsi="宋体"/>
                      <w:szCs w:val="21"/>
                      <w:highlight w:val="none"/>
                    </w:rPr>
                    <w:drawing>
                      <wp:inline distT="0" distB="0" distL="114300" distR="114300">
                        <wp:extent cx="2199640" cy="383540"/>
                        <wp:effectExtent l="0" t="0" r="10160" b="16510"/>
                        <wp:docPr id="93" name="图片 8" descr="说明: 360截图201903111649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descr="说明: 360截图20190311164921602"/>
                                <pic:cNvPicPr>
                                  <a:picLocks noChangeAspect="1"/>
                                </pic:cNvPicPr>
                              </pic:nvPicPr>
                              <pic:blipFill>
                                <a:blip r:embed="rId15"/>
                                <a:stretch>
                                  <a:fillRect/>
                                </a:stretch>
                              </pic:blipFill>
                              <pic:spPr>
                                <a:xfrm>
                                  <a:off x="0" y="0"/>
                                  <a:ext cx="2199640" cy="383540"/>
                                </a:xfrm>
                                <a:prstGeom prst="rect">
                                  <a:avLst/>
                                </a:prstGeom>
                                <a:noFill/>
                                <a:ln>
                                  <a:noFill/>
                                </a:ln>
                              </pic:spPr>
                            </pic:pic>
                          </a:graphicData>
                        </a:graphic>
                      </wp:inline>
                    </w:drawing>
                  </w:r>
                </w:p>
              </w:tc>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val="en-US" w:eastAsia="zh-CN"/>
                    </w:rPr>
                    <w:t>880</w:t>
                  </w:r>
                </w:p>
              </w:tc>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0.03</w:t>
                  </w:r>
                </w:p>
              </w:tc>
              <w:tc>
                <w:tcPr>
                  <w:tcW w:w="6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7</w:t>
                  </w:r>
                </w:p>
              </w:tc>
              <w:tc>
                <w:tcPr>
                  <w:tcW w:w="6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0</w:t>
                  </w:r>
                </w:p>
              </w:tc>
              <w:tc>
                <w:tcPr>
                  <w:tcW w:w="4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szCs w:val="21"/>
                      <w:highlight w:val="none"/>
                    </w:rPr>
                  </w:pPr>
                  <w:r>
                    <w:rPr>
                      <w:rFonts w:ascii="宋体" w:hAnsi="宋体"/>
                      <w:szCs w:val="21"/>
                      <w:highlight w:val="none"/>
                    </w:rPr>
                    <w:t>0.5</w:t>
                  </w:r>
                </w:p>
              </w:tc>
              <w:tc>
                <w:tcPr>
                  <w:tcW w:w="765"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val="en-US" w:eastAsia="zh-CN"/>
                    </w:rPr>
                    <w:t>0.25</w:t>
                  </w:r>
                </w:p>
              </w:tc>
            </w:tr>
          </w:tbl>
          <w:p>
            <w:pPr>
              <w:pStyle w:val="67"/>
              <w:adjustRightInd w:val="0"/>
              <w:snapToGrid w:val="0"/>
              <w:spacing w:before="120" w:beforeLines="50" w:line="360" w:lineRule="auto"/>
              <w:ind w:firstLine="480" w:firstLineChars="200"/>
              <w:rPr>
                <w:rFonts w:ascii="宋体" w:hAnsi="宋体"/>
                <w:sz w:val="24"/>
                <w:szCs w:val="24"/>
                <w:highlight w:val="yellow"/>
              </w:rPr>
            </w:pPr>
            <w:r>
              <w:rPr>
                <w:rFonts w:hint="eastAsia" w:ascii="宋体" w:hAnsi="宋体"/>
                <w:sz w:val="24"/>
                <w:szCs w:val="24"/>
                <w:highlight w:val="none"/>
              </w:rPr>
              <w:t>参考项目设备数据燃烧器为链条炉，根据实际</w:t>
            </w:r>
            <w:r>
              <w:rPr>
                <w:rFonts w:ascii="宋体" w:hAnsi="宋体"/>
                <w:sz w:val="24"/>
                <w:szCs w:val="24"/>
                <w:highlight w:val="none"/>
              </w:rPr>
              <w:t>q</w:t>
            </w:r>
            <w:r>
              <w:rPr>
                <w:rFonts w:ascii="宋体" w:hAnsi="宋体"/>
                <w:sz w:val="24"/>
                <w:szCs w:val="24"/>
                <w:highlight w:val="none"/>
                <w:vertAlign w:val="subscript"/>
              </w:rPr>
              <w:t>4</w:t>
            </w:r>
            <w:r>
              <w:rPr>
                <w:rFonts w:hint="eastAsia" w:ascii="宋体" w:hAnsi="宋体"/>
                <w:sz w:val="24"/>
                <w:szCs w:val="24"/>
                <w:highlight w:val="none"/>
              </w:rPr>
              <w:t>选用</w:t>
            </w:r>
            <w:r>
              <w:rPr>
                <w:rFonts w:ascii="宋体" w:hAnsi="宋体"/>
                <w:sz w:val="24"/>
                <w:szCs w:val="24"/>
                <w:highlight w:val="none"/>
              </w:rPr>
              <w:t>7%</w:t>
            </w:r>
            <w:r>
              <w:rPr>
                <w:rFonts w:hint="eastAsia" w:ascii="宋体" w:hAnsi="宋体"/>
                <w:sz w:val="24"/>
                <w:szCs w:val="24"/>
                <w:highlight w:val="none"/>
              </w:rPr>
              <w:t>。根据上表计算结果可知，项目</w:t>
            </w:r>
            <w:r>
              <w:rPr>
                <w:rFonts w:ascii="宋体" w:hAnsi="宋体"/>
                <w:sz w:val="24"/>
                <w:szCs w:val="24"/>
                <w:highlight w:val="none"/>
              </w:rPr>
              <w:t>SO</w:t>
            </w:r>
            <w:r>
              <w:rPr>
                <w:rFonts w:ascii="宋体" w:hAnsi="宋体"/>
                <w:sz w:val="24"/>
                <w:szCs w:val="24"/>
                <w:highlight w:val="none"/>
                <w:vertAlign w:val="subscript"/>
              </w:rPr>
              <w:t>2</w:t>
            </w:r>
            <w:r>
              <w:rPr>
                <w:rFonts w:hint="eastAsia" w:ascii="宋体" w:hAnsi="宋体"/>
                <w:sz w:val="24"/>
                <w:szCs w:val="24"/>
                <w:highlight w:val="none"/>
              </w:rPr>
              <w:t>排放量为0.</w:t>
            </w:r>
            <w:r>
              <w:rPr>
                <w:rFonts w:hint="eastAsia" w:ascii="宋体" w:hAnsi="宋体"/>
                <w:sz w:val="24"/>
                <w:szCs w:val="24"/>
                <w:highlight w:val="none"/>
                <w:lang w:val="en-US" w:eastAsia="zh-CN"/>
              </w:rPr>
              <w:t>25</w:t>
            </w:r>
            <w:r>
              <w:rPr>
                <w:rFonts w:ascii="宋体" w:hAnsi="宋体"/>
                <w:sz w:val="24"/>
                <w:szCs w:val="24"/>
                <w:highlight w:val="none"/>
              </w:rPr>
              <w:t>t/a</w:t>
            </w:r>
            <w:r>
              <w:rPr>
                <w:rFonts w:hint="eastAsia" w:ascii="宋体" w:hAnsi="宋体"/>
                <w:sz w:val="24"/>
                <w:szCs w:val="24"/>
                <w:highlight w:val="none"/>
              </w:rPr>
              <w:t>。</w:t>
            </w:r>
          </w:p>
          <w:p>
            <w:pPr>
              <w:pStyle w:val="67"/>
              <w:adjustRightInd w:val="0"/>
              <w:snapToGrid w:val="0"/>
              <w:spacing w:line="360" w:lineRule="auto"/>
              <w:ind w:firstLine="480" w:firstLineChars="200"/>
              <w:outlineLvl w:val="0"/>
              <w:rPr>
                <w:rFonts w:ascii="宋体" w:hAnsi="宋体"/>
                <w:sz w:val="24"/>
                <w:szCs w:val="24"/>
                <w:highlight w:val="none"/>
              </w:rPr>
            </w:pPr>
            <w:r>
              <w:rPr>
                <w:rFonts w:hint="eastAsia" w:ascii="宋体" w:hAnsi="宋体"/>
                <w:sz w:val="24"/>
                <w:szCs w:val="24"/>
                <w:highlight w:val="none"/>
              </w:rPr>
              <w:t>④</w:t>
            </w:r>
            <w:r>
              <w:rPr>
                <w:rFonts w:ascii="宋体" w:hAnsi="宋体"/>
                <w:sz w:val="24"/>
                <w:szCs w:val="24"/>
                <w:highlight w:val="none"/>
              </w:rPr>
              <w:t>NO</w:t>
            </w:r>
            <w:r>
              <w:rPr>
                <w:rFonts w:ascii="宋体" w:hAnsi="宋体"/>
                <w:sz w:val="24"/>
                <w:szCs w:val="24"/>
                <w:highlight w:val="none"/>
                <w:vertAlign w:val="subscript"/>
              </w:rPr>
              <w:t>x</w:t>
            </w:r>
            <w:r>
              <w:rPr>
                <w:rFonts w:hint="eastAsia" w:ascii="宋体" w:hAnsi="宋体"/>
                <w:sz w:val="24"/>
                <w:szCs w:val="24"/>
                <w:highlight w:val="none"/>
              </w:rPr>
              <w:t>排放情况</w:t>
            </w:r>
          </w:p>
          <w:p>
            <w:pPr>
              <w:pStyle w:val="67"/>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氮氧化物排放量采用锅炉生产商提供的氮氧化物控制保证浓度值或类比同类锅炉氮氧化物浓度值按以下公式计算。</w:t>
            </w:r>
            <w:r>
              <w:rPr>
                <w:bCs/>
                <w:spacing w:val="-10"/>
                <w:sz w:val="24"/>
                <w:highlight w:val="none"/>
                <w:u w:val="none"/>
              </w:rPr>
              <w:t>本项目锅炉采用低氮燃烧技术，根据</w:t>
            </w:r>
            <w:r>
              <w:rPr>
                <w:kern w:val="0"/>
                <w:sz w:val="24"/>
                <w:highlight w:val="none"/>
                <w:u w:val="none"/>
              </w:rPr>
              <w:t>《锅炉产排污量核算系数手册》中4430工业锅炉（热力生产和供应行业）产污系数表-生物质工业锅炉中规定：低氮燃烧去除效率为30%。</w:t>
            </w:r>
          </w:p>
          <w:p>
            <w:pPr>
              <w:pStyle w:val="67"/>
              <w:adjustRightInd w:val="0"/>
              <w:snapToGrid w:val="0"/>
              <w:spacing w:line="360" w:lineRule="auto"/>
              <w:ind w:firstLine="1200" w:firstLineChars="500"/>
              <w:rPr>
                <w:rFonts w:ascii="宋体" w:hAnsi="宋体"/>
                <w:sz w:val="24"/>
                <w:szCs w:val="24"/>
                <w:highlight w:val="none"/>
              </w:rPr>
            </w:pPr>
            <w:r>
              <w:rPr>
                <w:rFonts w:hint="eastAsia" w:ascii="宋体" w:hAnsi="宋体"/>
                <w:position w:val="-28"/>
                <w:sz w:val="24"/>
                <w:szCs w:val="24"/>
                <w:highlight w:val="none"/>
              </w:rPr>
              <w:object>
                <v:shape id="_x0000_i1027" o:spt="75" type="#_x0000_t75" style="height:33.75pt;width:165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p>
          <w:p>
            <w:pPr>
              <w:pStyle w:val="67"/>
              <w:adjustRightInd w:val="0"/>
              <w:snapToGrid w:val="0"/>
              <w:spacing w:line="360" w:lineRule="auto"/>
              <w:ind w:firstLine="480" w:firstLineChars="200"/>
              <w:outlineLvl w:val="0"/>
              <w:rPr>
                <w:rFonts w:ascii="宋体" w:hAnsi="宋体"/>
                <w:sz w:val="24"/>
                <w:szCs w:val="24"/>
                <w:highlight w:val="none"/>
              </w:rPr>
            </w:pPr>
            <w:r>
              <w:rPr>
                <w:rFonts w:hint="eastAsia" w:ascii="宋体" w:hAnsi="宋体"/>
                <w:sz w:val="24"/>
                <w:szCs w:val="24"/>
                <w:highlight w:val="none"/>
              </w:rPr>
              <w:t>式中：</w:t>
            </w:r>
            <w:r>
              <w:rPr>
                <w:rFonts w:ascii="宋体" w:hAnsi="宋体"/>
                <w:sz w:val="24"/>
                <w:szCs w:val="24"/>
                <w:highlight w:val="none"/>
              </w:rPr>
              <w:t>E</w:t>
            </w:r>
            <w:r>
              <w:rPr>
                <w:rFonts w:ascii="宋体" w:hAnsi="宋体"/>
                <w:sz w:val="24"/>
                <w:szCs w:val="24"/>
                <w:highlight w:val="none"/>
                <w:vertAlign w:val="subscript"/>
              </w:rPr>
              <w:t>NOx</w:t>
            </w:r>
            <w:r>
              <w:rPr>
                <w:rFonts w:hint="eastAsia" w:ascii="宋体" w:hAnsi="宋体"/>
                <w:sz w:val="24"/>
                <w:szCs w:val="24"/>
                <w:highlight w:val="none"/>
              </w:rPr>
              <w:t>：核算时段内氮氧化物排放量，</w:t>
            </w:r>
            <w:r>
              <w:rPr>
                <w:rFonts w:ascii="宋体" w:hAnsi="宋体"/>
                <w:sz w:val="24"/>
                <w:szCs w:val="24"/>
                <w:highlight w:val="none"/>
              </w:rPr>
              <w:t>t</w:t>
            </w:r>
            <w:r>
              <w:rPr>
                <w:rFonts w:hint="eastAsia" w:ascii="宋体" w:hAnsi="宋体"/>
                <w:sz w:val="24"/>
                <w:szCs w:val="24"/>
                <w:highlight w:val="none"/>
              </w:rPr>
              <w:t>；</w:t>
            </w:r>
          </w:p>
          <w:p>
            <w:pPr>
              <w:pStyle w:val="67"/>
              <w:adjustRightInd w:val="0"/>
              <w:snapToGrid w:val="0"/>
              <w:spacing w:line="360" w:lineRule="auto"/>
              <w:ind w:left="1050" w:leftChars="500"/>
              <w:rPr>
                <w:rFonts w:ascii="宋体" w:hAnsi="宋体"/>
                <w:sz w:val="24"/>
                <w:szCs w:val="24"/>
                <w:highlight w:val="none"/>
              </w:rPr>
            </w:pPr>
            <w:r>
              <w:rPr>
                <w:rFonts w:ascii="宋体" w:hAnsi="宋体"/>
                <w:sz w:val="28"/>
                <w:szCs w:val="28"/>
                <w:highlight w:val="none"/>
              </w:rPr>
              <w:t>ρ</w:t>
            </w:r>
            <w:r>
              <w:rPr>
                <w:rFonts w:ascii="宋体" w:hAnsi="宋体"/>
                <w:sz w:val="24"/>
                <w:szCs w:val="24"/>
                <w:highlight w:val="none"/>
                <w:vertAlign w:val="subscript"/>
              </w:rPr>
              <w:t>NOx</w:t>
            </w:r>
            <w:r>
              <w:rPr>
                <w:rFonts w:hint="eastAsia" w:ascii="宋体" w:hAnsi="宋体"/>
                <w:sz w:val="24"/>
                <w:szCs w:val="24"/>
                <w:highlight w:val="none"/>
              </w:rPr>
              <w:t>：锅炉炉膛出口氮氧化物质量浓度，</w:t>
            </w:r>
            <w:r>
              <w:rPr>
                <w:rFonts w:ascii="宋体" w:hAnsi="宋体"/>
                <w:sz w:val="24"/>
                <w:szCs w:val="24"/>
                <w:highlight w:val="none"/>
              </w:rPr>
              <w:t>mg/m</w:t>
            </w:r>
            <w:r>
              <w:rPr>
                <w:rFonts w:ascii="宋体" w:hAnsi="宋体"/>
                <w:sz w:val="24"/>
                <w:szCs w:val="24"/>
                <w:highlight w:val="none"/>
                <w:vertAlign w:val="superscript"/>
              </w:rPr>
              <w:t>3</w:t>
            </w:r>
            <w:r>
              <w:rPr>
                <w:rFonts w:hint="eastAsia" w:ascii="宋体" w:hAnsi="宋体"/>
                <w:sz w:val="24"/>
                <w:szCs w:val="24"/>
                <w:highlight w:val="none"/>
              </w:rPr>
              <w:t>；</w:t>
            </w:r>
          </w:p>
          <w:p>
            <w:pPr>
              <w:pStyle w:val="67"/>
              <w:adjustRightInd w:val="0"/>
              <w:snapToGrid w:val="0"/>
              <w:spacing w:line="360" w:lineRule="auto"/>
              <w:ind w:left="1050" w:leftChars="500"/>
              <w:outlineLvl w:val="0"/>
              <w:rPr>
                <w:rFonts w:ascii="宋体" w:hAnsi="宋体"/>
                <w:sz w:val="24"/>
                <w:szCs w:val="24"/>
                <w:highlight w:val="none"/>
              </w:rPr>
            </w:pPr>
            <w:r>
              <w:rPr>
                <w:rFonts w:ascii="宋体" w:hAnsi="宋体"/>
                <w:sz w:val="24"/>
                <w:szCs w:val="24"/>
                <w:highlight w:val="none"/>
              </w:rPr>
              <w:t>Q</w:t>
            </w:r>
            <w:r>
              <w:rPr>
                <w:rFonts w:hint="eastAsia" w:ascii="宋体" w:hAnsi="宋体"/>
                <w:sz w:val="24"/>
                <w:szCs w:val="24"/>
                <w:highlight w:val="none"/>
              </w:rPr>
              <w:t>：核算时段内标态干烟气排放量，</w:t>
            </w:r>
            <w:r>
              <w:rPr>
                <w:rFonts w:ascii="宋体" w:hAnsi="宋体"/>
                <w:sz w:val="24"/>
                <w:szCs w:val="24"/>
                <w:highlight w:val="none"/>
              </w:rPr>
              <w:t>m</w:t>
            </w:r>
            <w:r>
              <w:rPr>
                <w:rFonts w:ascii="宋体" w:hAnsi="宋体"/>
                <w:sz w:val="24"/>
                <w:szCs w:val="24"/>
                <w:highlight w:val="none"/>
                <w:vertAlign w:val="superscript"/>
              </w:rPr>
              <w:t>3</w:t>
            </w:r>
            <w:r>
              <w:rPr>
                <w:rFonts w:hint="eastAsia" w:ascii="宋体" w:hAnsi="宋体"/>
                <w:sz w:val="24"/>
                <w:szCs w:val="24"/>
                <w:highlight w:val="none"/>
              </w:rPr>
              <w:t>；</w:t>
            </w:r>
          </w:p>
          <w:p>
            <w:pPr>
              <w:pStyle w:val="67"/>
              <w:adjustRightInd w:val="0"/>
              <w:snapToGrid w:val="0"/>
              <w:spacing w:line="360" w:lineRule="auto"/>
              <w:ind w:left="1050" w:leftChars="500"/>
              <w:rPr>
                <w:rFonts w:ascii="宋体" w:hAnsi="宋体"/>
                <w:sz w:val="24"/>
                <w:szCs w:val="24"/>
                <w:highlight w:val="none"/>
              </w:rPr>
            </w:pPr>
            <w:r>
              <w:rPr>
                <w:rFonts w:ascii="宋体" w:hAnsi="宋体"/>
                <w:sz w:val="24"/>
                <w:szCs w:val="24"/>
                <w:highlight w:val="none"/>
              </w:rPr>
              <w:t>η</w:t>
            </w:r>
            <w:r>
              <w:rPr>
                <w:rFonts w:ascii="宋体" w:hAnsi="宋体"/>
                <w:sz w:val="24"/>
                <w:szCs w:val="24"/>
                <w:highlight w:val="none"/>
                <w:vertAlign w:val="subscript"/>
              </w:rPr>
              <w:t>NOx</w:t>
            </w:r>
            <w:r>
              <w:rPr>
                <w:rFonts w:hint="eastAsia" w:ascii="宋体" w:hAnsi="宋体"/>
                <w:sz w:val="24"/>
                <w:szCs w:val="24"/>
                <w:highlight w:val="none"/>
              </w:rPr>
              <w:t>：脱硝效率，30</w:t>
            </w:r>
            <w:r>
              <w:rPr>
                <w:rFonts w:ascii="宋体" w:hAnsi="宋体"/>
                <w:sz w:val="24"/>
                <w:szCs w:val="24"/>
                <w:highlight w:val="none"/>
              </w:rPr>
              <w:t>%</w:t>
            </w:r>
            <w:r>
              <w:rPr>
                <w:rFonts w:hint="eastAsia" w:ascii="宋体" w:hAnsi="宋体"/>
                <w:sz w:val="24"/>
                <w:szCs w:val="24"/>
                <w:highlight w:val="none"/>
              </w:rPr>
              <w:t>。</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各参数取值及</w:t>
            </w:r>
            <w:r>
              <w:rPr>
                <w:rFonts w:ascii="宋体" w:hAnsi="宋体"/>
                <w:sz w:val="24"/>
                <w:szCs w:val="24"/>
                <w:highlight w:val="none"/>
              </w:rPr>
              <w:t>NO</w:t>
            </w:r>
            <w:r>
              <w:rPr>
                <w:rFonts w:ascii="宋体" w:hAnsi="宋体"/>
                <w:sz w:val="24"/>
                <w:szCs w:val="24"/>
                <w:highlight w:val="none"/>
                <w:vertAlign w:val="subscript"/>
              </w:rPr>
              <w:t>x</w:t>
            </w:r>
            <w:r>
              <w:rPr>
                <w:rFonts w:hint="eastAsia" w:ascii="宋体" w:hAnsi="宋体"/>
                <w:sz w:val="24"/>
                <w:szCs w:val="24"/>
                <w:highlight w:val="none"/>
              </w:rPr>
              <w:t>计算结果见下表：</w:t>
            </w:r>
          </w:p>
          <w:p>
            <w:pPr>
              <w:jc w:val="center"/>
              <w:rPr>
                <w:rFonts w:ascii="宋体" w:hAnsi="宋体"/>
                <w:b/>
                <w:bCs/>
                <w:szCs w:val="21"/>
                <w:highlight w:val="none"/>
                <w:u w:val="single"/>
              </w:rPr>
            </w:pPr>
            <w:r>
              <w:rPr>
                <w:rFonts w:hint="eastAsia" w:ascii="宋体" w:hAnsi="宋体"/>
                <w:b/>
                <w:bCs/>
                <w:szCs w:val="21"/>
                <w:highlight w:val="none"/>
                <w:u w:val="single"/>
              </w:rPr>
              <w:t>表4-</w:t>
            </w:r>
            <w:r>
              <w:rPr>
                <w:rFonts w:hint="eastAsia" w:ascii="宋体" w:hAnsi="宋体"/>
                <w:b/>
                <w:bCs/>
                <w:szCs w:val="21"/>
                <w:highlight w:val="none"/>
                <w:u w:val="single"/>
                <w:lang w:val="en-US" w:eastAsia="zh-CN"/>
              </w:rPr>
              <w:t>4</w:t>
            </w:r>
            <w:r>
              <w:rPr>
                <w:rFonts w:hint="eastAsia" w:ascii="宋体" w:hAnsi="宋体"/>
                <w:b/>
                <w:bCs/>
                <w:szCs w:val="21"/>
                <w:highlight w:val="none"/>
                <w:u w:val="single"/>
              </w:rPr>
              <w:t xml:space="preserve">   NO</w:t>
            </w:r>
            <w:r>
              <w:rPr>
                <w:rFonts w:hint="eastAsia" w:ascii="宋体" w:hAnsi="宋体"/>
                <w:b/>
                <w:bCs/>
                <w:szCs w:val="21"/>
                <w:highlight w:val="none"/>
                <w:u w:val="single"/>
                <w:vertAlign w:val="subscript"/>
              </w:rPr>
              <w:t>x</w:t>
            </w:r>
            <w:r>
              <w:rPr>
                <w:rFonts w:hint="eastAsia" w:ascii="宋体" w:hAnsi="宋体"/>
                <w:b/>
                <w:bCs/>
                <w:szCs w:val="21"/>
                <w:highlight w:val="none"/>
                <w:u w:val="single"/>
              </w:rPr>
              <w:t>计算结果</w:t>
            </w:r>
          </w:p>
          <w:tbl>
            <w:tblPr>
              <w:tblStyle w:val="23"/>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364"/>
              <w:gridCol w:w="3450"/>
              <w:gridCol w:w="1110"/>
              <w:gridCol w:w="924"/>
              <w:gridCol w:w="555"/>
              <w:gridCol w:w="76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835" w:type="pct"/>
                  <w:noWrap w:val="0"/>
                  <w:vAlign w:val="top"/>
                </w:tcPr>
                <w:p>
                  <w:pPr>
                    <w:widowControl/>
                    <w:jc w:val="center"/>
                    <w:textAlignment w:val="center"/>
                    <w:rPr>
                      <w:rFonts w:ascii="宋体" w:hAnsi="宋体"/>
                      <w:szCs w:val="21"/>
                      <w:highlight w:val="none"/>
                    </w:rPr>
                  </w:pPr>
                  <w:r>
                    <w:rPr>
                      <w:rFonts w:ascii="宋体" w:hAnsi="宋体"/>
                      <w:szCs w:val="21"/>
                      <w:highlight w:val="none"/>
                    </w:rPr>
                    <w:t>项目</w:t>
                  </w:r>
                </w:p>
              </w:tc>
              <w:tc>
                <w:tcPr>
                  <w:tcW w:w="2111" w:type="pct"/>
                  <w:noWrap w:val="0"/>
                  <w:vAlign w:val="center"/>
                </w:tcPr>
                <w:p>
                  <w:pPr>
                    <w:widowControl/>
                    <w:jc w:val="center"/>
                    <w:textAlignment w:val="center"/>
                    <w:rPr>
                      <w:rFonts w:ascii="宋体" w:hAnsi="宋体"/>
                      <w:szCs w:val="21"/>
                      <w:highlight w:val="none"/>
                    </w:rPr>
                  </w:pPr>
                  <w:r>
                    <w:rPr>
                      <w:rFonts w:ascii="宋体" w:hAnsi="宋体"/>
                      <w:szCs w:val="21"/>
                      <w:highlight w:val="none"/>
                    </w:rPr>
                    <w:t>计算公式</w:t>
                  </w:r>
                </w:p>
              </w:tc>
              <w:tc>
                <w:tcPr>
                  <w:tcW w:w="679" w:type="pct"/>
                  <w:noWrap w:val="0"/>
                  <w:vAlign w:val="center"/>
                </w:tcPr>
                <w:p>
                  <w:pPr>
                    <w:widowControl/>
                    <w:jc w:val="center"/>
                    <w:textAlignment w:val="center"/>
                    <w:rPr>
                      <w:rFonts w:ascii="宋体" w:hAnsi="宋体"/>
                      <w:szCs w:val="21"/>
                      <w:highlight w:val="none"/>
                    </w:rPr>
                  </w:pPr>
                  <w:r>
                    <w:rPr>
                      <w:rFonts w:ascii="宋体" w:hAnsi="宋体"/>
                      <w:sz w:val="24"/>
                      <w:highlight w:val="none"/>
                    </w:rPr>
                    <w:t>ρ</w:t>
                  </w:r>
                  <w:r>
                    <w:rPr>
                      <w:rFonts w:ascii="宋体" w:hAnsi="宋体"/>
                      <w:szCs w:val="21"/>
                      <w:highlight w:val="none"/>
                      <w:vertAlign w:val="subscript"/>
                    </w:rPr>
                    <w:t>NOx</w:t>
                  </w:r>
                  <w:r>
                    <w:rPr>
                      <w:rFonts w:ascii="宋体" w:hAnsi="宋体"/>
                      <w:szCs w:val="21"/>
                      <w:highlight w:val="none"/>
                    </w:rPr>
                    <w:t>(mg/m</w:t>
                  </w:r>
                  <w:r>
                    <w:rPr>
                      <w:rFonts w:ascii="宋体" w:hAnsi="宋体"/>
                      <w:szCs w:val="21"/>
                      <w:highlight w:val="none"/>
                      <w:vertAlign w:val="superscript"/>
                    </w:rPr>
                    <w:t>3</w:t>
                  </w:r>
                  <w:r>
                    <w:rPr>
                      <w:rFonts w:ascii="宋体" w:hAnsi="宋体"/>
                      <w:szCs w:val="21"/>
                      <w:highlight w:val="none"/>
                    </w:rPr>
                    <w:t>)</w:t>
                  </w:r>
                </w:p>
              </w:tc>
              <w:tc>
                <w:tcPr>
                  <w:tcW w:w="565" w:type="pct"/>
                  <w:noWrap w:val="0"/>
                  <w:vAlign w:val="center"/>
                </w:tcPr>
                <w:p>
                  <w:pPr>
                    <w:widowControl/>
                    <w:jc w:val="center"/>
                    <w:textAlignment w:val="center"/>
                    <w:rPr>
                      <w:rFonts w:ascii="宋体" w:hAnsi="宋体"/>
                      <w:szCs w:val="21"/>
                      <w:highlight w:val="none"/>
                    </w:rPr>
                  </w:pPr>
                  <w:r>
                    <w:rPr>
                      <w:rFonts w:ascii="宋体" w:hAnsi="宋体"/>
                      <w:szCs w:val="21"/>
                      <w:highlight w:val="none"/>
                    </w:rPr>
                    <w:t>Q（m</w:t>
                  </w:r>
                  <w:r>
                    <w:rPr>
                      <w:rFonts w:ascii="宋体" w:hAnsi="宋体"/>
                      <w:szCs w:val="21"/>
                      <w:highlight w:val="none"/>
                      <w:vertAlign w:val="superscript"/>
                    </w:rPr>
                    <w:t>3</w:t>
                  </w:r>
                  <w:r>
                    <w:rPr>
                      <w:rFonts w:ascii="宋体" w:hAnsi="宋体"/>
                      <w:szCs w:val="21"/>
                      <w:highlight w:val="none"/>
                    </w:rPr>
                    <w:t>）</w:t>
                  </w:r>
                </w:p>
              </w:tc>
              <w:tc>
                <w:tcPr>
                  <w:tcW w:w="339" w:type="pct"/>
                  <w:noWrap w:val="0"/>
                  <w:vAlign w:val="center"/>
                </w:tcPr>
                <w:p>
                  <w:pPr>
                    <w:widowControl/>
                    <w:jc w:val="center"/>
                    <w:textAlignment w:val="center"/>
                    <w:rPr>
                      <w:rFonts w:ascii="宋体" w:hAnsi="宋体"/>
                      <w:szCs w:val="21"/>
                      <w:highlight w:val="none"/>
                    </w:rPr>
                  </w:pPr>
                  <w:r>
                    <w:rPr>
                      <w:rFonts w:ascii="宋体" w:hAnsi="宋体"/>
                      <w:szCs w:val="21"/>
                      <w:highlight w:val="none"/>
                    </w:rPr>
                    <w:t>η</w:t>
                  </w:r>
                  <w:r>
                    <w:rPr>
                      <w:rFonts w:ascii="宋体" w:hAnsi="宋体"/>
                      <w:szCs w:val="21"/>
                      <w:highlight w:val="none"/>
                      <w:vertAlign w:val="subscript"/>
                    </w:rPr>
                    <w:t>NOx</w:t>
                  </w:r>
                  <w:r>
                    <w:rPr>
                      <w:rFonts w:ascii="宋体" w:hAnsi="宋体"/>
                      <w:szCs w:val="21"/>
                      <w:highlight w:val="none"/>
                    </w:rPr>
                    <w:t>（%）</w:t>
                  </w:r>
                </w:p>
              </w:tc>
              <w:tc>
                <w:tcPr>
                  <w:tcW w:w="468" w:type="pct"/>
                  <w:noWrap w:val="0"/>
                  <w:vAlign w:val="center"/>
                </w:tcPr>
                <w:p>
                  <w:pPr>
                    <w:widowControl/>
                    <w:jc w:val="center"/>
                    <w:textAlignment w:val="center"/>
                    <w:rPr>
                      <w:rFonts w:ascii="宋体" w:hAnsi="宋体"/>
                      <w:szCs w:val="21"/>
                      <w:highlight w:val="none"/>
                    </w:rPr>
                  </w:pPr>
                  <w:r>
                    <w:rPr>
                      <w:rFonts w:ascii="宋体" w:hAnsi="宋体"/>
                      <w:szCs w:val="21"/>
                      <w:highlight w:val="none"/>
                    </w:rPr>
                    <w:t>E</w:t>
                  </w:r>
                  <w:r>
                    <w:rPr>
                      <w:rFonts w:ascii="宋体" w:hAnsi="宋体"/>
                      <w:szCs w:val="21"/>
                      <w:highlight w:val="none"/>
                      <w:vertAlign w:val="subscript"/>
                    </w:rPr>
                    <w:t>NOx</w:t>
                  </w:r>
                  <w:r>
                    <w:rPr>
                      <w:rFonts w:ascii="宋体" w:hAnsi="宋体"/>
                      <w:szCs w:val="21"/>
                      <w:highlight w:val="none"/>
                    </w:rPr>
                    <w:t>（t/a）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7" w:hRule="atLeast"/>
                <w:jc w:val="center"/>
              </w:trPr>
              <w:tc>
                <w:tcPr>
                  <w:tcW w:w="835" w:type="pct"/>
                  <w:noWrap w:val="0"/>
                  <w:vAlign w:val="top"/>
                </w:tcPr>
                <w:p>
                  <w:pPr>
                    <w:jc w:val="center"/>
                    <w:rPr>
                      <w:rFonts w:ascii="宋体" w:hAnsi="宋体"/>
                      <w:bCs/>
                      <w:position w:val="-30"/>
                      <w:szCs w:val="21"/>
                      <w:highlight w:val="none"/>
                    </w:rPr>
                  </w:pPr>
                  <w:r>
                    <w:rPr>
                      <w:rFonts w:ascii="宋体" w:hAnsi="宋体"/>
                      <w:bCs/>
                      <w:position w:val="-30"/>
                      <w:szCs w:val="21"/>
                      <w:highlight w:val="none"/>
                    </w:rPr>
                    <w:t>锅炉</w:t>
                  </w:r>
                </w:p>
              </w:tc>
              <w:tc>
                <w:tcPr>
                  <w:tcW w:w="2111" w:type="pct"/>
                  <w:noWrap w:val="0"/>
                  <w:vAlign w:val="center"/>
                </w:tcPr>
                <w:p>
                  <w:pPr>
                    <w:jc w:val="center"/>
                    <w:rPr>
                      <w:rFonts w:ascii="宋体" w:hAnsi="宋体"/>
                      <w:szCs w:val="21"/>
                      <w:highlight w:val="none"/>
                    </w:rPr>
                  </w:pPr>
                  <w:r>
                    <w:rPr>
                      <w:rFonts w:ascii="宋体" w:hAnsi="宋体"/>
                      <w:bCs/>
                      <w:position w:val="-30"/>
                      <w:szCs w:val="21"/>
                      <w:highlight w:val="none"/>
                    </w:rPr>
                    <w:object>
                      <v:shape id="_x0000_i1028" o:spt="75" type="#_x0000_t75" style="height:36pt;width:171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p>
              </w:tc>
              <w:tc>
                <w:tcPr>
                  <w:tcW w:w="679" w:type="pct"/>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200</w:t>
                  </w:r>
                </w:p>
              </w:tc>
              <w:tc>
                <w:tcPr>
                  <w:tcW w:w="565" w:type="pct"/>
                  <w:noWrap w:val="0"/>
                  <w:vAlign w:val="center"/>
                </w:tcPr>
                <w:p>
                  <w:pPr>
                    <w:widowControl/>
                    <w:jc w:val="center"/>
                    <w:textAlignment w:val="center"/>
                    <w:rPr>
                      <w:rFonts w:hint="eastAsia" w:ascii="宋体" w:hAnsi="宋体" w:eastAsia="宋体"/>
                      <w:szCs w:val="21"/>
                      <w:highlight w:val="none"/>
                      <w:lang w:val="en-US" w:eastAsia="zh-CN"/>
                    </w:rPr>
                  </w:pPr>
                  <w:r>
                    <w:rPr>
                      <w:rFonts w:hint="eastAsia" w:ascii="宋体" w:hAnsi="宋体"/>
                      <w:szCs w:val="21"/>
                      <w:highlight w:val="none"/>
                      <w:lang w:val="en-US" w:eastAsia="zh-CN"/>
                    </w:rPr>
                    <w:t>6.22</w:t>
                  </w:r>
                  <w:r>
                    <w:rPr>
                      <w:rFonts w:ascii="宋体" w:hAnsi="宋体" w:cs="Arial"/>
                      <w:szCs w:val="21"/>
                      <w:highlight w:val="none"/>
                    </w:rPr>
                    <w:t>×</w:t>
                  </w:r>
                  <w:r>
                    <w:rPr>
                      <w:rFonts w:hint="eastAsia" w:ascii="宋体" w:hAnsi="宋体"/>
                      <w:szCs w:val="21"/>
                      <w:highlight w:val="none"/>
                    </w:rPr>
                    <w:t>10</w:t>
                  </w:r>
                  <w:r>
                    <w:rPr>
                      <w:rFonts w:hint="eastAsia" w:ascii="宋体" w:hAnsi="宋体"/>
                      <w:szCs w:val="21"/>
                      <w:highlight w:val="none"/>
                      <w:vertAlign w:val="superscript"/>
                      <w:lang w:val="en-US" w:eastAsia="zh-CN"/>
                    </w:rPr>
                    <w:t>6</w:t>
                  </w:r>
                </w:p>
              </w:tc>
              <w:tc>
                <w:tcPr>
                  <w:tcW w:w="339" w:type="pct"/>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30</w:t>
                  </w:r>
                </w:p>
              </w:tc>
              <w:tc>
                <w:tcPr>
                  <w:tcW w:w="468" w:type="pct"/>
                  <w:noWrap w:val="0"/>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rPr>
                    <w:t>0.</w:t>
                  </w:r>
                  <w:r>
                    <w:rPr>
                      <w:rFonts w:hint="eastAsia" w:ascii="宋体" w:hAnsi="宋体"/>
                      <w:szCs w:val="21"/>
                      <w:highlight w:val="none"/>
                      <w:lang w:val="en-US" w:eastAsia="zh-CN"/>
                    </w:rPr>
                    <w:t>87</w:t>
                  </w:r>
                </w:p>
              </w:tc>
            </w:tr>
          </w:tbl>
          <w:p>
            <w:pPr>
              <w:pStyle w:val="67"/>
              <w:adjustRightInd w:val="0"/>
              <w:snapToGrid w:val="0"/>
              <w:spacing w:before="120" w:beforeLines="50" w:line="360" w:lineRule="auto"/>
              <w:ind w:firstLine="480" w:firstLineChars="200"/>
              <w:rPr>
                <w:rFonts w:ascii="宋体" w:hAnsi="宋体"/>
                <w:sz w:val="24"/>
                <w:szCs w:val="24"/>
                <w:highlight w:val="none"/>
              </w:rPr>
            </w:pPr>
            <w:r>
              <w:rPr>
                <w:rFonts w:hint="eastAsia" w:ascii="宋体" w:hAnsi="宋体"/>
                <w:sz w:val="24"/>
                <w:szCs w:val="24"/>
                <w:highlight w:val="none"/>
              </w:rPr>
              <w:t>根据上表计算结果可知，项目</w:t>
            </w:r>
            <w:r>
              <w:rPr>
                <w:rFonts w:ascii="宋体" w:hAnsi="宋体"/>
                <w:sz w:val="24"/>
                <w:szCs w:val="24"/>
                <w:highlight w:val="none"/>
              </w:rPr>
              <w:t>NO</w:t>
            </w:r>
            <w:r>
              <w:rPr>
                <w:rFonts w:ascii="宋体" w:hAnsi="宋体"/>
                <w:sz w:val="24"/>
                <w:szCs w:val="24"/>
                <w:highlight w:val="none"/>
                <w:vertAlign w:val="subscript"/>
              </w:rPr>
              <w:t>x</w:t>
            </w:r>
            <w:r>
              <w:rPr>
                <w:rFonts w:hint="eastAsia" w:ascii="宋体" w:hAnsi="宋体"/>
                <w:sz w:val="24"/>
                <w:szCs w:val="24"/>
                <w:highlight w:val="none"/>
              </w:rPr>
              <w:t>排放量为</w:t>
            </w:r>
            <w:r>
              <w:rPr>
                <w:rFonts w:hint="eastAsia" w:ascii="宋体" w:hAnsi="宋体"/>
                <w:sz w:val="24"/>
                <w:szCs w:val="24"/>
                <w:highlight w:val="none"/>
                <w:lang w:val="en-US" w:eastAsia="zh-CN"/>
              </w:rPr>
              <w:t>0.87</w:t>
            </w:r>
            <w:r>
              <w:rPr>
                <w:rFonts w:ascii="宋体" w:hAnsi="宋体"/>
                <w:sz w:val="24"/>
                <w:szCs w:val="24"/>
                <w:highlight w:val="none"/>
              </w:rPr>
              <w:t>t/a</w:t>
            </w:r>
            <w:r>
              <w:rPr>
                <w:rFonts w:hint="eastAsia" w:ascii="宋体" w:hAnsi="宋体"/>
                <w:sz w:val="24"/>
                <w:szCs w:val="24"/>
                <w:highlight w:val="none"/>
              </w:rPr>
              <w:t>。</w:t>
            </w:r>
          </w:p>
          <w:p>
            <w:pPr>
              <w:pStyle w:val="67"/>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⑤汞及其化合物</w:t>
            </w:r>
          </w:p>
          <w:p>
            <w:pPr>
              <w:pStyle w:val="67"/>
              <w:adjustRightInd w:val="0"/>
              <w:snapToGrid w:val="0"/>
              <w:spacing w:line="360" w:lineRule="auto"/>
              <w:rPr>
                <w:rFonts w:ascii="宋体" w:hAnsi="宋体"/>
                <w:sz w:val="24"/>
                <w:szCs w:val="24"/>
                <w:highlight w:val="none"/>
              </w:rPr>
            </w:pPr>
            <w:r>
              <w:rPr>
                <w:rFonts w:ascii="宋体" w:hAnsi="宋体"/>
                <w:sz w:val="24"/>
                <w:szCs w:val="24"/>
                <w:highlight w:val="none"/>
              </w:rPr>
              <w:drawing>
                <wp:inline distT="0" distB="0" distL="114300" distR="114300">
                  <wp:extent cx="2962275" cy="657225"/>
                  <wp:effectExtent l="0" t="0" r="9525" b="9525"/>
                  <wp:docPr id="94" name="图片 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说明: 1"/>
                          <pic:cNvPicPr>
                            <a:picLocks noChangeAspect="1"/>
                          </pic:cNvPicPr>
                        </pic:nvPicPr>
                        <pic:blipFill>
                          <a:blip r:embed="rId20"/>
                          <a:stretch>
                            <a:fillRect/>
                          </a:stretch>
                        </pic:blipFill>
                        <pic:spPr>
                          <a:xfrm>
                            <a:off x="0" y="0"/>
                            <a:ext cx="2962275" cy="657225"/>
                          </a:xfrm>
                          <a:prstGeom prst="rect">
                            <a:avLst/>
                          </a:prstGeom>
                          <a:noFill/>
                          <a:ln>
                            <a:noFill/>
                          </a:ln>
                        </pic:spPr>
                      </pic:pic>
                    </a:graphicData>
                  </a:graphic>
                </wp:inline>
              </w:drawing>
            </w:r>
          </w:p>
          <w:p>
            <w:pPr>
              <w:pStyle w:val="67"/>
              <w:adjustRightInd w:val="0"/>
              <w:snapToGrid w:val="0"/>
              <w:spacing w:line="360" w:lineRule="auto"/>
              <w:ind w:firstLine="480" w:firstLineChars="200"/>
              <w:outlineLvl w:val="0"/>
              <w:rPr>
                <w:rFonts w:ascii="宋体" w:hAnsi="宋体"/>
                <w:sz w:val="24"/>
                <w:szCs w:val="24"/>
                <w:highlight w:val="none"/>
              </w:rPr>
            </w:pPr>
            <w:r>
              <w:rPr>
                <w:rFonts w:hint="eastAsia" w:ascii="宋体" w:hAnsi="宋体"/>
                <w:sz w:val="24"/>
                <w:szCs w:val="24"/>
                <w:highlight w:val="none"/>
              </w:rPr>
              <w:t>式中：</w:t>
            </w:r>
            <w:r>
              <w:rPr>
                <w:rFonts w:ascii="宋体" w:hAnsi="宋体"/>
                <w:sz w:val="24"/>
                <w:szCs w:val="24"/>
                <w:highlight w:val="none"/>
              </w:rPr>
              <w:t>E</w:t>
            </w:r>
            <w:r>
              <w:rPr>
                <w:rFonts w:hint="eastAsia" w:ascii="宋体" w:hAnsi="宋体"/>
                <w:sz w:val="24"/>
                <w:szCs w:val="24"/>
                <w:highlight w:val="none"/>
                <w:vertAlign w:val="subscript"/>
              </w:rPr>
              <w:t>Hg</w:t>
            </w:r>
            <w:r>
              <w:rPr>
                <w:rFonts w:hint="eastAsia" w:ascii="宋体" w:hAnsi="宋体"/>
                <w:sz w:val="24"/>
                <w:szCs w:val="24"/>
                <w:highlight w:val="none"/>
              </w:rPr>
              <w:t>：核算时段内汞及其化合物排放量（以汞计），</w:t>
            </w:r>
            <w:r>
              <w:rPr>
                <w:rFonts w:ascii="宋体" w:hAnsi="宋体"/>
                <w:sz w:val="24"/>
                <w:szCs w:val="24"/>
                <w:highlight w:val="none"/>
              </w:rPr>
              <w:t>t</w:t>
            </w:r>
            <w:r>
              <w:rPr>
                <w:rFonts w:hint="eastAsia" w:ascii="宋体" w:hAnsi="宋体"/>
                <w:sz w:val="24"/>
                <w:szCs w:val="24"/>
                <w:highlight w:val="none"/>
              </w:rPr>
              <w:t>；</w:t>
            </w:r>
          </w:p>
          <w:p>
            <w:pPr>
              <w:pStyle w:val="67"/>
              <w:adjustRightInd w:val="0"/>
              <w:snapToGrid w:val="0"/>
              <w:spacing w:line="360" w:lineRule="auto"/>
              <w:ind w:firstLine="1120" w:firstLineChars="400"/>
              <w:outlineLvl w:val="0"/>
              <w:rPr>
                <w:rFonts w:ascii="宋体" w:hAnsi="宋体"/>
                <w:sz w:val="24"/>
                <w:szCs w:val="24"/>
                <w:highlight w:val="none"/>
              </w:rPr>
            </w:pPr>
            <w:r>
              <w:rPr>
                <w:rFonts w:hint="eastAsia" w:ascii="宋体" w:hAnsi="宋体"/>
                <w:sz w:val="28"/>
                <w:szCs w:val="28"/>
                <w:highlight w:val="none"/>
              </w:rPr>
              <w:t>R</w:t>
            </w:r>
            <w:r>
              <w:rPr>
                <w:rFonts w:hint="eastAsia" w:ascii="宋体" w:hAnsi="宋体"/>
                <w:sz w:val="24"/>
                <w:szCs w:val="24"/>
                <w:highlight w:val="none"/>
              </w:rPr>
              <w:t>：核算时段内锅炉燃料耗量，t；</w:t>
            </w:r>
          </w:p>
          <w:p>
            <w:pPr>
              <w:pStyle w:val="67"/>
              <w:adjustRightInd w:val="0"/>
              <w:snapToGrid w:val="0"/>
              <w:spacing w:line="360" w:lineRule="auto"/>
              <w:ind w:left="1050" w:leftChars="500"/>
              <w:rPr>
                <w:rFonts w:ascii="宋体" w:hAnsi="宋体"/>
                <w:sz w:val="24"/>
                <w:szCs w:val="24"/>
                <w:highlight w:val="none"/>
              </w:rPr>
            </w:pPr>
            <w:r>
              <w:rPr>
                <w:rFonts w:hint="eastAsia" w:ascii="宋体" w:hAnsi="宋体"/>
                <w:sz w:val="28"/>
                <w:szCs w:val="28"/>
                <w:highlight w:val="none"/>
              </w:rPr>
              <w:t>m</w:t>
            </w:r>
            <w:r>
              <w:rPr>
                <w:rFonts w:hint="eastAsia" w:ascii="宋体" w:hAnsi="宋体"/>
                <w:sz w:val="24"/>
                <w:szCs w:val="24"/>
                <w:highlight w:val="none"/>
                <w:vertAlign w:val="subscript"/>
              </w:rPr>
              <w:t>Hgar</w:t>
            </w:r>
            <w:r>
              <w:rPr>
                <w:rFonts w:hint="eastAsia" w:ascii="宋体" w:hAnsi="宋体"/>
                <w:sz w:val="24"/>
                <w:szCs w:val="24"/>
                <w:highlight w:val="none"/>
              </w:rPr>
              <w:t>：收到基汞的含量，</w:t>
            </w:r>
            <w:r>
              <w:rPr>
                <w:rFonts w:ascii="宋体" w:hAnsi="宋体"/>
                <w:sz w:val="24"/>
                <w:szCs w:val="24"/>
                <w:highlight w:val="none"/>
              </w:rPr>
              <w:t>μ</w:t>
            </w:r>
            <w:r>
              <w:rPr>
                <w:rFonts w:hint="eastAsia" w:ascii="宋体" w:hAnsi="宋体"/>
                <w:sz w:val="24"/>
                <w:szCs w:val="24"/>
                <w:highlight w:val="none"/>
              </w:rPr>
              <w:t>g/g；</w:t>
            </w:r>
          </w:p>
          <w:p>
            <w:pPr>
              <w:pStyle w:val="67"/>
              <w:adjustRightInd w:val="0"/>
              <w:snapToGrid w:val="0"/>
              <w:spacing w:line="360" w:lineRule="auto"/>
              <w:ind w:left="1050" w:leftChars="500"/>
              <w:rPr>
                <w:rFonts w:ascii="宋体" w:hAnsi="宋体"/>
                <w:sz w:val="24"/>
                <w:szCs w:val="24"/>
                <w:highlight w:val="none"/>
              </w:rPr>
            </w:pPr>
            <w:r>
              <w:rPr>
                <w:rFonts w:ascii="宋体" w:hAnsi="宋体"/>
                <w:sz w:val="24"/>
                <w:szCs w:val="24"/>
                <w:highlight w:val="none"/>
              </w:rPr>
              <w:t>η</w:t>
            </w:r>
            <w:r>
              <w:rPr>
                <w:rFonts w:hint="eastAsia" w:ascii="宋体" w:hAnsi="宋体"/>
                <w:sz w:val="24"/>
                <w:szCs w:val="24"/>
                <w:highlight w:val="none"/>
                <w:vertAlign w:val="subscript"/>
              </w:rPr>
              <w:t>Hg</w:t>
            </w:r>
            <w:r>
              <w:rPr>
                <w:rFonts w:hint="eastAsia" w:ascii="宋体" w:hAnsi="宋体"/>
                <w:sz w:val="24"/>
                <w:szCs w:val="24"/>
                <w:highlight w:val="none"/>
              </w:rPr>
              <w:t>：汞的协同脱除效率，</w:t>
            </w:r>
            <w:r>
              <w:rPr>
                <w:rFonts w:ascii="宋体" w:hAnsi="宋体"/>
                <w:sz w:val="24"/>
                <w:szCs w:val="24"/>
                <w:highlight w:val="none"/>
              </w:rPr>
              <w:t>%</w:t>
            </w:r>
            <w:r>
              <w:rPr>
                <w:rFonts w:hint="eastAsia" w:ascii="宋体" w:hAnsi="宋体"/>
                <w:sz w:val="24"/>
                <w:szCs w:val="24"/>
                <w:highlight w:val="none"/>
              </w:rPr>
              <w:t>。</w:t>
            </w:r>
          </w:p>
          <w:p>
            <w:pPr>
              <w:pStyle w:val="67"/>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根据《生物质的燃烧特性及其污染气体、汞、砷释放特性》（华北电力大学  专业硕士学位论文）中资料查</w:t>
            </w:r>
            <w:r>
              <w:rPr>
                <w:rFonts w:hint="eastAsia" w:ascii="宋体" w:hAnsi="宋体"/>
                <w:sz w:val="28"/>
                <w:szCs w:val="28"/>
                <w:highlight w:val="none"/>
              </w:rPr>
              <w:t>m</w:t>
            </w:r>
            <w:r>
              <w:rPr>
                <w:rFonts w:hint="eastAsia" w:ascii="宋体" w:hAnsi="宋体"/>
                <w:sz w:val="24"/>
                <w:szCs w:val="24"/>
                <w:highlight w:val="none"/>
                <w:vertAlign w:val="subscript"/>
              </w:rPr>
              <w:t>Hga</w:t>
            </w:r>
            <w:r>
              <w:rPr>
                <w:rFonts w:hint="eastAsia" w:ascii="宋体" w:hAnsi="宋体"/>
                <w:sz w:val="24"/>
                <w:szCs w:val="24"/>
                <w:highlight w:val="none"/>
              </w:rPr>
              <w:t>的取值为1～44ng/g。</w:t>
            </w:r>
          </w:p>
          <w:p>
            <w:pPr>
              <w:jc w:val="center"/>
              <w:rPr>
                <w:rFonts w:ascii="宋体" w:hAnsi="宋体"/>
                <w:b/>
                <w:bCs/>
                <w:szCs w:val="21"/>
                <w:highlight w:val="none"/>
                <w:u w:val="single"/>
              </w:rPr>
            </w:pPr>
            <w:r>
              <w:rPr>
                <w:rFonts w:hint="eastAsia" w:ascii="宋体" w:hAnsi="宋体"/>
                <w:b/>
                <w:bCs/>
                <w:szCs w:val="21"/>
                <w:highlight w:val="none"/>
                <w:u w:val="single"/>
              </w:rPr>
              <w:t>表4-</w:t>
            </w:r>
            <w:r>
              <w:rPr>
                <w:rFonts w:hint="eastAsia" w:ascii="宋体" w:hAnsi="宋体"/>
                <w:b/>
                <w:bCs/>
                <w:szCs w:val="21"/>
                <w:highlight w:val="none"/>
                <w:u w:val="single"/>
                <w:lang w:val="en-US" w:eastAsia="zh-CN"/>
              </w:rPr>
              <w:t>5</w:t>
            </w:r>
            <w:r>
              <w:rPr>
                <w:rFonts w:hint="eastAsia" w:ascii="宋体" w:hAnsi="宋体"/>
                <w:b/>
                <w:bCs/>
                <w:szCs w:val="21"/>
                <w:highlight w:val="none"/>
                <w:u w:val="single"/>
              </w:rPr>
              <w:t xml:space="preserve">    汞及其化合物的计算结果</w:t>
            </w:r>
          </w:p>
          <w:tbl>
            <w:tblPr>
              <w:tblStyle w:val="23"/>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727"/>
              <w:gridCol w:w="4590"/>
              <w:gridCol w:w="450"/>
              <w:gridCol w:w="975"/>
              <w:gridCol w:w="555"/>
              <w:gridCol w:w="87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459" w:type="pct"/>
                  <w:noWrap w:val="0"/>
                  <w:vAlign w:val="top"/>
                </w:tcPr>
                <w:p>
                  <w:pPr>
                    <w:widowControl/>
                    <w:jc w:val="center"/>
                    <w:textAlignment w:val="center"/>
                    <w:rPr>
                      <w:rFonts w:ascii="宋体" w:hAnsi="宋体"/>
                      <w:szCs w:val="21"/>
                      <w:highlight w:val="none"/>
                    </w:rPr>
                  </w:pPr>
                  <w:r>
                    <w:rPr>
                      <w:rFonts w:ascii="宋体" w:hAnsi="宋体"/>
                      <w:szCs w:val="21"/>
                      <w:highlight w:val="none"/>
                    </w:rPr>
                    <w:t>项目</w:t>
                  </w:r>
                </w:p>
              </w:tc>
              <w:tc>
                <w:tcPr>
                  <w:tcW w:w="2799" w:type="pct"/>
                  <w:noWrap w:val="0"/>
                  <w:vAlign w:val="center"/>
                </w:tcPr>
                <w:p>
                  <w:pPr>
                    <w:widowControl/>
                    <w:jc w:val="center"/>
                    <w:textAlignment w:val="center"/>
                    <w:rPr>
                      <w:rFonts w:ascii="宋体" w:hAnsi="宋体"/>
                      <w:szCs w:val="21"/>
                      <w:highlight w:val="none"/>
                    </w:rPr>
                  </w:pPr>
                  <w:r>
                    <w:rPr>
                      <w:rFonts w:ascii="宋体" w:hAnsi="宋体"/>
                      <w:szCs w:val="21"/>
                      <w:highlight w:val="none"/>
                    </w:rPr>
                    <w:t>计算公式</w:t>
                  </w:r>
                </w:p>
              </w:tc>
              <w:tc>
                <w:tcPr>
                  <w:tcW w:w="275" w:type="pct"/>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R</w:t>
                  </w:r>
                  <w:r>
                    <w:rPr>
                      <w:rFonts w:ascii="宋体" w:hAnsi="宋体"/>
                      <w:szCs w:val="21"/>
                      <w:highlight w:val="none"/>
                    </w:rPr>
                    <w:t>(</w:t>
                  </w:r>
                  <w:r>
                    <w:rPr>
                      <w:rFonts w:hint="eastAsia" w:ascii="宋体" w:hAnsi="宋体"/>
                      <w:szCs w:val="21"/>
                      <w:highlight w:val="none"/>
                    </w:rPr>
                    <w:t>t</w:t>
                  </w:r>
                  <w:r>
                    <w:rPr>
                      <w:rFonts w:ascii="宋体" w:hAnsi="宋体"/>
                      <w:szCs w:val="21"/>
                      <w:highlight w:val="none"/>
                    </w:rPr>
                    <w:t>)</w:t>
                  </w:r>
                </w:p>
              </w:tc>
              <w:tc>
                <w:tcPr>
                  <w:tcW w:w="596" w:type="pct"/>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m</w:t>
                  </w:r>
                  <w:r>
                    <w:rPr>
                      <w:rFonts w:hint="eastAsia" w:ascii="宋体" w:hAnsi="宋体"/>
                      <w:szCs w:val="21"/>
                      <w:highlight w:val="none"/>
                      <w:vertAlign w:val="subscript"/>
                    </w:rPr>
                    <w:t>Hgar</w:t>
                  </w:r>
                  <w:r>
                    <w:rPr>
                      <w:rFonts w:ascii="宋体" w:hAnsi="宋体"/>
                      <w:szCs w:val="21"/>
                      <w:highlight w:val="none"/>
                    </w:rPr>
                    <w:t>（μ</w:t>
                  </w:r>
                  <w:r>
                    <w:rPr>
                      <w:rFonts w:hint="eastAsia" w:ascii="宋体" w:hAnsi="宋体"/>
                      <w:szCs w:val="21"/>
                      <w:highlight w:val="none"/>
                    </w:rPr>
                    <w:t>g/g</w:t>
                  </w:r>
                  <w:r>
                    <w:rPr>
                      <w:rFonts w:ascii="宋体" w:hAnsi="宋体"/>
                      <w:szCs w:val="21"/>
                      <w:highlight w:val="none"/>
                    </w:rPr>
                    <w:t>）</w:t>
                  </w:r>
                </w:p>
              </w:tc>
              <w:tc>
                <w:tcPr>
                  <w:tcW w:w="340" w:type="pct"/>
                  <w:noWrap w:val="0"/>
                  <w:vAlign w:val="center"/>
                </w:tcPr>
                <w:p>
                  <w:pPr>
                    <w:widowControl/>
                    <w:jc w:val="center"/>
                    <w:textAlignment w:val="center"/>
                    <w:rPr>
                      <w:rFonts w:ascii="宋体" w:hAnsi="宋体"/>
                      <w:szCs w:val="21"/>
                      <w:highlight w:val="none"/>
                    </w:rPr>
                  </w:pPr>
                  <w:r>
                    <w:rPr>
                      <w:rFonts w:hint="eastAsia" w:ascii="宋体" w:hAnsi="宋体" w:cs="宋体"/>
                      <w:szCs w:val="21"/>
                      <w:highlight w:val="none"/>
                    </w:rPr>
                    <w:t>η</w:t>
                  </w:r>
                  <w:r>
                    <w:rPr>
                      <w:rFonts w:hint="eastAsia" w:ascii="宋体" w:hAnsi="宋体" w:cs="宋体"/>
                      <w:szCs w:val="21"/>
                      <w:highlight w:val="none"/>
                      <w:vertAlign w:val="subscript"/>
                    </w:rPr>
                    <w:t>Hg</w:t>
                  </w:r>
                  <w:r>
                    <w:rPr>
                      <w:rFonts w:hint="eastAsia" w:ascii="宋体" w:hAnsi="宋体" w:cs="宋体"/>
                      <w:szCs w:val="21"/>
                      <w:highlight w:val="none"/>
                    </w:rPr>
                    <w:t>（%</w:t>
                  </w:r>
                  <w:r>
                    <w:rPr>
                      <w:rFonts w:ascii="宋体" w:hAnsi="宋体"/>
                      <w:szCs w:val="21"/>
                      <w:highlight w:val="none"/>
                    </w:rPr>
                    <w:t>）</w:t>
                  </w:r>
                </w:p>
              </w:tc>
              <w:tc>
                <w:tcPr>
                  <w:tcW w:w="527" w:type="pct"/>
                  <w:noWrap w:val="0"/>
                  <w:vAlign w:val="center"/>
                </w:tcPr>
                <w:p>
                  <w:pPr>
                    <w:widowControl/>
                    <w:jc w:val="center"/>
                    <w:textAlignment w:val="center"/>
                    <w:rPr>
                      <w:rFonts w:ascii="宋体" w:hAnsi="宋体"/>
                      <w:szCs w:val="21"/>
                      <w:highlight w:val="none"/>
                    </w:rPr>
                  </w:pPr>
                  <w:r>
                    <w:rPr>
                      <w:rFonts w:ascii="宋体" w:hAnsi="宋体"/>
                      <w:szCs w:val="21"/>
                      <w:highlight w:val="none"/>
                    </w:rPr>
                    <w:t>E</w:t>
                  </w:r>
                  <w:r>
                    <w:rPr>
                      <w:rFonts w:hint="eastAsia" w:ascii="宋体" w:hAnsi="宋体"/>
                      <w:szCs w:val="21"/>
                      <w:highlight w:val="none"/>
                      <w:vertAlign w:val="subscript"/>
                    </w:rPr>
                    <w:t>Hg</w:t>
                  </w:r>
                  <w:r>
                    <w:rPr>
                      <w:rFonts w:ascii="宋体" w:hAnsi="宋体"/>
                      <w:szCs w:val="21"/>
                      <w:highlight w:val="none"/>
                    </w:rPr>
                    <w:t>（t/a）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7" w:hRule="atLeast"/>
                <w:jc w:val="center"/>
              </w:trPr>
              <w:tc>
                <w:tcPr>
                  <w:tcW w:w="459" w:type="pct"/>
                  <w:noWrap w:val="0"/>
                  <w:vAlign w:val="top"/>
                </w:tcPr>
                <w:p>
                  <w:pPr>
                    <w:jc w:val="center"/>
                    <w:rPr>
                      <w:rFonts w:ascii="宋体" w:hAnsi="宋体"/>
                      <w:szCs w:val="21"/>
                      <w:highlight w:val="none"/>
                    </w:rPr>
                  </w:pPr>
                  <w:r>
                    <w:rPr>
                      <w:rFonts w:ascii="宋体" w:hAnsi="宋体"/>
                      <w:szCs w:val="21"/>
                      <w:highlight w:val="none"/>
                    </w:rPr>
                    <w:t>锅炉</w:t>
                  </w:r>
                </w:p>
              </w:tc>
              <w:tc>
                <w:tcPr>
                  <w:tcW w:w="2799" w:type="pct"/>
                  <w:noWrap w:val="0"/>
                  <w:vAlign w:val="center"/>
                </w:tcPr>
                <w:p>
                  <w:pPr>
                    <w:jc w:val="center"/>
                    <w:rPr>
                      <w:rFonts w:ascii="宋体" w:hAnsi="宋体"/>
                      <w:szCs w:val="21"/>
                      <w:highlight w:val="none"/>
                    </w:rPr>
                  </w:pPr>
                  <w:r>
                    <w:rPr>
                      <w:rFonts w:ascii="宋体" w:hAnsi="宋体"/>
                      <w:szCs w:val="21"/>
                      <w:highlight w:val="none"/>
                    </w:rPr>
                    <w:drawing>
                      <wp:inline distT="0" distB="0" distL="114300" distR="114300">
                        <wp:extent cx="2885440" cy="536575"/>
                        <wp:effectExtent l="0" t="0" r="10160" b="15875"/>
                        <wp:docPr id="95" name="图片 1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1"/>
                                <pic:cNvPicPr>
                                  <a:picLocks noChangeAspect="1"/>
                                </pic:cNvPicPr>
                              </pic:nvPicPr>
                              <pic:blipFill>
                                <a:blip r:embed="rId20"/>
                                <a:stretch>
                                  <a:fillRect/>
                                </a:stretch>
                              </pic:blipFill>
                              <pic:spPr>
                                <a:xfrm>
                                  <a:off x="0" y="0"/>
                                  <a:ext cx="2885440" cy="536575"/>
                                </a:xfrm>
                                <a:prstGeom prst="rect">
                                  <a:avLst/>
                                </a:prstGeom>
                                <a:noFill/>
                                <a:ln>
                                  <a:noFill/>
                                </a:ln>
                              </pic:spPr>
                            </pic:pic>
                          </a:graphicData>
                        </a:graphic>
                      </wp:inline>
                    </w:drawing>
                  </w:r>
                </w:p>
              </w:tc>
              <w:tc>
                <w:tcPr>
                  <w:tcW w:w="275" w:type="pct"/>
                  <w:noWrap w:val="0"/>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val="en-US" w:eastAsia="zh-CN"/>
                    </w:rPr>
                    <w:t>880</w:t>
                  </w:r>
                </w:p>
              </w:tc>
              <w:tc>
                <w:tcPr>
                  <w:tcW w:w="596" w:type="pct"/>
                  <w:noWrap w:val="0"/>
                  <w:vAlign w:val="center"/>
                </w:tcPr>
                <w:p>
                  <w:pPr>
                    <w:widowControl/>
                    <w:jc w:val="center"/>
                    <w:textAlignment w:val="center"/>
                    <w:rPr>
                      <w:rFonts w:ascii="宋体" w:hAnsi="宋体"/>
                      <w:szCs w:val="21"/>
                      <w:highlight w:val="none"/>
                    </w:rPr>
                  </w:pPr>
                  <w:r>
                    <w:rPr>
                      <w:rFonts w:hint="eastAsia" w:ascii="宋体" w:hAnsi="宋体"/>
                      <w:szCs w:val="21"/>
                      <w:highlight w:val="none"/>
                    </w:rPr>
                    <w:t>0.044</w:t>
                  </w:r>
                </w:p>
              </w:tc>
              <w:tc>
                <w:tcPr>
                  <w:tcW w:w="340" w:type="pct"/>
                  <w:noWrap w:val="0"/>
                  <w:vAlign w:val="center"/>
                </w:tcPr>
                <w:p>
                  <w:pPr>
                    <w:widowControl/>
                    <w:jc w:val="center"/>
                    <w:textAlignment w:val="center"/>
                    <w:rPr>
                      <w:rFonts w:ascii="宋体" w:hAnsi="宋体"/>
                      <w:szCs w:val="21"/>
                      <w:highlight w:val="none"/>
                    </w:rPr>
                  </w:pPr>
                  <w:r>
                    <w:rPr>
                      <w:rFonts w:ascii="宋体" w:hAnsi="宋体"/>
                      <w:color w:val="000000"/>
                      <w:szCs w:val="21"/>
                      <w:highlight w:val="none"/>
                    </w:rPr>
                    <w:t>0</w:t>
                  </w:r>
                </w:p>
              </w:tc>
              <w:tc>
                <w:tcPr>
                  <w:tcW w:w="527" w:type="pct"/>
                  <w:noWrap w:val="0"/>
                  <w:vAlign w:val="center"/>
                </w:tcPr>
                <w:p>
                  <w:pPr>
                    <w:widowControl/>
                    <w:jc w:val="center"/>
                    <w:textAlignment w:val="center"/>
                    <w:rPr>
                      <w:rFonts w:hint="eastAsia" w:ascii="宋体" w:hAnsi="宋体" w:eastAsia="宋体"/>
                      <w:szCs w:val="21"/>
                      <w:highlight w:val="none"/>
                      <w:lang w:val="en-US" w:eastAsia="zh-CN"/>
                    </w:rPr>
                  </w:pPr>
                  <w:r>
                    <w:rPr>
                      <w:rFonts w:hint="eastAsia" w:ascii="宋体" w:hAnsi="宋体"/>
                      <w:szCs w:val="21"/>
                      <w:highlight w:val="none"/>
                      <w:lang w:val="en-US" w:eastAsia="zh-CN"/>
                    </w:rPr>
                    <w:t>3.9</w:t>
                  </w:r>
                  <w:r>
                    <w:rPr>
                      <w:rFonts w:ascii="宋体" w:hAnsi="宋体" w:cs="Arial"/>
                      <w:szCs w:val="21"/>
                      <w:highlight w:val="none"/>
                    </w:rPr>
                    <w:t>×</w:t>
                  </w:r>
                  <w:r>
                    <w:rPr>
                      <w:rFonts w:hint="eastAsia" w:ascii="宋体" w:hAnsi="宋体"/>
                      <w:szCs w:val="21"/>
                      <w:highlight w:val="none"/>
                    </w:rPr>
                    <w:t>10</w:t>
                  </w:r>
                  <w:r>
                    <w:rPr>
                      <w:rFonts w:hint="eastAsia" w:ascii="宋体" w:hAnsi="宋体"/>
                      <w:szCs w:val="21"/>
                      <w:highlight w:val="none"/>
                      <w:vertAlign w:val="superscript"/>
                    </w:rPr>
                    <w:t>-</w:t>
                  </w:r>
                  <w:r>
                    <w:rPr>
                      <w:rFonts w:hint="eastAsia" w:ascii="宋体" w:hAnsi="宋体"/>
                      <w:szCs w:val="21"/>
                      <w:highlight w:val="none"/>
                      <w:vertAlign w:val="superscript"/>
                      <w:lang w:val="en-US" w:eastAsia="zh-CN"/>
                    </w:rPr>
                    <w:t>5</w:t>
                  </w:r>
                </w:p>
              </w:tc>
            </w:tr>
          </w:tbl>
          <w:p>
            <w:pPr>
              <w:pStyle w:val="67"/>
              <w:adjustRightInd w:val="0"/>
              <w:snapToGrid w:val="0"/>
              <w:spacing w:before="120" w:beforeLines="50" w:line="360" w:lineRule="auto"/>
              <w:ind w:firstLine="480" w:firstLineChars="200"/>
              <w:rPr>
                <w:rFonts w:ascii="宋体" w:hAnsi="宋体"/>
                <w:sz w:val="24"/>
                <w:szCs w:val="24"/>
                <w:highlight w:val="none"/>
              </w:rPr>
            </w:pPr>
            <w:r>
              <w:rPr>
                <w:rFonts w:hint="eastAsia" w:ascii="宋体" w:hAnsi="宋体"/>
                <w:sz w:val="24"/>
                <w:szCs w:val="24"/>
                <w:highlight w:val="none"/>
              </w:rPr>
              <w:t>根据上表计算结果可知，项目汞的排放量为</w:t>
            </w:r>
            <w:r>
              <w:rPr>
                <w:rFonts w:hint="eastAsia" w:ascii="宋体" w:hAnsi="宋体"/>
                <w:highlight w:val="none"/>
                <w:lang w:val="en-US" w:eastAsia="zh-CN"/>
              </w:rPr>
              <w:t>3.9</w:t>
            </w:r>
            <w:r>
              <w:rPr>
                <w:rFonts w:ascii="宋体" w:hAnsi="宋体" w:cs="Arial"/>
                <w:highlight w:val="none"/>
              </w:rPr>
              <w:t>×</w:t>
            </w:r>
            <w:r>
              <w:rPr>
                <w:rFonts w:hint="eastAsia" w:ascii="宋体" w:hAnsi="宋体"/>
                <w:highlight w:val="none"/>
              </w:rPr>
              <w:t>10</w:t>
            </w:r>
            <w:r>
              <w:rPr>
                <w:rFonts w:hint="eastAsia" w:ascii="宋体" w:hAnsi="宋体"/>
                <w:highlight w:val="none"/>
                <w:vertAlign w:val="superscript"/>
              </w:rPr>
              <w:t>-</w:t>
            </w:r>
            <w:r>
              <w:rPr>
                <w:rFonts w:hint="eastAsia" w:ascii="宋体" w:hAnsi="宋体"/>
                <w:highlight w:val="none"/>
                <w:vertAlign w:val="superscript"/>
                <w:lang w:val="en-US" w:eastAsia="zh-CN"/>
              </w:rPr>
              <w:t>5</w:t>
            </w:r>
            <w:r>
              <w:rPr>
                <w:rFonts w:hint="eastAsia" w:ascii="宋体" w:hAnsi="宋体"/>
                <w:sz w:val="24"/>
                <w:szCs w:val="24"/>
                <w:highlight w:val="none"/>
              </w:rPr>
              <w:t>t</w:t>
            </w:r>
            <w:r>
              <w:rPr>
                <w:rFonts w:ascii="宋体" w:hAnsi="宋体"/>
                <w:sz w:val="24"/>
                <w:szCs w:val="24"/>
                <w:highlight w:val="none"/>
              </w:rPr>
              <w:t>/a</w:t>
            </w:r>
            <w:r>
              <w:rPr>
                <w:rFonts w:hint="eastAsia" w:ascii="宋体" w:hAnsi="宋体"/>
                <w:sz w:val="24"/>
                <w:szCs w:val="24"/>
                <w:highlight w:val="none"/>
              </w:rPr>
              <w:t>。</w:t>
            </w:r>
          </w:p>
          <w:p>
            <w:pPr>
              <w:pStyle w:val="72"/>
              <w:spacing w:line="360" w:lineRule="auto"/>
              <w:ind w:firstLine="480"/>
              <w:rPr>
                <w:rFonts w:cs="宋体"/>
                <w:bCs/>
                <w:sz w:val="24"/>
                <w:highlight w:val="none"/>
              </w:rPr>
            </w:pPr>
            <w:r>
              <w:rPr>
                <w:rFonts w:hint="eastAsia" w:cs="宋体"/>
                <w:sz w:val="24"/>
                <w:highlight w:val="none"/>
              </w:rPr>
              <w:t>本项目锅炉</w:t>
            </w:r>
            <w:r>
              <w:rPr>
                <w:rFonts w:hint="eastAsia" w:cs="宋体"/>
                <w:bCs/>
                <w:sz w:val="24"/>
                <w:highlight w:val="none"/>
              </w:rPr>
              <w:t>具体污染物产生及排放情况详见下表。</w:t>
            </w:r>
          </w:p>
          <w:p>
            <w:pPr>
              <w:jc w:val="center"/>
              <w:rPr>
                <w:rFonts w:ascii="宋体" w:hAnsi="宋体"/>
                <w:b/>
                <w:bCs/>
                <w:szCs w:val="21"/>
                <w:highlight w:val="none"/>
                <w:u w:val="single"/>
              </w:rPr>
            </w:pPr>
          </w:p>
          <w:p>
            <w:pPr>
              <w:jc w:val="center"/>
              <w:rPr>
                <w:rFonts w:ascii="宋体" w:hAnsi="宋体"/>
                <w:b/>
                <w:bCs/>
                <w:szCs w:val="21"/>
                <w:highlight w:val="none"/>
                <w:u w:val="single"/>
              </w:rPr>
            </w:pPr>
          </w:p>
          <w:p>
            <w:pPr>
              <w:jc w:val="center"/>
              <w:rPr>
                <w:rFonts w:ascii="宋体" w:hAnsi="宋体"/>
                <w:b/>
                <w:bCs/>
                <w:szCs w:val="21"/>
                <w:highlight w:val="none"/>
                <w:u w:val="single"/>
              </w:rPr>
            </w:pPr>
            <w:r>
              <w:rPr>
                <w:rFonts w:ascii="宋体" w:hAnsi="宋体"/>
                <w:b/>
                <w:bCs/>
                <w:szCs w:val="21"/>
                <w:highlight w:val="none"/>
                <w:u w:val="single"/>
              </w:rPr>
              <w:t>表</w:t>
            </w:r>
            <w:r>
              <w:rPr>
                <w:rFonts w:hint="eastAsia" w:ascii="宋体" w:hAnsi="宋体"/>
                <w:b/>
                <w:bCs/>
                <w:szCs w:val="21"/>
                <w:highlight w:val="none"/>
                <w:u w:val="single"/>
              </w:rPr>
              <w:t>4-</w:t>
            </w:r>
            <w:r>
              <w:rPr>
                <w:rFonts w:hint="eastAsia" w:ascii="宋体" w:hAnsi="宋体"/>
                <w:b/>
                <w:bCs/>
                <w:szCs w:val="21"/>
                <w:highlight w:val="none"/>
                <w:u w:val="single"/>
                <w:lang w:val="en-US" w:eastAsia="zh-CN"/>
              </w:rPr>
              <w:t>6</w:t>
            </w:r>
            <w:r>
              <w:rPr>
                <w:rFonts w:hint="eastAsia" w:ascii="宋体" w:hAnsi="宋体"/>
                <w:b/>
                <w:bCs/>
                <w:szCs w:val="21"/>
                <w:highlight w:val="none"/>
                <w:u w:val="single"/>
              </w:rPr>
              <w:t xml:space="preserve">    </w:t>
            </w:r>
            <w:r>
              <w:rPr>
                <w:rFonts w:ascii="宋体" w:hAnsi="宋体"/>
                <w:b/>
                <w:bCs/>
                <w:szCs w:val="21"/>
                <w:highlight w:val="none"/>
                <w:u w:val="single"/>
              </w:rPr>
              <w:t>锅炉烟气污染物</w:t>
            </w:r>
            <w:r>
              <w:rPr>
                <w:rFonts w:hint="eastAsia" w:ascii="宋体" w:hAnsi="宋体"/>
                <w:b/>
                <w:bCs/>
                <w:szCs w:val="21"/>
                <w:highlight w:val="none"/>
                <w:u w:val="single"/>
              </w:rPr>
              <w:t>产排</w:t>
            </w:r>
            <w:r>
              <w:rPr>
                <w:rFonts w:ascii="宋体" w:hAnsi="宋体"/>
                <w:b/>
                <w:bCs/>
                <w:szCs w:val="21"/>
                <w:highlight w:val="none"/>
                <w:u w:val="single"/>
              </w:rPr>
              <w:t>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710"/>
              <w:gridCol w:w="1109"/>
              <w:gridCol w:w="1212"/>
              <w:gridCol w:w="636"/>
              <w:gridCol w:w="1109"/>
              <w:gridCol w:w="1174"/>
              <w:gridCol w:w="1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678" w:type="pct"/>
                  <w:tcBorders>
                    <w:top w:val="single" w:color="auto" w:sz="12" w:space="0"/>
                    <w:left w:val="nil"/>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ascii="宋体" w:hAnsi="宋体"/>
                      <w:sz w:val="21"/>
                      <w:szCs w:val="21"/>
                      <w:highlight w:val="none"/>
                      <w:u w:val="none"/>
                    </w:rPr>
                    <w:t>烟气量（Nm</w:t>
                  </w:r>
                  <w:r>
                    <w:rPr>
                      <w:rFonts w:ascii="宋体" w:hAnsi="宋体"/>
                      <w:sz w:val="21"/>
                      <w:szCs w:val="21"/>
                      <w:highlight w:val="none"/>
                      <w:u w:val="none"/>
                      <w:vertAlign w:val="superscript"/>
                    </w:rPr>
                    <w:t>3</w:t>
                  </w:r>
                  <w:r>
                    <w:rPr>
                      <w:rFonts w:ascii="宋体" w:hAnsi="宋体"/>
                      <w:sz w:val="21"/>
                      <w:szCs w:val="21"/>
                      <w:highlight w:val="none"/>
                      <w:u w:val="none"/>
                    </w:rPr>
                    <w:t>/a）</w:t>
                  </w:r>
                </w:p>
              </w:tc>
              <w:tc>
                <w:tcPr>
                  <w:tcW w:w="435" w:type="pct"/>
                  <w:tcBorders>
                    <w:top w:val="single" w:color="auto" w:sz="12"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ascii="宋体" w:hAnsi="宋体"/>
                      <w:sz w:val="21"/>
                      <w:szCs w:val="21"/>
                      <w:highlight w:val="none"/>
                      <w:u w:val="none"/>
                    </w:rPr>
                    <w:t>污染物</w:t>
                  </w:r>
                </w:p>
              </w:tc>
              <w:tc>
                <w:tcPr>
                  <w:tcW w:w="678" w:type="pct"/>
                  <w:tcBorders>
                    <w:top w:val="single" w:color="auto" w:sz="12" w:space="0"/>
                    <w:lef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产生</w:t>
                  </w:r>
                  <w:r>
                    <w:rPr>
                      <w:rFonts w:ascii="宋体" w:hAnsi="宋体"/>
                      <w:sz w:val="21"/>
                      <w:szCs w:val="21"/>
                      <w:highlight w:val="none"/>
                      <w:u w:val="none"/>
                    </w:rPr>
                    <w:t>浓度（mg/m</w:t>
                  </w:r>
                  <w:r>
                    <w:rPr>
                      <w:rFonts w:ascii="宋体" w:hAnsi="宋体"/>
                      <w:sz w:val="21"/>
                      <w:szCs w:val="21"/>
                      <w:highlight w:val="none"/>
                      <w:u w:val="none"/>
                      <w:vertAlign w:val="superscript"/>
                    </w:rPr>
                    <w:t>3</w:t>
                  </w:r>
                  <w:r>
                    <w:rPr>
                      <w:rFonts w:ascii="宋体" w:hAnsi="宋体"/>
                      <w:sz w:val="21"/>
                      <w:szCs w:val="21"/>
                      <w:highlight w:val="none"/>
                      <w:u w:val="none"/>
                    </w:rPr>
                    <w:t>）</w:t>
                  </w:r>
                </w:p>
              </w:tc>
              <w:tc>
                <w:tcPr>
                  <w:tcW w:w="741" w:type="pct"/>
                  <w:tcBorders>
                    <w:top w:val="single" w:color="auto" w:sz="12" w:space="0"/>
                    <w:left w:val="single" w:color="auto" w:sz="4" w:space="0"/>
                  </w:tcBorders>
                  <w:noWrap w:val="0"/>
                  <w:vAlign w:val="center"/>
                </w:tcPr>
                <w:p>
                  <w:pPr>
                    <w:jc w:val="center"/>
                    <w:rPr>
                      <w:rFonts w:ascii="宋体" w:hAnsi="宋体"/>
                      <w:sz w:val="21"/>
                      <w:szCs w:val="21"/>
                      <w:highlight w:val="none"/>
                      <w:u w:val="none"/>
                    </w:rPr>
                  </w:pPr>
                  <w:r>
                    <w:rPr>
                      <w:rFonts w:ascii="宋体" w:hAnsi="宋体"/>
                      <w:sz w:val="21"/>
                      <w:szCs w:val="21"/>
                      <w:highlight w:val="none"/>
                      <w:u w:val="none"/>
                    </w:rPr>
                    <w:t>产生量（t/a）</w:t>
                  </w:r>
                </w:p>
              </w:tc>
              <w:tc>
                <w:tcPr>
                  <w:tcW w:w="389" w:type="pct"/>
                  <w:tcBorders>
                    <w:top w:val="single" w:color="auto" w:sz="12" w:space="0"/>
                    <w:left w:val="single" w:color="auto" w:sz="4" w:space="0"/>
                    <w:right w:val="single" w:color="auto" w:sz="4"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去除效率%</w:t>
                  </w:r>
                </w:p>
              </w:tc>
              <w:tc>
                <w:tcPr>
                  <w:tcW w:w="678" w:type="pct"/>
                  <w:tcBorders>
                    <w:top w:val="single" w:color="auto" w:sz="12" w:space="0"/>
                    <w:left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排放</w:t>
                  </w:r>
                  <w:r>
                    <w:rPr>
                      <w:rFonts w:ascii="宋体" w:hAnsi="宋体"/>
                      <w:sz w:val="21"/>
                      <w:szCs w:val="21"/>
                      <w:highlight w:val="none"/>
                      <w:u w:val="none"/>
                    </w:rPr>
                    <w:t>浓度（mg/m</w:t>
                  </w:r>
                  <w:r>
                    <w:rPr>
                      <w:rFonts w:ascii="宋体" w:hAnsi="宋体"/>
                      <w:sz w:val="21"/>
                      <w:szCs w:val="21"/>
                      <w:highlight w:val="none"/>
                      <w:u w:val="none"/>
                      <w:vertAlign w:val="superscript"/>
                    </w:rPr>
                    <w:t>3</w:t>
                  </w:r>
                  <w:r>
                    <w:rPr>
                      <w:rFonts w:ascii="宋体" w:hAnsi="宋体"/>
                      <w:sz w:val="21"/>
                      <w:szCs w:val="21"/>
                      <w:highlight w:val="none"/>
                      <w:u w:val="none"/>
                    </w:rPr>
                    <w:t>）</w:t>
                  </w:r>
                </w:p>
              </w:tc>
              <w:tc>
                <w:tcPr>
                  <w:tcW w:w="718" w:type="pct"/>
                  <w:tcBorders>
                    <w:top w:val="single" w:color="auto" w:sz="12" w:space="0"/>
                    <w:lef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排放</w:t>
                  </w:r>
                  <w:r>
                    <w:rPr>
                      <w:rFonts w:ascii="宋体" w:hAnsi="宋体"/>
                      <w:sz w:val="21"/>
                      <w:szCs w:val="21"/>
                      <w:highlight w:val="none"/>
                      <w:u w:val="none"/>
                    </w:rPr>
                    <w:t>量（t/a）</w:t>
                  </w:r>
                </w:p>
              </w:tc>
              <w:tc>
                <w:tcPr>
                  <w:tcW w:w="678" w:type="pct"/>
                  <w:tcBorders>
                    <w:top w:val="single" w:color="auto" w:sz="12" w:space="0"/>
                    <w:left w:val="single" w:color="auto" w:sz="4"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执行标准</w:t>
                  </w:r>
                  <w:r>
                    <w:rPr>
                      <w:rFonts w:ascii="宋体" w:hAnsi="宋体"/>
                      <w:sz w:val="21"/>
                      <w:szCs w:val="21"/>
                      <w:highlight w:val="none"/>
                      <w:u w:val="none"/>
                    </w:rPr>
                    <w:t>（mg/m</w:t>
                  </w:r>
                  <w:r>
                    <w:rPr>
                      <w:rFonts w:ascii="宋体" w:hAnsi="宋体"/>
                      <w:sz w:val="21"/>
                      <w:szCs w:val="21"/>
                      <w:highlight w:val="none"/>
                      <w:u w:val="none"/>
                      <w:vertAlign w:val="superscript"/>
                    </w:rPr>
                    <w:t>3</w:t>
                  </w:r>
                  <w:r>
                    <w:rPr>
                      <w:rFonts w:ascii="宋体" w:hAnsi="宋体"/>
                      <w:sz w:val="21"/>
                      <w:szCs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678" w:type="pct"/>
                  <w:vMerge w:val="restart"/>
                  <w:tcBorders>
                    <w:top w:val="single" w:color="auto" w:sz="4" w:space="0"/>
                    <w:left w:val="nil"/>
                    <w:right w:val="single" w:color="auto" w:sz="4" w:space="0"/>
                  </w:tcBorders>
                  <w:noWrap w:val="0"/>
                  <w:vAlign w:val="center"/>
                </w:tcPr>
                <w:p>
                  <w:pPr>
                    <w:jc w:val="center"/>
                    <w:rPr>
                      <w:rFonts w:ascii="宋体" w:hAnsi="宋体"/>
                      <w:sz w:val="21"/>
                      <w:szCs w:val="21"/>
                      <w:highlight w:val="yellow"/>
                      <w:u w:val="none"/>
                    </w:rPr>
                  </w:pPr>
                  <w:r>
                    <w:rPr>
                      <w:rFonts w:hint="eastAsia" w:ascii="宋体" w:hAnsi="宋体"/>
                      <w:sz w:val="21"/>
                      <w:szCs w:val="21"/>
                      <w:highlight w:val="none"/>
                      <w:lang w:val="en-US" w:eastAsia="zh-CN"/>
                    </w:rPr>
                    <w:t>6.22</w:t>
                  </w:r>
                  <w:r>
                    <w:rPr>
                      <w:rFonts w:ascii="宋体" w:hAnsi="宋体" w:cs="Arial"/>
                      <w:sz w:val="21"/>
                      <w:szCs w:val="21"/>
                      <w:highlight w:val="none"/>
                    </w:rPr>
                    <w:t>×</w:t>
                  </w:r>
                  <w:r>
                    <w:rPr>
                      <w:rFonts w:hint="eastAsia" w:ascii="宋体" w:hAnsi="宋体"/>
                      <w:sz w:val="21"/>
                      <w:szCs w:val="21"/>
                      <w:highlight w:val="none"/>
                    </w:rPr>
                    <w:t>10</w:t>
                  </w:r>
                  <w:r>
                    <w:rPr>
                      <w:rFonts w:hint="eastAsia" w:ascii="宋体" w:hAnsi="宋体"/>
                      <w:sz w:val="21"/>
                      <w:szCs w:val="21"/>
                      <w:highlight w:val="none"/>
                      <w:vertAlign w:val="superscript"/>
                      <w:lang w:val="en-US" w:eastAsia="zh-CN"/>
                    </w:rPr>
                    <w:t>6</w:t>
                  </w: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ascii="宋体" w:hAnsi="宋体"/>
                      <w:sz w:val="21"/>
                      <w:szCs w:val="21"/>
                      <w:highlight w:val="none"/>
                      <w:u w:val="none"/>
                    </w:rPr>
                    <w:t>烟尘</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lang w:val="en-US" w:eastAsia="zh-CN"/>
                    </w:rPr>
                    <w:t>9512.39</w:t>
                  </w:r>
                </w:p>
              </w:tc>
              <w:tc>
                <w:tcPr>
                  <w:tcW w:w="741" w:type="pct"/>
                  <w:tcBorders>
                    <w:top w:val="single" w:color="auto" w:sz="4" w:space="0"/>
                    <w:left w:val="single" w:color="auto" w:sz="4" w:space="0"/>
                    <w:bottom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lang w:val="en-US" w:eastAsia="zh-CN"/>
                    </w:rPr>
                    <w:t>59.17</w:t>
                  </w:r>
                </w:p>
              </w:tc>
              <w:tc>
                <w:tcPr>
                  <w:tcW w:w="38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99.9</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9.51</w:t>
                  </w:r>
                </w:p>
              </w:tc>
              <w:tc>
                <w:tcPr>
                  <w:tcW w:w="718"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yellow"/>
                      <w:u w:val="none"/>
                    </w:rPr>
                  </w:pPr>
                  <w:r>
                    <w:rPr>
                      <w:rFonts w:hint="eastAsia" w:ascii="宋体" w:hAnsi="宋体"/>
                      <w:sz w:val="21"/>
                      <w:szCs w:val="21"/>
                      <w:highlight w:val="none"/>
                    </w:rPr>
                    <w:t>0.0</w:t>
                  </w:r>
                  <w:r>
                    <w:rPr>
                      <w:rFonts w:hint="eastAsia" w:ascii="宋体" w:hAnsi="宋体"/>
                      <w:sz w:val="21"/>
                      <w:szCs w:val="21"/>
                      <w:highlight w:val="none"/>
                      <w:lang w:val="en-US" w:eastAsia="zh-CN"/>
                    </w:rPr>
                    <w:t>6</w:t>
                  </w:r>
                </w:p>
              </w:tc>
              <w:tc>
                <w:tcPr>
                  <w:tcW w:w="678" w:type="pct"/>
                  <w:tcBorders>
                    <w:top w:val="single" w:color="auto" w:sz="4" w:space="0"/>
                    <w:left w:val="single" w:color="auto" w:sz="4" w:space="0"/>
                    <w:bottom w:val="single" w:color="auto" w:sz="4"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678" w:type="pct"/>
                  <w:vMerge w:val="continue"/>
                  <w:tcBorders>
                    <w:left w:val="nil"/>
                    <w:right w:val="single" w:color="auto" w:sz="4" w:space="0"/>
                  </w:tcBorders>
                  <w:noWrap w:val="0"/>
                  <w:vAlign w:val="center"/>
                </w:tcPr>
                <w:p>
                  <w:pPr>
                    <w:widowControl/>
                    <w:jc w:val="center"/>
                    <w:rPr>
                      <w:rFonts w:ascii="宋体" w:hAnsi="宋体"/>
                      <w:sz w:val="21"/>
                      <w:szCs w:val="21"/>
                      <w:highlight w:val="yellow"/>
                      <w:u w:val="none"/>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ascii="宋体" w:hAnsi="宋体"/>
                      <w:sz w:val="21"/>
                      <w:szCs w:val="21"/>
                      <w:highlight w:val="none"/>
                      <w:u w:val="none"/>
                    </w:rPr>
                    <w:t>SO</w:t>
                  </w:r>
                  <w:r>
                    <w:rPr>
                      <w:rFonts w:ascii="宋体" w:hAnsi="宋体"/>
                      <w:sz w:val="21"/>
                      <w:szCs w:val="21"/>
                      <w:highlight w:val="none"/>
                      <w:u w:val="none"/>
                      <w:vertAlign w:val="subscript"/>
                    </w:rPr>
                    <w:t>2</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rPr>
                    <w:t>39.</w:t>
                  </w:r>
                  <w:r>
                    <w:rPr>
                      <w:rFonts w:hint="eastAsia" w:ascii="宋体" w:hAnsi="宋体"/>
                      <w:sz w:val="21"/>
                      <w:szCs w:val="21"/>
                      <w:highlight w:val="none"/>
                      <w:u w:val="none"/>
                      <w:lang w:val="en-US" w:eastAsia="zh-CN"/>
                    </w:rPr>
                    <w:t>47</w:t>
                  </w:r>
                </w:p>
              </w:tc>
              <w:tc>
                <w:tcPr>
                  <w:tcW w:w="741"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rPr>
                    <w:t>0.</w:t>
                  </w:r>
                  <w:r>
                    <w:rPr>
                      <w:rFonts w:hint="eastAsia" w:ascii="宋体" w:hAnsi="宋体"/>
                      <w:sz w:val="21"/>
                      <w:szCs w:val="21"/>
                      <w:highlight w:val="none"/>
                      <w:lang w:val="en-US" w:eastAsia="zh-CN"/>
                    </w:rPr>
                    <w:t>25</w:t>
                  </w:r>
                </w:p>
              </w:tc>
              <w:tc>
                <w:tcPr>
                  <w:tcW w:w="389"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1"/>
                      <w:szCs w:val="21"/>
                      <w:highlight w:val="none"/>
                      <w:u w:val="none"/>
                      <w:lang w:eastAsia="zh-CN"/>
                    </w:rPr>
                  </w:pPr>
                  <w:r>
                    <w:rPr>
                      <w:rFonts w:hint="eastAsia" w:ascii="宋体" w:hAnsi="宋体"/>
                      <w:sz w:val="21"/>
                      <w:szCs w:val="21"/>
                      <w:highlight w:val="none"/>
                      <w:u w:val="none"/>
                    </w:rPr>
                    <w:t>39.4</w:t>
                  </w:r>
                  <w:r>
                    <w:rPr>
                      <w:rFonts w:hint="eastAsia" w:ascii="宋体" w:hAnsi="宋体"/>
                      <w:sz w:val="21"/>
                      <w:szCs w:val="21"/>
                      <w:highlight w:val="none"/>
                      <w:u w:val="none"/>
                      <w:lang w:val="en-US" w:eastAsia="zh-CN"/>
                    </w:rPr>
                    <w:t>7</w:t>
                  </w:r>
                </w:p>
              </w:tc>
              <w:tc>
                <w:tcPr>
                  <w:tcW w:w="718"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rPr>
                    <w:t>0.</w:t>
                  </w:r>
                  <w:r>
                    <w:rPr>
                      <w:rFonts w:hint="eastAsia" w:ascii="宋体" w:hAnsi="宋体"/>
                      <w:sz w:val="21"/>
                      <w:szCs w:val="21"/>
                      <w:highlight w:val="none"/>
                      <w:lang w:val="en-US" w:eastAsia="zh-CN"/>
                    </w:rPr>
                    <w:t>25</w:t>
                  </w:r>
                </w:p>
              </w:tc>
              <w:tc>
                <w:tcPr>
                  <w:tcW w:w="678"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78" w:type="pct"/>
                  <w:vMerge w:val="continue"/>
                  <w:tcBorders>
                    <w:left w:val="nil"/>
                    <w:right w:val="single" w:color="auto" w:sz="4" w:space="0"/>
                  </w:tcBorders>
                  <w:noWrap w:val="0"/>
                  <w:vAlign w:val="center"/>
                </w:tcPr>
                <w:p>
                  <w:pPr>
                    <w:widowControl/>
                    <w:jc w:val="center"/>
                    <w:rPr>
                      <w:rFonts w:ascii="宋体" w:hAnsi="宋体"/>
                      <w:sz w:val="21"/>
                      <w:szCs w:val="21"/>
                      <w:highlight w:val="yellow"/>
                      <w:u w:val="none"/>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yellow"/>
                      <w:u w:val="none"/>
                    </w:rPr>
                  </w:pPr>
                  <w:r>
                    <w:rPr>
                      <w:rFonts w:ascii="宋体" w:hAnsi="宋体"/>
                      <w:sz w:val="21"/>
                      <w:szCs w:val="21"/>
                      <w:highlight w:val="none"/>
                      <w:u w:val="none"/>
                    </w:rPr>
                    <w:t>NO</w:t>
                  </w:r>
                  <w:r>
                    <w:rPr>
                      <w:rFonts w:ascii="宋体" w:hAnsi="宋体"/>
                      <w:sz w:val="21"/>
                      <w:szCs w:val="21"/>
                      <w:highlight w:val="none"/>
                      <w:u w:val="none"/>
                      <w:vertAlign w:val="subscript"/>
                    </w:rPr>
                    <w:t>x</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200</w:t>
                  </w:r>
                </w:p>
              </w:tc>
              <w:tc>
                <w:tcPr>
                  <w:tcW w:w="741" w:type="pct"/>
                  <w:tcBorders>
                    <w:top w:val="single" w:color="auto" w:sz="4" w:space="0"/>
                    <w:left w:val="single" w:color="auto" w:sz="4" w:space="0"/>
                    <w:bottom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lang w:val="en-US" w:eastAsia="zh-CN"/>
                    </w:rPr>
                    <w:t>1.24</w:t>
                  </w:r>
                </w:p>
              </w:tc>
              <w:tc>
                <w:tcPr>
                  <w:tcW w:w="389"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30</w:t>
                  </w:r>
                </w:p>
              </w:tc>
              <w:tc>
                <w:tcPr>
                  <w:tcW w:w="67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140</w:t>
                  </w:r>
                </w:p>
              </w:tc>
              <w:tc>
                <w:tcPr>
                  <w:tcW w:w="718"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yellow"/>
                      <w:u w:val="none"/>
                    </w:rPr>
                  </w:pPr>
                  <w:r>
                    <w:rPr>
                      <w:rFonts w:hint="eastAsia" w:ascii="宋体" w:hAnsi="宋体"/>
                      <w:sz w:val="21"/>
                      <w:szCs w:val="21"/>
                      <w:highlight w:val="none"/>
                      <w:lang w:val="en-US" w:eastAsia="zh-CN"/>
                    </w:rPr>
                    <w:t>0.87</w:t>
                  </w:r>
                </w:p>
              </w:tc>
              <w:tc>
                <w:tcPr>
                  <w:tcW w:w="678" w:type="pct"/>
                  <w:tcBorders>
                    <w:top w:val="single" w:color="auto" w:sz="4" w:space="0"/>
                    <w:left w:val="single" w:color="auto" w:sz="4" w:space="0"/>
                    <w:bottom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78" w:type="pct"/>
                  <w:vMerge w:val="continue"/>
                  <w:tcBorders>
                    <w:left w:val="nil"/>
                    <w:bottom w:val="single" w:color="auto" w:sz="12" w:space="0"/>
                    <w:right w:val="single" w:color="auto" w:sz="4" w:space="0"/>
                  </w:tcBorders>
                  <w:noWrap w:val="0"/>
                  <w:vAlign w:val="center"/>
                </w:tcPr>
                <w:p>
                  <w:pPr>
                    <w:widowControl/>
                    <w:jc w:val="center"/>
                    <w:rPr>
                      <w:rFonts w:ascii="宋体" w:hAnsi="宋体"/>
                      <w:sz w:val="21"/>
                      <w:szCs w:val="21"/>
                      <w:highlight w:val="yellow"/>
                      <w:u w:val="none"/>
                    </w:rPr>
                  </w:pPr>
                </w:p>
              </w:tc>
              <w:tc>
                <w:tcPr>
                  <w:tcW w:w="435" w:type="pct"/>
                  <w:tcBorders>
                    <w:top w:val="single" w:color="auto" w:sz="4" w:space="0"/>
                    <w:left w:val="single" w:color="auto" w:sz="4" w:space="0"/>
                    <w:bottom w:val="single" w:color="auto" w:sz="12" w:space="0"/>
                    <w:right w:val="single" w:color="auto" w:sz="4"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u w:val="none"/>
                    </w:rPr>
                    <w:t>汞及其化合物</w:t>
                  </w:r>
                </w:p>
              </w:tc>
              <w:tc>
                <w:tcPr>
                  <w:tcW w:w="678"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rPr>
                    <w:t>0.00</w:t>
                  </w:r>
                  <w:r>
                    <w:rPr>
                      <w:rFonts w:hint="eastAsia" w:ascii="宋体" w:hAnsi="宋体"/>
                      <w:sz w:val="21"/>
                      <w:szCs w:val="21"/>
                      <w:highlight w:val="none"/>
                      <w:u w:val="none"/>
                      <w:lang w:val="en-US" w:eastAsia="zh-CN"/>
                    </w:rPr>
                    <w:t>623</w:t>
                  </w:r>
                </w:p>
              </w:tc>
              <w:tc>
                <w:tcPr>
                  <w:tcW w:w="741" w:type="pct"/>
                  <w:tcBorders>
                    <w:top w:val="single" w:color="auto" w:sz="4" w:space="0"/>
                    <w:left w:val="single" w:color="auto" w:sz="4" w:space="0"/>
                    <w:bottom w:val="single" w:color="auto" w:sz="12" w:space="0"/>
                  </w:tcBorders>
                  <w:noWrap w:val="0"/>
                  <w:vAlign w:val="center"/>
                </w:tcPr>
                <w:p>
                  <w:pPr>
                    <w:jc w:val="center"/>
                    <w:rPr>
                      <w:rFonts w:ascii="宋体" w:hAnsi="宋体"/>
                      <w:sz w:val="21"/>
                      <w:szCs w:val="21"/>
                      <w:highlight w:val="none"/>
                      <w:u w:val="none"/>
                    </w:rPr>
                  </w:pPr>
                  <w:r>
                    <w:rPr>
                      <w:rFonts w:hint="eastAsia" w:ascii="宋体" w:hAnsi="宋体"/>
                      <w:sz w:val="21"/>
                      <w:szCs w:val="21"/>
                      <w:highlight w:val="none"/>
                      <w:lang w:val="en-US" w:eastAsia="zh-CN"/>
                    </w:rPr>
                    <w:t>3.9</w:t>
                  </w:r>
                  <w:r>
                    <w:rPr>
                      <w:rFonts w:ascii="宋体" w:hAnsi="宋体" w:cs="Arial"/>
                      <w:sz w:val="21"/>
                      <w:szCs w:val="21"/>
                      <w:highlight w:val="none"/>
                    </w:rPr>
                    <w:t>×</w:t>
                  </w:r>
                  <w:r>
                    <w:rPr>
                      <w:rFonts w:hint="eastAsia" w:ascii="宋体" w:hAnsi="宋体"/>
                      <w:sz w:val="21"/>
                      <w:szCs w:val="21"/>
                      <w:highlight w:val="none"/>
                    </w:rPr>
                    <w:t>10</w:t>
                  </w:r>
                  <w:r>
                    <w:rPr>
                      <w:rFonts w:hint="eastAsia" w:ascii="宋体" w:hAnsi="宋体"/>
                      <w:sz w:val="21"/>
                      <w:szCs w:val="21"/>
                      <w:highlight w:val="none"/>
                      <w:vertAlign w:val="superscript"/>
                    </w:rPr>
                    <w:t>-</w:t>
                  </w:r>
                  <w:r>
                    <w:rPr>
                      <w:rFonts w:hint="eastAsia" w:ascii="宋体" w:hAnsi="宋体"/>
                      <w:sz w:val="21"/>
                      <w:szCs w:val="21"/>
                      <w:highlight w:val="none"/>
                      <w:vertAlign w:val="superscript"/>
                      <w:lang w:val="en-US" w:eastAsia="zh-CN"/>
                    </w:rPr>
                    <w:t>5</w:t>
                  </w:r>
                </w:p>
              </w:tc>
              <w:tc>
                <w:tcPr>
                  <w:tcW w:w="389" w:type="pct"/>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w:t>
                  </w:r>
                </w:p>
              </w:tc>
              <w:tc>
                <w:tcPr>
                  <w:tcW w:w="678"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宋体" w:hAnsi="宋体" w:eastAsia="宋体"/>
                      <w:sz w:val="21"/>
                      <w:szCs w:val="21"/>
                      <w:highlight w:val="none"/>
                      <w:u w:val="none"/>
                      <w:lang w:val="en-US" w:eastAsia="zh-CN"/>
                    </w:rPr>
                  </w:pPr>
                  <w:r>
                    <w:rPr>
                      <w:rFonts w:hint="eastAsia" w:ascii="宋体" w:hAnsi="宋体"/>
                      <w:sz w:val="21"/>
                      <w:szCs w:val="21"/>
                      <w:highlight w:val="none"/>
                      <w:u w:val="none"/>
                    </w:rPr>
                    <w:t>0.00</w:t>
                  </w:r>
                  <w:r>
                    <w:rPr>
                      <w:rFonts w:hint="eastAsia" w:ascii="宋体" w:hAnsi="宋体"/>
                      <w:sz w:val="21"/>
                      <w:szCs w:val="21"/>
                      <w:highlight w:val="none"/>
                      <w:u w:val="none"/>
                      <w:lang w:val="en-US" w:eastAsia="zh-CN"/>
                    </w:rPr>
                    <w:t>623</w:t>
                  </w:r>
                </w:p>
              </w:tc>
              <w:tc>
                <w:tcPr>
                  <w:tcW w:w="718" w:type="pct"/>
                  <w:tcBorders>
                    <w:top w:val="single" w:color="auto" w:sz="4" w:space="0"/>
                    <w:left w:val="single" w:color="auto" w:sz="4" w:space="0"/>
                    <w:bottom w:val="single" w:color="auto" w:sz="12" w:space="0"/>
                  </w:tcBorders>
                  <w:noWrap w:val="0"/>
                  <w:vAlign w:val="center"/>
                </w:tcPr>
                <w:p>
                  <w:pPr>
                    <w:jc w:val="center"/>
                    <w:rPr>
                      <w:rFonts w:ascii="宋体" w:hAnsi="宋体"/>
                      <w:sz w:val="21"/>
                      <w:szCs w:val="21"/>
                      <w:highlight w:val="yellow"/>
                      <w:u w:val="none"/>
                    </w:rPr>
                  </w:pPr>
                  <w:r>
                    <w:rPr>
                      <w:rFonts w:hint="eastAsia" w:ascii="宋体" w:hAnsi="宋体"/>
                      <w:sz w:val="21"/>
                      <w:szCs w:val="21"/>
                      <w:highlight w:val="none"/>
                      <w:lang w:val="en-US" w:eastAsia="zh-CN"/>
                    </w:rPr>
                    <w:t>3.9</w:t>
                  </w:r>
                  <w:r>
                    <w:rPr>
                      <w:rFonts w:ascii="宋体" w:hAnsi="宋体" w:cs="Arial"/>
                      <w:sz w:val="21"/>
                      <w:szCs w:val="21"/>
                      <w:highlight w:val="none"/>
                    </w:rPr>
                    <w:t>×</w:t>
                  </w:r>
                  <w:r>
                    <w:rPr>
                      <w:rFonts w:hint="eastAsia" w:ascii="宋体" w:hAnsi="宋体"/>
                      <w:sz w:val="21"/>
                      <w:szCs w:val="21"/>
                      <w:highlight w:val="none"/>
                    </w:rPr>
                    <w:t>10</w:t>
                  </w:r>
                  <w:r>
                    <w:rPr>
                      <w:rFonts w:hint="eastAsia" w:ascii="宋体" w:hAnsi="宋体"/>
                      <w:sz w:val="21"/>
                      <w:szCs w:val="21"/>
                      <w:highlight w:val="none"/>
                      <w:vertAlign w:val="superscript"/>
                    </w:rPr>
                    <w:t>-</w:t>
                  </w:r>
                  <w:r>
                    <w:rPr>
                      <w:rFonts w:hint="eastAsia" w:ascii="宋体" w:hAnsi="宋体"/>
                      <w:sz w:val="21"/>
                      <w:szCs w:val="21"/>
                      <w:highlight w:val="none"/>
                      <w:vertAlign w:val="superscript"/>
                      <w:lang w:val="en-US" w:eastAsia="zh-CN"/>
                    </w:rPr>
                    <w:t>5</w:t>
                  </w:r>
                </w:p>
              </w:tc>
              <w:tc>
                <w:tcPr>
                  <w:tcW w:w="678" w:type="pct"/>
                  <w:tcBorders>
                    <w:top w:val="single" w:color="auto" w:sz="4" w:space="0"/>
                    <w:left w:val="single" w:color="auto" w:sz="4" w:space="0"/>
                    <w:bottom w:val="single" w:color="auto" w:sz="12" w:space="0"/>
                  </w:tcBorders>
                  <w:noWrap w:val="0"/>
                  <w:vAlign w:val="center"/>
                </w:tcPr>
                <w:p>
                  <w:pPr>
                    <w:jc w:val="center"/>
                    <w:rPr>
                      <w:rFonts w:hint="eastAsia" w:ascii="宋体" w:hAnsi="宋体"/>
                      <w:sz w:val="21"/>
                      <w:szCs w:val="21"/>
                      <w:highlight w:val="none"/>
                      <w:u w:val="none"/>
                    </w:rPr>
                  </w:pPr>
                  <w:r>
                    <w:rPr>
                      <w:rFonts w:hint="eastAsia" w:ascii="宋体" w:hAnsi="宋体"/>
                      <w:sz w:val="21"/>
                      <w:szCs w:val="21"/>
                      <w:highlight w:val="none"/>
                      <w:u w:val="none"/>
                    </w:rPr>
                    <w:t>0.05</w:t>
                  </w:r>
                </w:p>
              </w:tc>
            </w:tr>
          </w:tbl>
          <w:p>
            <w:pPr>
              <w:pStyle w:val="80"/>
              <w:ind w:firstLine="0" w:firstLineChars="0"/>
              <w:rPr>
                <w:rFonts w:ascii="宋体" w:hAnsi="宋体" w:eastAsia="宋体"/>
                <w:highlight w:val="yellow"/>
              </w:rPr>
            </w:pPr>
          </w:p>
          <w:p>
            <w:pPr>
              <w:jc w:val="center"/>
              <w:rPr>
                <w:rFonts w:ascii="宋体" w:hAnsi="宋体"/>
                <w:b/>
                <w:bCs/>
                <w:szCs w:val="21"/>
                <w:highlight w:val="none"/>
                <w:u w:val="single"/>
              </w:rPr>
            </w:pPr>
            <w:r>
              <w:rPr>
                <w:rFonts w:ascii="宋体" w:hAnsi="宋体"/>
                <w:b/>
                <w:bCs/>
                <w:szCs w:val="21"/>
                <w:highlight w:val="none"/>
                <w:u w:val="single"/>
              </w:rPr>
              <w:t>表</w:t>
            </w:r>
            <w:r>
              <w:rPr>
                <w:rFonts w:hint="eastAsia" w:ascii="宋体" w:hAnsi="宋体"/>
                <w:b/>
                <w:bCs/>
                <w:szCs w:val="21"/>
                <w:highlight w:val="none"/>
                <w:u w:val="single"/>
              </w:rPr>
              <w:t>4-</w:t>
            </w:r>
            <w:r>
              <w:rPr>
                <w:rFonts w:hint="eastAsia" w:ascii="宋体" w:hAnsi="宋体"/>
                <w:b/>
                <w:bCs/>
                <w:szCs w:val="21"/>
                <w:highlight w:val="none"/>
                <w:u w:val="single"/>
                <w:lang w:val="en-US" w:eastAsia="zh-CN"/>
              </w:rPr>
              <w:t>7</w:t>
            </w:r>
            <w:r>
              <w:rPr>
                <w:rFonts w:hint="eastAsia" w:ascii="宋体" w:hAnsi="宋体"/>
                <w:b/>
                <w:bCs/>
                <w:szCs w:val="21"/>
                <w:highlight w:val="none"/>
                <w:u w:val="single"/>
              </w:rPr>
              <w:t xml:space="preserve">    本项目排污口基本设置情况表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092"/>
              <w:gridCol w:w="1034"/>
              <w:gridCol w:w="728"/>
              <w:gridCol w:w="874"/>
              <w:gridCol w:w="888"/>
              <w:gridCol w:w="830"/>
              <w:gridCol w:w="830"/>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restart"/>
                  <w:noWrap w:val="0"/>
                  <w:vAlign w:val="center"/>
                </w:tcPr>
                <w:p>
                  <w:pPr>
                    <w:jc w:val="center"/>
                    <w:rPr>
                      <w:rFonts w:hint="eastAsia" w:ascii="宋体" w:hAnsi="宋体"/>
                      <w:sz w:val="18"/>
                      <w:szCs w:val="18"/>
                      <w:highlight w:val="none"/>
                    </w:rPr>
                  </w:pPr>
                  <w:r>
                    <w:rPr>
                      <w:rFonts w:hint="eastAsia" w:ascii="宋体" w:hAnsi="宋体"/>
                      <w:sz w:val="18"/>
                      <w:szCs w:val="18"/>
                      <w:highlight w:val="none"/>
                    </w:rPr>
                    <w:t>排污口编号</w:t>
                  </w:r>
                </w:p>
              </w:tc>
              <w:tc>
                <w:tcPr>
                  <w:tcW w:w="2126" w:type="dxa"/>
                  <w:gridSpan w:val="2"/>
                  <w:noWrap w:val="0"/>
                  <w:vAlign w:val="center"/>
                </w:tcPr>
                <w:p>
                  <w:pPr>
                    <w:jc w:val="center"/>
                    <w:rPr>
                      <w:rFonts w:hint="eastAsia" w:ascii="宋体" w:hAnsi="宋体"/>
                      <w:sz w:val="18"/>
                      <w:szCs w:val="18"/>
                      <w:highlight w:val="none"/>
                    </w:rPr>
                  </w:pPr>
                  <w:r>
                    <w:rPr>
                      <w:rFonts w:hint="eastAsia" w:ascii="宋体" w:hAnsi="宋体"/>
                      <w:sz w:val="18"/>
                      <w:szCs w:val="18"/>
                      <w:highlight w:val="none"/>
                    </w:rPr>
                    <w:t>地理坐标</w:t>
                  </w:r>
                </w:p>
              </w:tc>
              <w:tc>
                <w:tcPr>
                  <w:tcW w:w="728"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烟囱高度（m）</w:t>
                  </w:r>
                </w:p>
              </w:tc>
              <w:tc>
                <w:tcPr>
                  <w:tcW w:w="874"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烟囱内径（m）</w:t>
                  </w:r>
                </w:p>
              </w:tc>
              <w:tc>
                <w:tcPr>
                  <w:tcW w:w="888"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烟气温度（℃）</w:t>
                  </w:r>
                </w:p>
              </w:tc>
              <w:tc>
                <w:tcPr>
                  <w:tcW w:w="830"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排污口类型</w:t>
                  </w:r>
                </w:p>
              </w:tc>
              <w:tc>
                <w:tcPr>
                  <w:tcW w:w="830" w:type="dxa"/>
                  <w:vMerge w:val="restart"/>
                  <w:noWrap w:val="0"/>
                  <w:vAlign w:val="center"/>
                </w:tcPr>
                <w:p>
                  <w:pPr>
                    <w:jc w:val="center"/>
                    <w:rPr>
                      <w:rFonts w:hint="eastAsia" w:ascii="宋体" w:hAnsi="宋体"/>
                      <w:sz w:val="18"/>
                      <w:szCs w:val="18"/>
                      <w:highlight w:val="none"/>
                    </w:rPr>
                  </w:pPr>
                  <w:r>
                    <w:rPr>
                      <w:rFonts w:hint="eastAsia" w:ascii="宋体" w:hAnsi="宋体"/>
                      <w:sz w:val="18"/>
                      <w:szCs w:val="18"/>
                      <w:highlight w:val="none"/>
                    </w:rPr>
                    <w:t>污染物种类</w:t>
                  </w:r>
                </w:p>
              </w:tc>
              <w:tc>
                <w:tcPr>
                  <w:tcW w:w="1111" w:type="dxa"/>
                  <w:vMerge w:val="restart"/>
                  <w:noWrap w:val="0"/>
                  <w:vAlign w:val="center"/>
                </w:tcPr>
                <w:p>
                  <w:pPr>
                    <w:jc w:val="center"/>
                    <w:rPr>
                      <w:rFonts w:hint="eastAsia" w:ascii="宋体" w:hAnsi="宋体"/>
                      <w:sz w:val="18"/>
                      <w:szCs w:val="18"/>
                      <w:highlight w:val="none"/>
                    </w:rPr>
                  </w:pPr>
                  <w:r>
                    <w:rPr>
                      <w:rFonts w:hint="eastAsia" w:ascii="宋体" w:hAnsi="宋体"/>
                      <w:sz w:val="18"/>
                      <w:szCs w:val="18"/>
                      <w:highlight w:val="none"/>
                    </w:rPr>
                    <w:t>排放标准</w:t>
                  </w:r>
                  <w:r>
                    <w:rPr>
                      <w:rFonts w:ascii="宋体" w:hAnsi="宋体"/>
                      <w:sz w:val="18"/>
                      <w:szCs w:val="18"/>
                      <w:highlight w:val="none"/>
                    </w:rPr>
                    <w:t>（mg/m</w:t>
                  </w:r>
                  <w:r>
                    <w:rPr>
                      <w:rFonts w:ascii="宋体" w:hAnsi="宋体"/>
                      <w:sz w:val="18"/>
                      <w:szCs w:val="18"/>
                      <w:highlight w:val="none"/>
                      <w:vertAlign w:val="superscript"/>
                    </w:rPr>
                    <w:t>3</w:t>
                  </w:r>
                  <w:r>
                    <w:rPr>
                      <w:rFonts w:ascii="宋体" w:hAnsi="宋体"/>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continue"/>
                  <w:noWrap w:val="0"/>
                  <w:vAlign w:val="center"/>
                </w:tcPr>
                <w:p>
                  <w:pPr>
                    <w:jc w:val="center"/>
                    <w:rPr>
                      <w:rFonts w:hint="eastAsia" w:ascii="宋体" w:hAnsi="宋体"/>
                      <w:sz w:val="18"/>
                      <w:szCs w:val="18"/>
                      <w:highlight w:val="none"/>
                    </w:rPr>
                  </w:pPr>
                </w:p>
              </w:tc>
              <w:tc>
                <w:tcPr>
                  <w:tcW w:w="1092"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X</w:t>
                  </w:r>
                </w:p>
              </w:tc>
              <w:tc>
                <w:tcPr>
                  <w:tcW w:w="1034"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Y</w:t>
                  </w:r>
                </w:p>
              </w:tc>
              <w:tc>
                <w:tcPr>
                  <w:tcW w:w="728" w:type="dxa"/>
                  <w:vMerge w:val="continue"/>
                  <w:noWrap w:val="0"/>
                  <w:vAlign w:val="center"/>
                </w:tcPr>
                <w:p>
                  <w:pPr>
                    <w:jc w:val="center"/>
                    <w:rPr>
                      <w:rFonts w:hint="eastAsia" w:ascii="宋体" w:hAnsi="宋体"/>
                      <w:color w:val="auto"/>
                      <w:sz w:val="18"/>
                      <w:szCs w:val="18"/>
                      <w:highlight w:val="none"/>
                    </w:rPr>
                  </w:pPr>
                </w:p>
              </w:tc>
              <w:tc>
                <w:tcPr>
                  <w:tcW w:w="874" w:type="dxa"/>
                  <w:vMerge w:val="continue"/>
                  <w:noWrap w:val="0"/>
                  <w:vAlign w:val="center"/>
                </w:tcPr>
                <w:p>
                  <w:pPr>
                    <w:jc w:val="center"/>
                    <w:rPr>
                      <w:rFonts w:hint="eastAsia" w:ascii="宋体" w:hAnsi="宋体"/>
                      <w:color w:val="auto"/>
                      <w:sz w:val="18"/>
                      <w:szCs w:val="18"/>
                      <w:highlight w:val="none"/>
                    </w:rPr>
                  </w:pPr>
                </w:p>
              </w:tc>
              <w:tc>
                <w:tcPr>
                  <w:tcW w:w="888" w:type="dxa"/>
                  <w:vMerge w:val="continue"/>
                  <w:noWrap w:val="0"/>
                  <w:vAlign w:val="center"/>
                </w:tcPr>
                <w:p>
                  <w:pPr>
                    <w:jc w:val="center"/>
                    <w:rPr>
                      <w:rFonts w:hint="eastAsia" w:ascii="宋体" w:hAnsi="宋体"/>
                      <w:color w:val="auto"/>
                      <w:sz w:val="18"/>
                      <w:szCs w:val="18"/>
                      <w:highlight w:val="none"/>
                    </w:rPr>
                  </w:pPr>
                </w:p>
              </w:tc>
              <w:tc>
                <w:tcPr>
                  <w:tcW w:w="830" w:type="dxa"/>
                  <w:vMerge w:val="continue"/>
                  <w:noWrap w:val="0"/>
                  <w:vAlign w:val="center"/>
                </w:tcPr>
                <w:p>
                  <w:pPr>
                    <w:jc w:val="center"/>
                    <w:rPr>
                      <w:rFonts w:hint="eastAsia" w:ascii="宋体" w:hAnsi="宋体"/>
                      <w:color w:val="auto"/>
                      <w:sz w:val="18"/>
                      <w:szCs w:val="18"/>
                      <w:highlight w:val="none"/>
                    </w:rPr>
                  </w:pPr>
                </w:p>
              </w:tc>
              <w:tc>
                <w:tcPr>
                  <w:tcW w:w="830" w:type="dxa"/>
                  <w:vMerge w:val="continue"/>
                  <w:noWrap w:val="0"/>
                  <w:vAlign w:val="center"/>
                </w:tcPr>
                <w:p>
                  <w:pPr>
                    <w:jc w:val="center"/>
                    <w:rPr>
                      <w:rFonts w:hint="eastAsia" w:ascii="宋体" w:hAnsi="宋体"/>
                      <w:sz w:val="18"/>
                      <w:szCs w:val="18"/>
                      <w:highlight w:val="none"/>
                    </w:rPr>
                  </w:pPr>
                </w:p>
              </w:tc>
              <w:tc>
                <w:tcPr>
                  <w:tcW w:w="1111" w:type="dxa"/>
                  <w:vMerge w:val="continue"/>
                  <w:noWrap w:val="0"/>
                  <w:vAlign w:val="center"/>
                </w:tcPr>
                <w:p>
                  <w:pPr>
                    <w:jc w:val="center"/>
                    <w:rPr>
                      <w:rFonts w:hint="eastAsia" w:ascii="宋体" w:hAnsi="宋体"/>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restart"/>
                  <w:noWrap w:val="0"/>
                  <w:vAlign w:val="center"/>
                </w:tcPr>
                <w:p>
                  <w:pPr>
                    <w:jc w:val="center"/>
                    <w:rPr>
                      <w:rFonts w:hint="eastAsia" w:ascii="宋体" w:hAnsi="宋体"/>
                      <w:sz w:val="18"/>
                      <w:szCs w:val="18"/>
                      <w:highlight w:val="none"/>
                    </w:rPr>
                  </w:pPr>
                  <w:r>
                    <w:rPr>
                      <w:rFonts w:hint="eastAsia" w:ascii="宋体" w:hAnsi="宋体"/>
                      <w:sz w:val="18"/>
                      <w:szCs w:val="18"/>
                      <w:highlight w:val="none"/>
                    </w:rPr>
                    <w:t>DA001</w:t>
                  </w:r>
                </w:p>
              </w:tc>
              <w:tc>
                <w:tcPr>
                  <w:tcW w:w="1092" w:type="dxa"/>
                  <w:vMerge w:val="restart"/>
                  <w:noWrap w:val="0"/>
                  <w:vAlign w:val="center"/>
                </w:tcPr>
                <w:p>
                  <w:pPr>
                    <w:jc w:val="center"/>
                    <w:rPr>
                      <w:rFonts w:hint="eastAsia" w:ascii="宋体" w:hAnsi="宋体" w:eastAsia="宋体" w:cs="Times New Roman"/>
                      <w:sz w:val="18"/>
                      <w:szCs w:val="18"/>
                      <w:highlight w:val="none"/>
                    </w:rPr>
                  </w:pPr>
                  <w:r>
                    <w:rPr>
                      <w:rFonts w:hint="eastAsia" w:ascii="宋体" w:hAnsi="宋体" w:eastAsia="宋体" w:cs="Times New Roman"/>
                      <w:sz w:val="18"/>
                      <w:szCs w:val="18"/>
                      <w:highlight w:val="none"/>
                      <w:lang w:val="en-US" w:eastAsia="zh-CN"/>
                    </w:rPr>
                    <w:t>126度32分11秒</w:t>
                  </w:r>
                </w:p>
              </w:tc>
              <w:tc>
                <w:tcPr>
                  <w:tcW w:w="1034" w:type="dxa"/>
                  <w:vMerge w:val="restart"/>
                  <w:noWrap w:val="0"/>
                  <w:vAlign w:val="center"/>
                </w:tcPr>
                <w:p>
                  <w:pPr>
                    <w:jc w:val="center"/>
                    <w:rPr>
                      <w:rFonts w:hint="eastAsia" w:ascii="宋体" w:hAnsi="宋体" w:eastAsia="宋体" w:cs="Times New Roman"/>
                      <w:sz w:val="18"/>
                      <w:szCs w:val="18"/>
                      <w:highlight w:val="none"/>
                    </w:rPr>
                  </w:pPr>
                  <w:r>
                    <w:rPr>
                      <w:rFonts w:hint="eastAsia" w:ascii="宋体" w:hAnsi="宋体" w:eastAsia="宋体" w:cs="Times New Roman"/>
                      <w:sz w:val="18"/>
                      <w:szCs w:val="18"/>
                      <w:highlight w:val="none"/>
                      <w:lang w:val="en-US" w:eastAsia="zh-CN"/>
                    </w:rPr>
                    <w:t>42度1分42秒</w:t>
                  </w:r>
                </w:p>
              </w:tc>
              <w:tc>
                <w:tcPr>
                  <w:tcW w:w="728" w:type="dxa"/>
                  <w:vMerge w:val="restart"/>
                  <w:noWrap w:val="0"/>
                  <w:vAlign w:val="center"/>
                </w:tcPr>
                <w:p>
                  <w:pPr>
                    <w:jc w:val="center"/>
                    <w:rPr>
                      <w:rFonts w:hint="default"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35</w:t>
                  </w:r>
                </w:p>
              </w:tc>
              <w:tc>
                <w:tcPr>
                  <w:tcW w:w="874" w:type="dxa"/>
                  <w:vMerge w:val="restart"/>
                  <w:noWrap w:val="0"/>
                  <w:vAlign w:val="center"/>
                </w:tcPr>
                <w:p>
                  <w:pPr>
                    <w:jc w:val="center"/>
                    <w:rPr>
                      <w:rFonts w:hint="default"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0.5</w:t>
                  </w:r>
                </w:p>
              </w:tc>
              <w:tc>
                <w:tcPr>
                  <w:tcW w:w="888"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80</w:t>
                  </w:r>
                </w:p>
              </w:tc>
              <w:tc>
                <w:tcPr>
                  <w:tcW w:w="830" w:type="dxa"/>
                  <w:vMerge w:val="restart"/>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一般排放口</w:t>
                  </w:r>
                </w:p>
              </w:tc>
              <w:tc>
                <w:tcPr>
                  <w:tcW w:w="830"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颗粒物</w:t>
                  </w:r>
                </w:p>
              </w:tc>
              <w:tc>
                <w:tcPr>
                  <w:tcW w:w="1111"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continue"/>
                  <w:noWrap w:val="0"/>
                  <w:vAlign w:val="center"/>
                </w:tcPr>
                <w:p>
                  <w:pPr>
                    <w:jc w:val="center"/>
                    <w:rPr>
                      <w:rFonts w:hint="eastAsia" w:ascii="宋体" w:hAnsi="宋体"/>
                      <w:sz w:val="18"/>
                      <w:szCs w:val="18"/>
                      <w:highlight w:val="yellow"/>
                    </w:rPr>
                  </w:pPr>
                </w:p>
              </w:tc>
              <w:tc>
                <w:tcPr>
                  <w:tcW w:w="1092" w:type="dxa"/>
                  <w:vMerge w:val="continue"/>
                  <w:noWrap w:val="0"/>
                  <w:vAlign w:val="center"/>
                </w:tcPr>
                <w:p>
                  <w:pPr>
                    <w:jc w:val="center"/>
                    <w:rPr>
                      <w:rFonts w:hint="eastAsia" w:ascii="宋体" w:hAnsi="宋体"/>
                      <w:sz w:val="18"/>
                      <w:szCs w:val="18"/>
                      <w:highlight w:val="yellow"/>
                    </w:rPr>
                  </w:pPr>
                </w:p>
              </w:tc>
              <w:tc>
                <w:tcPr>
                  <w:tcW w:w="1034" w:type="dxa"/>
                  <w:vMerge w:val="continue"/>
                  <w:noWrap w:val="0"/>
                  <w:vAlign w:val="center"/>
                </w:tcPr>
                <w:p>
                  <w:pPr>
                    <w:jc w:val="center"/>
                    <w:rPr>
                      <w:rFonts w:hint="eastAsia" w:ascii="宋体" w:hAnsi="宋体"/>
                      <w:sz w:val="18"/>
                      <w:szCs w:val="18"/>
                      <w:highlight w:val="yellow"/>
                    </w:rPr>
                  </w:pPr>
                </w:p>
              </w:tc>
              <w:tc>
                <w:tcPr>
                  <w:tcW w:w="728" w:type="dxa"/>
                  <w:vMerge w:val="continue"/>
                  <w:noWrap w:val="0"/>
                  <w:vAlign w:val="center"/>
                </w:tcPr>
                <w:p>
                  <w:pPr>
                    <w:jc w:val="center"/>
                    <w:rPr>
                      <w:rFonts w:hint="eastAsia" w:ascii="宋体" w:hAnsi="宋体"/>
                      <w:sz w:val="18"/>
                      <w:szCs w:val="18"/>
                      <w:highlight w:val="yellow"/>
                    </w:rPr>
                  </w:pPr>
                </w:p>
              </w:tc>
              <w:tc>
                <w:tcPr>
                  <w:tcW w:w="874" w:type="dxa"/>
                  <w:vMerge w:val="continue"/>
                  <w:noWrap w:val="0"/>
                  <w:vAlign w:val="center"/>
                </w:tcPr>
                <w:p>
                  <w:pPr>
                    <w:jc w:val="center"/>
                    <w:rPr>
                      <w:rFonts w:hint="eastAsia" w:ascii="宋体" w:hAnsi="宋体"/>
                      <w:sz w:val="18"/>
                      <w:szCs w:val="18"/>
                      <w:highlight w:val="yellow"/>
                    </w:rPr>
                  </w:pPr>
                </w:p>
              </w:tc>
              <w:tc>
                <w:tcPr>
                  <w:tcW w:w="888" w:type="dxa"/>
                  <w:vMerge w:val="continue"/>
                  <w:noWrap w:val="0"/>
                  <w:vAlign w:val="center"/>
                </w:tcPr>
                <w:p>
                  <w:pPr>
                    <w:jc w:val="center"/>
                    <w:rPr>
                      <w:rFonts w:hint="eastAsia" w:ascii="宋体" w:hAnsi="宋体"/>
                      <w:sz w:val="18"/>
                      <w:szCs w:val="18"/>
                      <w:highlight w:val="yellow"/>
                    </w:rPr>
                  </w:pPr>
                </w:p>
              </w:tc>
              <w:tc>
                <w:tcPr>
                  <w:tcW w:w="830" w:type="dxa"/>
                  <w:vMerge w:val="continue"/>
                  <w:noWrap w:val="0"/>
                  <w:vAlign w:val="center"/>
                </w:tcPr>
                <w:p>
                  <w:pPr>
                    <w:jc w:val="center"/>
                    <w:rPr>
                      <w:rFonts w:hint="eastAsia" w:ascii="宋体" w:hAnsi="宋体"/>
                      <w:sz w:val="18"/>
                      <w:szCs w:val="18"/>
                      <w:highlight w:val="yellow"/>
                    </w:rPr>
                  </w:pPr>
                </w:p>
              </w:tc>
              <w:tc>
                <w:tcPr>
                  <w:tcW w:w="830"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SO</w:t>
                  </w:r>
                  <w:r>
                    <w:rPr>
                      <w:rFonts w:hint="eastAsia" w:ascii="宋体" w:hAnsi="宋体"/>
                      <w:sz w:val="18"/>
                      <w:szCs w:val="18"/>
                      <w:highlight w:val="none"/>
                      <w:vertAlign w:val="subscript"/>
                    </w:rPr>
                    <w:t>2</w:t>
                  </w:r>
                </w:p>
              </w:tc>
              <w:tc>
                <w:tcPr>
                  <w:tcW w:w="1111"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continue"/>
                  <w:noWrap w:val="0"/>
                  <w:vAlign w:val="center"/>
                </w:tcPr>
                <w:p>
                  <w:pPr>
                    <w:jc w:val="center"/>
                    <w:rPr>
                      <w:rFonts w:hint="eastAsia" w:ascii="宋体" w:hAnsi="宋体"/>
                      <w:sz w:val="18"/>
                      <w:szCs w:val="18"/>
                      <w:highlight w:val="yellow"/>
                    </w:rPr>
                  </w:pPr>
                </w:p>
              </w:tc>
              <w:tc>
                <w:tcPr>
                  <w:tcW w:w="1092" w:type="dxa"/>
                  <w:vMerge w:val="continue"/>
                  <w:noWrap w:val="0"/>
                  <w:vAlign w:val="center"/>
                </w:tcPr>
                <w:p>
                  <w:pPr>
                    <w:jc w:val="center"/>
                    <w:rPr>
                      <w:rFonts w:hint="eastAsia" w:ascii="宋体" w:hAnsi="宋体"/>
                      <w:sz w:val="18"/>
                      <w:szCs w:val="18"/>
                      <w:highlight w:val="yellow"/>
                    </w:rPr>
                  </w:pPr>
                </w:p>
              </w:tc>
              <w:tc>
                <w:tcPr>
                  <w:tcW w:w="1034" w:type="dxa"/>
                  <w:vMerge w:val="continue"/>
                  <w:noWrap w:val="0"/>
                  <w:vAlign w:val="center"/>
                </w:tcPr>
                <w:p>
                  <w:pPr>
                    <w:jc w:val="center"/>
                    <w:rPr>
                      <w:rFonts w:hint="eastAsia" w:ascii="宋体" w:hAnsi="宋体"/>
                      <w:sz w:val="18"/>
                      <w:szCs w:val="18"/>
                      <w:highlight w:val="yellow"/>
                    </w:rPr>
                  </w:pPr>
                </w:p>
              </w:tc>
              <w:tc>
                <w:tcPr>
                  <w:tcW w:w="728" w:type="dxa"/>
                  <w:vMerge w:val="continue"/>
                  <w:noWrap w:val="0"/>
                  <w:vAlign w:val="center"/>
                </w:tcPr>
                <w:p>
                  <w:pPr>
                    <w:jc w:val="center"/>
                    <w:rPr>
                      <w:rFonts w:hint="eastAsia" w:ascii="宋体" w:hAnsi="宋体"/>
                      <w:sz w:val="18"/>
                      <w:szCs w:val="18"/>
                      <w:highlight w:val="yellow"/>
                    </w:rPr>
                  </w:pPr>
                </w:p>
              </w:tc>
              <w:tc>
                <w:tcPr>
                  <w:tcW w:w="874" w:type="dxa"/>
                  <w:vMerge w:val="continue"/>
                  <w:noWrap w:val="0"/>
                  <w:vAlign w:val="center"/>
                </w:tcPr>
                <w:p>
                  <w:pPr>
                    <w:jc w:val="center"/>
                    <w:rPr>
                      <w:rFonts w:hint="eastAsia" w:ascii="宋体" w:hAnsi="宋体"/>
                      <w:sz w:val="18"/>
                      <w:szCs w:val="18"/>
                      <w:highlight w:val="yellow"/>
                    </w:rPr>
                  </w:pPr>
                </w:p>
              </w:tc>
              <w:tc>
                <w:tcPr>
                  <w:tcW w:w="888" w:type="dxa"/>
                  <w:vMerge w:val="continue"/>
                  <w:noWrap w:val="0"/>
                  <w:vAlign w:val="center"/>
                </w:tcPr>
                <w:p>
                  <w:pPr>
                    <w:jc w:val="center"/>
                    <w:rPr>
                      <w:rFonts w:hint="eastAsia" w:ascii="宋体" w:hAnsi="宋体"/>
                      <w:sz w:val="18"/>
                      <w:szCs w:val="18"/>
                      <w:highlight w:val="yellow"/>
                    </w:rPr>
                  </w:pPr>
                </w:p>
              </w:tc>
              <w:tc>
                <w:tcPr>
                  <w:tcW w:w="830" w:type="dxa"/>
                  <w:vMerge w:val="continue"/>
                  <w:noWrap w:val="0"/>
                  <w:vAlign w:val="center"/>
                </w:tcPr>
                <w:p>
                  <w:pPr>
                    <w:jc w:val="center"/>
                    <w:rPr>
                      <w:rFonts w:hint="eastAsia" w:ascii="宋体" w:hAnsi="宋体"/>
                      <w:sz w:val="18"/>
                      <w:szCs w:val="18"/>
                      <w:highlight w:val="yellow"/>
                    </w:rPr>
                  </w:pPr>
                </w:p>
              </w:tc>
              <w:tc>
                <w:tcPr>
                  <w:tcW w:w="830"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NO</w:t>
                  </w:r>
                  <w:r>
                    <w:rPr>
                      <w:rFonts w:hint="eastAsia" w:ascii="宋体" w:hAnsi="宋体"/>
                      <w:sz w:val="18"/>
                      <w:szCs w:val="18"/>
                      <w:highlight w:val="none"/>
                      <w:vertAlign w:val="subscript"/>
                    </w:rPr>
                    <w:t>x</w:t>
                  </w:r>
                </w:p>
              </w:tc>
              <w:tc>
                <w:tcPr>
                  <w:tcW w:w="1111" w:type="dxa"/>
                  <w:noWrap w:val="0"/>
                  <w:vAlign w:val="center"/>
                </w:tcPr>
                <w:p>
                  <w:pPr>
                    <w:jc w:val="center"/>
                    <w:rPr>
                      <w:rFonts w:hint="eastAsia" w:ascii="宋体" w:hAnsi="宋体"/>
                      <w:sz w:val="18"/>
                      <w:szCs w:val="18"/>
                      <w:highlight w:val="none"/>
                    </w:rPr>
                  </w:pPr>
                  <w:r>
                    <w:rPr>
                      <w:rFonts w:hint="eastAsia" w:ascii="宋体" w:hAnsi="宋体"/>
                      <w:sz w:val="18"/>
                      <w:szCs w:val="18"/>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Merge w:val="continue"/>
                  <w:noWrap w:val="0"/>
                  <w:vAlign w:val="center"/>
                </w:tcPr>
                <w:p>
                  <w:pPr>
                    <w:jc w:val="center"/>
                    <w:rPr>
                      <w:rFonts w:hint="eastAsia" w:ascii="宋体" w:hAnsi="宋体"/>
                      <w:sz w:val="18"/>
                      <w:szCs w:val="18"/>
                      <w:highlight w:val="yellow"/>
                    </w:rPr>
                  </w:pPr>
                </w:p>
              </w:tc>
              <w:tc>
                <w:tcPr>
                  <w:tcW w:w="1092" w:type="dxa"/>
                  <w:vMerge w:val="continue"/>
                  <w:noWrap w:val="0"/>
                  <w:vAlign w:val="center"/>
                </w:tcPr>
                <w:p>
                  <w:pPr>
                    <w:jc w:val="center"/>
                    <w:rPr>
                      <w:rFonts w:hint="eastAsia" w:ascii="宋体" w:hAnsi="宋体"/>
                      <w:sz w:val="18"/>
                      <w:szCs w:val="18"/>
                      <w:highlight w:val="yellow"/>
                    </w:rPr>
                  </w:pPr>
                </w:p>
              </w:tc>
              <w:tc>
                <w:tcPr>
                  <w:tcW w:w="1034" w:type="dxa"/>
                  <w:vMerge w:val="continue"/>
                  <w:noWrap w:val="0"/>
                  <w:vAlign w:val="center"/>
                </w:tcPr>
                <w:p>
                  <w:pPr>
                    <w:jc w:val="center"/>
                    <w:rPr>
                      <w:rFonts w:hint="eastAsia" w:ascii="宋体" w:hAnsi="宋体"/>
                      <w:sz w:val="18"/>
                      <w:szCs w:val="18"/>
                      <w:highlight w:val="yellow"/>
                    </w:rPr>
                  </w:pPr>
                </w:p>
              </w:tc>
              <w:tc>
                <w:tcPr>
                  <w:tcW w:w="728" w:type="dxa"/>
                  <w:vMerge w:val="continue"/>
                  <w:noWrap w:val="0"/>
                  <w:vAlign w:val="center"/>
                </w:tcPr>
                <w:p>
                  <w:pPr>
                    <w:jc w:val="center"/>
                    <w:rPr>
                      <w:rFonts w:hint="eastAsia" w:ascii="宋体" w:hAnsi="宋体"/>
                      <w:sz w:val="18"/>
                      <w:szCs w:val="18"/>
                      <w:highlight w:val="yellow"/>
                    </w:rPr>
                  </w:pPr>
                </w:p>
              </w:tc>
              <w:tc>
                <w:tcPr>
                  <w:tcW w:w="874" w:type="dxa"/>
                  <w:vMerge w:val="continue"/>
                  <w:noWrap w:val="0"/>
                  <w:vAlign w:val="center"/>
                </w:tcPr>
                <w:p>
                  <w:pPr>
                    <w:jc w:val="center"/>
                    <w:rPr>
                      <w:rFonts w:hint="eastAsia" w:ascii="宋体" w:hAnsi="宋体"/>
                      <w:sz w:val="18"/>
                      <w:szCs w:val="18"/>
                      <w:highlight w:val="yellow"/>
                    </w:rPr>
                  </w:pPr>
                </w:p>
              </w:tc>
              <w:tc>
                <w:tcPr>
                  <w:tcW w:w="888" w:type="dxa"/>
                  <w:vMerge w:val="continue"/>
                  <w:noWrap w:val="0"/>
                  <w:vAlign w:val="center"/>
                </w:tcPr>
                <w:p>
                  <w:pPr>
                    <w:jc w:val="center"/>
                    <w:rPr>
                      <w:rFonts w:hint="eastAsia" w:ascii="宋体" w:hAnsi="宋体"/>
                      <w:sz w:val="18"/>
                      <w:szCs w:val="18"/>
                      <w:highlight w:val="yellow"/>
                    </w:rPr>
                  </w:pPr>
                </w:p>
              </w:tc>
              <w:tc>
                <w:tcPr>
                  <w:tcW w:w="830" w:type="dxa"/>
                  <w:vMerge w:val="continue"/>
                  <w:noWrap w:val="0"/>
                  <w:vAlign w:val="center"/>
                </w:tcPr>
                <w:p>
                  <w:pPr>
                    <w:jc w:val="center"/>
                    <w:rPr>
                      <w:rFonts w:hint="eastAsia" w:ascii="宋体" w:hAnsi="宋体" w:eastAsia="宋体" w:cs="Times New Roman"/>
                      <w:color w:val="auto"/>
                      <w:sz w:val="18"/>
                      <w:szCs w:val="18"/>
                      <w:highlight w:val="none"/>
                    </w:rPr>
                  </w:pPr>
                </w:p>
              </w:tc>
              <w:tc>
                <w:tcPr>
                  <w:tcW w:w="830" w:type="dxa"/>
                  <w:noWrap w:val="0"/>
                  <w:vAlign w:val="center"/>
                </w:tcPr>
                <w:p>
                  <w:pPr>
                    <w:jc w:val="center"/>
                    <w:rPr>
                      <w:rFonts w:hint="eastAsia"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汞及其化合物</w:t>
                  </w:r>
                </w:p>
              </w:tc>
              <w:tc>
                <w:tcPr>
                  <w:tcW w:w="1111" w:type="dxa"/>
                  <w:noWrap w:val="0"/>
                  <w:vAlign w:val="center"/>
                </w:tcPr>
                <w:p>
                  <w:pPr>
                    <w:jc w:val="center"/>
                    <w:rPr>
                      <w:rFonts w:hint="default"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0.05</w:t>
                  </w:r>
                </w:p>
              </w:tc>
            </w:tr>
          </w:tbl>
          <w:p>
            <w:pPr>
              <w:adjustRightInd w:val="0"/>
              <w:snapToGrid w:val="0"/>
              <w:spacing w:line="360" w:lineRule="auto"/>
              <w:ind w:firstLine="480" w:firstLineChars="200"/>
              <w:rPr>
                <w:rFonts w:hint="eastAsia" w:ascii="宋体" w:hAnsi="宋体" w:cs="宋体"/>
                <w:bCs/>
                <w:sz w:val="24"/>
                <w:highlight w:val="yellow"/>
              </w:rPr>
            </w:pPr>
            <w:r>
              <w:rPr>
                <w:rFonts w:hint="eastAsia"/>
                <w:sz w:val="24"/>
                <w:highlight w:val="none"/>
              </w:rPr>
              <w:t>本项目锅炉房装机容量为</w:t>
            </w:r>
            <w:r>
              <w:rPr>
                <w:rFonts w:hint="eastAsia"/>
                <w:sz w:val="24"/>
                <w:highlight w:val="none"/>
                <w:lang w:val="en-US" w:eastAsia="zh-CN"/>
              </w:rPr>
              <w:t>4t</w:t>
            </w:r>
            <w:r>
              <w:rPr>
                <w:rFonts w:hint="eastAsia"/>
                <w:sz w:val="24"/>
                <w:highlight w:val="none"/>
              </w:rPr>
              <w:t>/h，根据《锅炉大气污染物排放标准》（GB 13271-2014）表 4 燃煤锅炉房烟囱最低允许高度，本项目建设烟囱最低允许高度为</w:t>
            </w:r>
            <w:r>
              <w:rPr>
                <w:rFonts w:hint="eastAsia"/>
                <w:sz w:val="24"/>
                <w:highlight w:val="none"/>
                <w:lang w:val="en-US" w:eastAsia="zh-CN"/>
              </w:rPr>
              <w:t>35</w:t>
            </w:r>
            <w:r>
              <w:rPr>
                <w:rFonts w:hint="eastAsia"/>
                <w:sz w:val="24"/>
                <w:highlight w:val="none"/>
              </w:rPr>
              <w:t>m。锅炉房的烟囱周围半径 200m 距离内有建筑物时，其烟囱应高出最高建筑物</w:t>
            </w:r>
            <w:r>
              <w:rPr>
                <w:rFonts w:hint="eastAsia"/>
                <w:sz w:val="24"/>
                <w:highlight w:val="none"/>
                <w:lang w:val="en-US" w:eastAsia="zh-CN"/>
              </w:rPr>
              <w:t>4</w:t>
            </w:r>
            <w:r>
              <w:rPr>
                <w:rFonts w:hint="eastAsia"/>
                <w:sz w:val="24"/>
                <w:highlight w:val="none"/>
              </w:rPr>
              <w:t>m，本项目周边建筑物最高为4m，故本项目锅炉烟囱建设高度为</w:t>
            </w:r>
            <w:r>
              <w:rPr>
                <w:rFonts w:hint="eastAsia"/>
                <w:sz w:val="24"/>
                <w:highlight w:val="none"/>
                <w:lang w:val="en-US" w:eastAsia="zh-CN"/>
              </w:rPr>
              <w:t>35</w:t>
            </w:r>
            <w:r>
              <w:rPr>
                <w:rFonts w:hint="eastAsia"/>
                <w:sz w:val="24"/>
                <w:highlight w:val="none"/>
              </w:rPr>
              <w:t>m可行。</w:t>
            </w:r>
          </w:p>
          <w:p>
            <w:pPr>
              <w:adjustRightInd w:val="0"/>
              <w:snapToGrid w:val="0"/>
              <w:spacing w:line="360" w:lineRule="auto"/>
              <w:ind w:firstLine="480" w:firstLineChars="200"/>
              <w:rPr>
                <w:rFonts w:hint="eastAsia"/>
                <w:sz w:val="24"/>
                <w:highlight w:val="none"/>
              </w:rPr>
            </w:pPr>
            <w:r>
              <w:rPr>
                <w:rFonts w:hint="eastAsia"/>
                <w:sz w:val="24"/>
                <w:highlight w:val="none"/>
              </w:rPr>
              <w:t>本项目锅炉排污单位废气自行监测按照《排污单位自行监测技术 指南火力发电及锅炉》（HJ820-2017）要求进行监测,污染物监测计划具体如下表所示。</w:t>
            </w:r>
          </w:p>
          <w:p>
            <w:pPr>
              <w:adjustRightInd w:val="0"/>
              <w:snapToGrid w:val="0"/>
              <w:spacing w:line="360" w:lineRule="auto"/>
              <w:ind w:firstLine="422" w:firstLineChars="200"/>
              <w:jc w:val="center"/>
              <w:rPr>
                <w:rFonts w:hint="eastAsia"/>
                <w:vanish/>
                <w:highlight w:val="none"/>
              </w:rPr>
            </w:pPr>
            <w:r>
              <w:rPr>
                <w:rFonts w:ascii="宋体" w:hAnsi="宋体"/>
                <w:b/>
                <w:bCs/>
                <w:szCs w:val="21"/>
                <w:highlight w:val="none"/>
                <w:u w:val="single"/>
              </w:rPr>
              <w:t>表</w:t>
            </w:r>
            <w:r>
              <w:rPr>
                <w:rFonts w:hint="eastAsia" w:ascii="宋体" w:hAnsi="宋体"/>
                <w:b/>
                <w:bCs/>
                <w:szCs w:val="21"/>
                <w:highlight w:val="none"/>
                <w:u w:val="single"/>
              </w:rPr>
              <w:t>4-</w:t>
            </w:r>
            <w:r>
              <w:rPr>
                <w:rFonts w:hint="eastAsia" w:ascii="宋体" w:hAnsi="宋体"/>
                <w:b/>
                <w:bCs/>
                <w:szCs w:val="21"/>
                <w:highlight w:val="none"/>
                <w:u w:val="single"/>
                <w:lang w:val="en-US" w:eastAsia="zh-CN"/>
              </w:rPr>
              <w:t>8</w:t>
            </w:r>
            <w:r>
              <w:rPr>
                <w:rFonts w:hint="eastAsia" w:ascii="宋体" w:hAnsi="宋体"/>
                <w:b/>
                <w:bCs/>
                <w:szCs w:val="21"/>
                <w:highlight w:val="none"/>
                <w:u w:val="single"/>
              </w:rPr>
              <w:t xml:space="preserve">   监测计划</w:t>
            </w:r>
          </w:p>
          <w:p>
            <w:pPr>
              <w:pStyle w:val="40"/>
              <w:rPr>
                <w:rFonts w:hint="eastAsia"/>
                <w:color w:val="auto"/>
                <w:highlight w:val="none"/>
              </w:rPr>
            </w:pP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993"/>
              <w:gridCol w:w="1701"/>
              <w:gridCol w:w="1417"/>
              <w:gridCol w:w="1418"/>
              <w:gridCol w:w="1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监测要素</w:t>
                  </w:r>
                </w:p>
              </w:tc>
              <w:tc>
                <w:tcPr>
                  <w:tcW w:w="993"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阶段</w:t>
                  </w:r>
                </w:p>
              </w:tc>
              <w:tc>
                <w:tcPr>
                  <w:tcW w:w="1701"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监测点位</w:t>
                  </w:r>
                </w:p>
              </w:tc>
              <w:tc>
                <w:tcPr>
                  <w:tcW w:w="1417"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监测项目</w:t>
                  </w:r>
                </w:p>
              </w:tc>
              <w:tc>
                <w:tcPr>
                  <w:tcW w:w="1418"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监测频次</w:t>
                  </w:r>
                </w:p>
              </w:tc>
              <w:tc>
                <w:tcPr>
                  <w:tcW w:w="1560"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废气</w:t>
                  </w:r>
                </w:p>
              </w:tc>
              <w:tc>
                <w:tcPr>
                  <w:tcW w:w="993" w:type="dxa"/>
                  <w:vMerge w:val="restart"/>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运营期</w:t>
                  </w:r>
                </w:p>
              </w:tc>
              <w:tc>
                <w:tcPr>
                  <w:tcW w:w="1701"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DA001</w:t>
                  </w:r>
                </w:p>
              </w:tc>
              <w:tc>
                <w:tcPr>
                  <w:tcW w:w="1417"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NO</w:t>
                  </w:r>
                  <w:r>
                    <w:rPr>
                      <w:rFonts w:hint="eastAsia" w:ascii="宋体" w:hAnsi="宋体" w:eastAsia="宋体"/>
                      <w:color w:val="auto"/>
                      <w:sz w:val="21"/>
                      <w:szCs w:val="21"/>
                      <w:highlight w:val="none"/>
                      <w:vertAlign w:val="subscript"/>
                    </w:rPr>
                    <w:t>X</w:t>
                  </w:r>
                  <w:r>
                    <w:rPr>
                      <w:rFonts w:hint="eastAsia" w:ascii="宋体" w:hAnsi="宋体" w:eastAsia="宋体"/>
                      <w:color w:val="auto"/>
                      <w:sz w:val="21"/>
                      <w:szCs w:val="21"/>
                      <w:highlight w:val="none"/>
                    </w:rPr>
                    <w:t>、颗粒物、 SO</w:t>
                  </w:r>
                  <w:r>
                    <w:rPr>
                      <w:rFonts w:hint="eastAsia" w:ascii="宋体" w:hAnsi="宋体" w:eastAsia="宋体"/>
                      <w:color w:val="auto"/>
                      <w:sz w:val="21"/>
                      <w:szCs w:val="21"/>
                      <w:highlight w:val="none"/>
                      <w:vertAlign w:val="subscript"/>
                    </w:rPr>
                    <w:t>2</w:t>
                  </w:r>
                  <w:r>
                    <w:rPr>
                      <w:rFonts w:hint="eastAsia" w:ascii="宋体" w:hAnsi="宋体" w:eastAsia="宋体"/>
                      <w:color w:val="auto"/>
                      <w:sz w:val="21"/>
                      <w:szCs w:val="21"/>
                      <w:highlight w:val="none"/>
                    </w:rPr>
                    <w:t>、林格曼 黑度</w:t>
                  </w:r>
                </w:p>
              </w:tc>
              <w:tc>
                <w:tcPr>
                  <w:tcW w:w="1418"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一次/月</w:t>
                  </w:r>
                </w:p>
              </w:tc>
              <w:tc>
                <w:tcPr>
                  <w:tcW w:w="1560" w:type="dxa"/>
                  <w:vMerge w:val="restart"/>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《排污单位 自行监测技 术指南 火力发电及锅炉》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noWrap w:val="0"/>
                  <w:vAlign w:val="center"/>
                </w:tcPr>
                <w:p>
                  <w:pPr>
                    <w:pStyle w:val="40"/>
                    <w:rPr>
                      <w:rFonts w:hint="eastAsia" w:ascii="宋体" w:hAnsi="宋体" w:eastAsia="宋体"/>
                      <w:color w:val="auto"/>
                      <w:sz w:val="21"/>
                      <w:szCs w:val="21"/>
                      <w:highlight w:val="none"/>
                    </w:rPr>
                  </w:pPr>
                </w:p>
              </w:tc>
              <w:tc>
                <w:tcPr>
                  <w:tcW w:w="993" w:type="dxa"/>
                  <w:vMerge w:val="continue"/>
                  <w:noWrap w:val="0"/>
                  <w:vAlign w:val="center"/>
                </w:tcPr>
                <w:p>
                  <w:pPr>
                    <w:pStyle w:val="40"/>
                    <w:rPr>
                      <w:rFonts w:hint="eastAsia" w:ascii="宋体" w:hAnsi="宋体" w:eastAsia="宋体"/>
                      <w:color w:val="auto"/>
                      <w:sz w:val="21"/>
                      <w:szCs w:val="21"/>
                      <w:highlight w:val="none"/>
                    </w:rPr>
                  </w:pPr>
                </w:p>
              </w:tc>
              <w:tc>
                <w:tcPr>
                  <w:tcW w:w="1701"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厂界无组织监控点 （上风向 1 个点，下风向 3 个）</w:t>
                  </w:r>
                </w:p>
              </w:tc>
              <w:tc>
                <w:tcPr>
                  <w:tcW w:w="1417"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颗粒物</w:t>
                  </w:r>
                </w:p>
              </w:tc>
              <w:tc>
                <w:tcPr>
                  <w:tcW w:w="1418" w:type="dxa"/>
                  <w:noWrap w:val="0"/>
                  <w:vAlign w:val="center"/>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一次/季度</w:t>
                  </w:r>
                </w:p>
              </w:tc>
              <w:tc>
                <w:tcPr>
                  <w:tcW w:w="1560" w:type="dxa"/>
                  <w:vMerge w:val="continue"/>
                  <w:noWrap w:val="0"/>
                  <w:vAlign w:val="center"/>
                </w:tcPr>
                <w:p>
                  <w:pPr>
                    <w:pStyle w:val="40"/>
                    <w:rPr>
                      <w:rFonts w:hint="eastAsia" w:ascii="宋体" w:hAnsi="宋体" w:eastAsia="宋体"/>
                      <w:color w:val="auto"/>
                      <w:sz w:val="21"/>
                      <w:szCs w:val="21"/>
                      <w:highlight w:val="none"/>
                    </w:rPr>
                  </w:pPr>
                </w:p>
              </w:tc>
            </w:tr>
          </w:tbl>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highlight w:val="none"/>
              </w:rPr>
              <w:t>（2）非正常工况</w:t>
            </w:r>
          </w:p>
          <w:p>
            <w:pPr>
              <w:adjustRightInd w:val="0"/>
              <w:snapToGrid w:val="0"/>
              <w:spacing w:line="360" w:lineRule="auto"/>
              <w:ind w:firstLine="480" w:firstLineChars="200"/>
              <w:rPr>
                <w:rFonts w:hint="eastAsia"/>
                <w:sz w:val="24"/>
                <w:highlight w:val="none"/>
              </w:rPr>
            </w:pPr>
            <w:r>
              <w:rPr>
                <w:rFonts w:hint="eastAsia"/>
                <w:sz w:val="24"/>
                <w:highlight w:val="none"/>
              </w:rPr>
              <w:t>除正常工艺排放外，本项目还存在非正常排放工况，主要是</w:t>
            </w:r>
            <w:r>
              <w:rPr>
                <w:sz w:val="24"/>
                <w:highlight w:val="none"/>
              </w:rPr>
              <w:t>废气处理装置</w:t>
            </w:r>
            <w:r>
              <w:rPr>
                <w:rFonts w:hint="eastAsia"/>
                <w:sz w:val="24"/>
                <w:highlight w:val="none"/>
              </w:rPr>
              <w:t>损坏，为了表明非正常工况条件下的污染物排放情况，本次按照去除效率失效按照 100%计算。项目非正常工况下排放情况见下表。</w:t>
            </w:r>
          </w:p>
          <w:p>
            <w:pPr>
              <w:adjustRightInd w:val="0"/>
              <w:snapToGrid w:val="0"/>
              <w:spacing w:line="360" w:lineRule="auto"/>
              <w:ind w:firstLine="422" w:firstLineChars="200"/>
              <w:jc w:val="center"/>
              <w:rPr>
                <w:rFonts w:hint="eastAsia" w:ascii="宋体" w:hAnsi="宋体"/>
                <w:b/>
                <w:bCs/>
                <w:szCs w:val="21"/>
                <w:highlight w:val="none"/>
                <w:u w:val="single"/>
              </w:rPr>
            </w:pPr>
            <w:r>
              <w:rPr>
                <w:rFonts w:hint="eastAsia" w:ascii="宋体" w:hAnsi="宋体"/>
                <w:b/>
                <w:bCs/>
                <w:szCs w:val="21"/>
                <w:highlight w:val="none"/>
                <w:u w:val="single"/>
              </w:rPr>
              <w:t>表 4-</w:t>
            </w:r>
            <w:r>
              <w:rPr>
                <w:rFonts w:hint="eastAsia" w:ascii="宋体" w:hAnsi="宋体"/>
                <w:b/>
                <w:bCs/>
                <w:szCs w:val="21"/>
                <w:highlight w:val="none"/>
                <w:u w:val="single"/>
                <w:lang w:val="en-US" w:eastAsia="zh-CN"/>
              </w:rPr>
              <w:t>9</w:t>
            </w:r>
            <w:r>
              <w:rPr>
                <w:rFonts w:hint="eastAsia" w:ascii="宋体" w:hAnsi="宋体"/>
                <w:b/>
                <w:bCs/>
                <w:szCs w:val="21"/>
                <w:highlight w:val="none"/>
                <w:u w:val="single"/>
              </w:rPr>
              <w:t xml:space="preserve">   污染源非正常排放量核算表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148"/>
              <w:gridCol w:w="1148"/>
              <w:gridCol w:w="1277"/>
              <w:gridCol w:w="1149"/>
              <w:gridCol w:w="1149"/>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污染源</w:t>
                  </w:r>
                </w:p>
              </w:tc>
              <w:tc>
                <w:tcPr>
                  <w:tcW w:w="702"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非正常排放原因</w:t>
                  </w:r>
                </w:p>
              </w:tc>
              <w:tc>
                <w:tcPr>
                  <w:tcW w:w="702"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污染物</w:t>
                  </w:r>
                </w:p>
              </w:tc>
              <w:tc>
                <w:tcPr>
                  <w:tcW w:w="781"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非正常排放浓度</w:t>
                  </w:r>
                  <w:r>
                    <w:rPr>
                      <w:rFonts w:ascii="宋体" w:hAnsi="宋体" w:eastAsia="宋体"/>
                      <w:color w:val="auto"/>
                      <w:sz w:val="21"/>
                      <w:szCs w:val="21"/>
                      <w:highlight w:val="none"/>
                    </w:rPr>
                    <w:t>（mg/m</w:t>
                  </w:r>
                  <w:r>
                    <w:rPr>
                      <w:rFonts w:ascii="宋体" w:hAnsi="宋体" w:eastAsia="宋体"/>
                      <w:color w:val="auto"/>
                      <w:sz w:val="21"/>
                      <w:szCs w:val="21"/>
                      <w:highlight w:val="none"/>
                      <w:vertAlign w:val="superscript"/>
                    </w:rPr>
                    <w:t>3</w:t>
                  </w:r>
                  <w:r>
                    <w:rPr>
                      <w:rFonts w:ascii="宋体" w:hAnsi="宋体" w:eastAsia="宋体"/>
                      <w:color w:val="auto"/>
                      <w:sz w:val="21"/>
                      <w:szCs w:val="21"/>
                      <w:highlight w:val="none"/>
                    </w:rPr>
                    <w:t>）</w:t>
                  </w:r>
                </w:p>
              </w:tc>
              <w:tc>
                <w:tcPr>
                  <w:tcW w:w="703"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单次持续时间/h</w:t>
                  </w:r>
                </w:p>
              </w:tc>
              <w:tc>
                <w:tcPr>
                  <w:tcW w:w="703"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年发生频次/次</w:t>
                  </w:r>
                </w:p>
              </w:tc>
              <w:tc>
                <w:tcPr>
                  <w:tcW w:w="703"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restar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锅炉</w:t>
                  </w:r>
                </w:p>
              </w:tc>
              <w:tc>
                <w:tcPr>
                  <w:tcW w:w="702" w:type="pct"/>
                  <w:vMerge w:val="restar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废气处理系统故障</w:t>
                  </w:r>
                </w:p>
              </w:tc>
              <w:tc>
                <w:tcPr>
                  <w:tcW w:w="702"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颗粒物</w:t>
                  </w:r>
                </w:p>
              </w:tc>
              <w:tc>
                <w:tcPr>
                  <w:tcW w:w="781" w:type="pct"/>
                  <w:noWrap w:val="0"/>
                  <w:vAlign w:val="top"/>
                </w:tcPr>
                <w:p>
                  <w:pPr>
                    <w:pStyle w:val="40"/>
                    <w:rPr>
                      <w:rFonts w:hint="eastAsia" w:ascii="宋体" w:hAnsi="宋体" w:eastAsia="宋体"/>
                      <w:color w:val="auto"/>
                      <w:sz w:val="21"/>
                      <w:szCs w:val="21"/>
                      <w:highlight w:val="none"/>
                    </w:rPr>
                  </w:pPr>
                  <w:r>
                    <w:rPr>
                      <w:rFonts w:hint="eastAsia" w:ascii="宋体" w:hAnsi="宋体"/>
                      <w:sz w:val="21"/>
                      <w:szCs w:val="21"/>
                      <w:highlight w:val="none"/>
                      <w:u w:val="none"/>
                      <w:lang w:val="en-US" w:eastAsia="zh-CN"/>
                    </w:rPr>
                    <w:t>9512.39</w:t>
                  </w:r>
                </w:p>
              </w:tc>
              <w:tc>
                <w:tcPr>
                  <w:tcW w:w="703" w:type="pct"/>
                  <w:vMerge w:val="restar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03" w:type="pct"/>
                  <w:vMerge w:val="restar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03" w:type="pct"/>
                  <w:vMerge w:val="restar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停止运行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noWrap w:val="0"/>
                  <w:vAlign w:val="top"/>
                </w:tcPr>
                <w:p>
                  <w:pPr>
                    <w:pStyle w:val="40"/>
                    <w:rPr>
                      <w:rFonts w:hint="eastAsia" w:ascii="宋体" w:hAnsi="宋体" w:eastAsia="宋体"/>
                      <w:color w:val="auto"/>
                      <w:sz w:val="21"/>
                      <w:szCs w:val="21"/>
                      <w:highlight w:val="none"/>
                    </w:rPr>
                  </w:pPr>
                </w:p>
              </w:tc>
              <w:tc>
                <w:tcPr>
                  <w:tcW w:w="702" w:type="pct"/>
                  <w:vMerge w:val="continue"/>
                  <w:noWrap w:val="0"/>
                  <w:vAlign w:val="top"/>
                </w:tcPr>
                <w:p>
                  <w:pPr>
                    <w:pStyle w:val="40"/>
                    <w:rPr>
                      <w:rFonts w:hint="eastAsia" w:ascii="宋体" w:hAnsi="宋体" w:eastAsia="宋体"/>
                      <w:color w:val="auto"/>
                      <w:sz w:val="21"/>
                      <w:szCs w:val="21"/>
                      <w:highlight w:val="none"/>
                    </w:rPr>
                  </w:pPr>
                </w:p>
              </w:tc>
              <w:tc>
                <w:tcPr>
                  <w:tcW w:w="702"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氮氧化物</w:t>
                  </w:r>
                </w:p>
              </w:tc>
              <w:tc>
                <w:tcPr>
                  <w:tcW w:w="781" w:type="pct"/>
                  <w:noWrap w:val="0"/>
                  <w:vAlign w:val="top"/>
                </w:tcPr>
                <w:p>
                  <w:pPr>
                    <w:pStyle w:val="4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200</w:t>
                  </w:r>
                </w:p>
              </w:tc>
              <w:tc>
                <w:tcPr>
                  <w:tcW w:w="703" w:type="pct"/>
                  <w:vMerge w:val="continue"/>
                  <w:noWrap w:val="0"/>
                  <w:vAlign w:val="top"/>
                </w:tcPr>
                <w:p>
                  <w:pPr>
                    <w:pStyle w:val="40"/>
                    <w:rPr>
                      <w:rFonts w:hint="eastAsia" w:ascii="宋体" w:hAnsi="宋体" w:eastAsia="宋体"/>
                      <w:color w:val="auto"/>
                      <w:sz w:val="21"/>
                      <w:szCs w:val="21"/>
                      <w:highlight w:val="yellow"/>
                    </w:rPr>
                  </w:pPr>
                </w:p>
              </w:tc>
              <w:tc>
                <w:tcPr>
                  <w:tcW w:w="703" w:type="pct"/>
                  <w:vMerge w:val="continue"/>
                  <w:noWrap w:val="0"/>
                  <w:vAlign w:val="top"/>
                </w:tcPr>
                <w:p>
                  <w:pPr>
                    <w:pStyle w:val="40"/>
                    <w:rPr>
                      <w:rFonts w:hint="eastAsia" w:ascii="宋体" w:hAnsi="宋体" w:eastAsia="宋体"/>
                      <w:color w:val="auto"/>
                      <w:sz w:val="21"/>
                      <w:szCs w:val="21"/>
                      <w:highlight w:val="yellow"/>
                    </w:rPr>
                  </w:pPr>
                </w:p>
              </w:tc>
              <w:tc>
                <w:tcPr>
                  <w:tcW w:w="703" w:type="pct"/>
                  <w:vMerge w:val="continue"/>
                  <w:noWrap w:val="0"/>
                  <w:vAlign w:val="top"/>
                </w:tcPr>
                <w:p>
                  <w:pPr>
                    <w:pStyle w:val="40"/>
                    <w:rPr>
                      <w:rFonts w:hint="eastAsia" w:ascii="宋体" w:hAnsi="宋体" w:eastAsia="宋体"/>
                      <w:color w:val="auto"/>
                      <w:sz w:val="21"/>
                      <w:szCs w:val="21"/>
                      <w:highlight w:val="yellow"/>
                    </w:rPr>
                  </w:pPr>
                </w:p>
              </w:tc>
            </w:tr>
          </w:tbl>
          <w:p>
            <w:pPr>
              <w:adjustRightInd w:val="0"/>
              <w:snapToGrid w:val="0"/>
              <w:spacing w:line="360" w:lineRule="auto"/>
              <w:ind w:firstLine="422" w:firstLineChars="200"/>
              <w:jc w:val="center"/>
              <w:rPr>
                <w:rFonts w:hint="eastAsia" w:ascii="宋体" w:hAnsi="宋体"/>
                <w:b/>
                <w:bCs/>
                <w:szCs w:val="21"/>
                <w:highlight w:val="yellow"/>
                <w:u w:val="single"/>
              </w:rPr>
            </w:pPr>
          </w:p>
          <w:p>
            <w:pPr>
              <w:adjustRightInd w:val="0"/>
              <w:snapToGrid w:val="0"/>
              <w:spacing w:line="360" w:lineRule="auto"/>
              <w:ind w:firstLine="480" w:firstLineChars="200"/>
              <w:rPr>
                <w:sz w:val="24"/>
                <w:highlight w:val="none"/>
              </w:rPr>
            </w:pPr>
            <w:r>
              <w:rPr>
                <w:rFonts w:hint="eastAsia"/>
                <w:sz w:val="24"/>
                <w:highlight w:val="none"/>
              </w:rPr>
              <w:t>由上述表格可以看出，在环保设施失效的情况下，颗粒物有组织排放浓度为</w:t>
            </w:r>
            <w:r>
              <w:rPr>
                <w:rFonts w:hint="eastAsia" w:ascii="Times New Roman" w:hAnsi="Times New Roman" w:eastAsia="宋体" w:cs="Times New Roman"/>
                <w:sz w:val="24"/>
                <w:highlight w:val="none"/>
                <w:lang w:val="en-US" w:eastAsia="zh-CN"/>
              </w:rPr>
              <w:t>9512.39</w:t>
            </w:r>
            <w:r>
              <w:rPr>
                <w:rFonts w:hint="eastAsia"/>
                <w:sz w:val="24"/>
                <w:highlight w:val="none"/>
              </w:rPr>
              <w:t>mg/m</w:t>
            </w:r>
            <w:r>
              <w:rPr>
                <w:rFonts w:hint="eastAsia"/>
                <w:sz w:val="24"/>
                <w:highlight w:val="none"/>
                <w:vertAlign w:val="superscript"/>
              </w:rPr>
              <w:t>3</w:t>
            </w:r>
            <w:r>
              <w:rPr>
                <w:rFonts w:hint="eastAsia"/>
                <w:sz w:val="24"/>
                <w:highlight w:val="none"/>
              </w:rPr>
              <w:t>。因项目非正常工况排放时间较短（最长时间为1h），发现后应立刻停止生产，产生的废气经过扩散、空气稀释等过程后，本项目非正常工况污染物排放对环境的影响可以得到有效控制。 要求企业在日常营运过程中严格操作，尽量将非正常工况发生概率降到最低。</w:t>
            </w:r>
          </w:p>
          <w:p>
            <w:pPr>
              <w:adjustRightInd w:val="0"/>
              <w:snapToGrid w:val="0"/>
              <w:spacing w:line="360" w:lineRule="auto"/>
              <w:ind w:firstLine="480" w:firstLineChars="200"/>
              <w:rPr>
                <w:rFonts w:hint="eastAsia" w:ascii="宋体" w:hAnsi="宋体" w:cs="宋体"/>
                <w:kern w:val="0"/>
                <w:sz w:val="24"/>
                <w:highlight w:val="none"/>
              </w:rPr>
            </w:pPr>
            <w:r>
              <w:rPr>
                <w:rFonts w:hint="eastAsia"/>
                <w:sz w:val="24"/>
                <w:highlight w:val="none"/>
              </w:rPr>
              <w:t>（3）</w:t>
            </w:r>
            <w:r>
              <w:rPr>
                <w:rFonts w:hint="eastAsia" w:ascii="宋体" w:hAnsi="宋体" w:cs="宋体"/>
                <w:kern w:val="0"/>
                <w:sz w:val="24"/>
                <w:highlight w:val="none"/>
              </w:rPr>
              <w:t>达标情况和影响分析</w:t>
            </w:r>
          </w:p>
          <w:p>
            <w:pPr>
              <w:pStyle w:val="84"/>
              <w:ind w:firstLine="482"/>
              <w:rPr>
                <w:rFonts w:cs="Times New Roman"/>
                <w:b/>
                <w:bCs/>
                <w:sz w:val="24"/>
                <w:szCs w:val="24"/>
                <w:highlight w:val="none"/>
              </w:rPr>
            </w:pPr>
            <w:r>
              <w:rPr>
                <w:rFonts w:hint="eastAsia" w:ascii="宋体" w:hAnsi="宋体" w:cs="Times New Roman"/>
                <w:b/>
                <w:bCs/>
                <w:sz w:val="24"/>
                <w:szCs w:val="24"/>
                <w:highlight w:val="none"/>
              </w:rPr>
              <w:t>①</w:t>
            </w:r>
            <w:r>
              <w:rPr>
                <w:rFonts w:cs="Times New Roman"/>
                <w:b/>
                <w:bCs/>
                <w:sz w:val="24"/>
                <w:szCs w:val="24"/>
                <w:highlight w:val="none"/>
              </w:rPr>
              <w:t>废气治理措施及技术可行性</w:t>
            </w:r>
          </w:p>
          <w:p>
            <w:pPr>
              <w:pStyle w:val="84"/>
              <w:ind w:firstLine="480"/>
              <w:rPr>
                <w:rFonts w:cs="Times New Roman"/>
                <w:sz w:val="24"/>
                <w:szCs w:val="24"/>
                <w:highlight w:val="none"/>
              </w:rPr>
            </w:pPr>
            <w:r>
              <w:rPr>
                <w:rFonts w:cs="Times New Roman"/>
                <w:sz w:val="24"/>
                <w:szCs w:val="24"/>
                <w:highlight w:val="none"/>
              </w:rPr>
              <w:t>根据《排污许可证申请与核发技术规范 锅炉》（HJ953-2018）表7，锅炉烟气防治可行性技术详见下表。</w:t>
            </w:r>
          </w:p>
          <w:p>
            <w:pPr>
              <w:pStyle w:val="84"/>
              <w:spacing w:line="240" w:lineRule="auto"/>
              <w:ind w:firstLine="482"/>
              <w:jc w:val="center"/>
              <w:rPr>
                <w:rFonts w:cs="Times New Roman"/>
                <w:b/>
                <w:sz w:val="24"/>
                <w:szCs w:val="24"/>
                <w:highlight w:val="none"/>
              </w:rPr>
            </w:pPr>
            <w:r>
              <w:rPr>
                <w:rFonts w:cs="Times New Roman"/>
                <w:b/>
                <w:sz w:val="24"/>
                <w:szCs w:val="24"/>
                <w:highlight w:val="none"/>
              </w:rPr>
              <w:t>表</w:t>
            </w:r>
            <w:r>
              <w:rPr>
                <w:rFonts w:hint="eastAsia" w:cs="Times New Roman"/>
                <w:b/>
                <w:sz w:val="24"/>
                <w:szCs w:val="24"/>
                <w:highlight w:val="none"/>
              </w:rPr>
              <w:t>4-1</w:t>
            </w:r>
            <w:r>
              <w:rPr>
                <w:rFonts w:hint="eastAsia" w:cs="Times New Roman"/>
                <w:b/>
                <w:sz w:val="24"/>
                <w:szCs w:val="24"/>
                <w:highlight w:val="none"/>
                <w:lang w:val="en-US" w:eastAsia="zh-CN"/>
              </w:rPr>
              <w:t>0</w:t>
            </w:r>
            <w:r>
              <w:rPr>
                <w:rFonts w:cs="Times New Roman"/>
                <w:b/>
                <w:sz w:val="24"/>
                <w:szCs w:val="24"/>
                <w:highlight w:val="none"/>
              </w:rPr>
              <w:t xml:space="preserve">   锅炉烟气污染防治可行技术</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300"/>
              <w:gridCol w:w="3917"/>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2" w:type="pct"/>
                  <w:gridSpan w:val="2"/>
                  <w:noWrap w:val="0"/>
                  <w:vAlign w:val="center"/>
                </w:tcPr>
                <w:p>
                  <w:pPr>
                    <w:pStyle w:val="84"/>
                    <w:spacing w:line="240" w:lineRule="auto"/>
                    <w:ind w:firstLine="0" w:firstLineChars="0"/>
                    <w:jc w:val="center"/>
                    <w:rPr>
                      <w:rFonts w:cs="Times New Roman"/>
                      <w:highlight w:val="none"/>
                    </w:rPr>
                  </w:pPr>
                  <w:r>
                    <w:rPr>
                      <w:rFonts w:cs="Times New Roman"/>
                      <w:highlight w:val="none"/>
                    </w:rPr>
                    <w:t>燃料类型</w:t>
                  </w:r>
                </w:p>
              </w:tc>
              <w:tc>
                <w:tcPr>
                  <w:tcW w:w="2398" w:type="pct"/>
                  <w:noWrap w:val="0"/>
                  <w:vAlign w:val="center"/>
                </w:tcPr>
                <w:p>
                  <w:pPr>
                    <w:pStyle w:val="84"/>
                    <w:spacing w:line="240" w:lineRule="auto"/>
                    <w:ind w:firstLine="0" w:firstLineChars="0"/>
                    <w:jc w:val="center"/>
                    <w:rPr>
                      <w:rFonts w:cs="Times New Roman"/>
                      <w:highlight w:val="none"/>
                    </w:rPr>
                  </w:pPr>
                  <w:r>
                    <w:rPr>
                      <w:rFonts w:cs="Times New Roman"/>
                      <w:highlight w:val="none"/>
                    </w:rPr>
                    <w:t>燃煤</w:t>
                  </w:r>
                </w:p>
              </w:tc>
              <w:tc>
                <w:tcPr>
                  <w:tcW w:w="1199" w:type="pct"/>
                  <w:noWrap w:val="0"/>
                  <w:vAlign w:val="center"/>
                </w:tcPr>
                <w:p>
                  <w:pPr>
                    <w:pStyle w:val="84"/>
                    <w:spacing w:line="240" w:lineRule="auto"/>
                    <w:ind w:firstLine="0" w:firstLineChars="0"/>
                    <w:jc w:val="center"/>
                    <w:rPr>
                      <w:rFonts w:cs="Times New Roman"/>
                      <w:highlight w:val="none"/>
                    </w:rPr>
                  </w:pPr>
                  <w:r>
                    <w:rPr>
                      <w:rFonts w:cs="Times New Roman"/>
                      <w:highlight w:val="none"/>
                    </w:rPr>
                    <w:t>生物质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2" w:type="pct"/>
                  <w:gridSpan w:val="2"/>
                  <w:noWrap w:val="0"/>
                  <w:vAlign w:val="center"/>
                </w:tcPr>
                <w:p>
                  <w:pPr>
                    <w:pStyle w:val="84"/>
                    <w:spacing w:line="240" w:lineRule="auto"/>
                    <w:ind w:firstLine="0" w:firstLineChars="0"/>
                    <w:jc w:val="center"/>
                    <w:rPr>
                      <w:rFonts w:cs="Times New Roman"/>
                      <w:highlight w:val="none"/>
                    </w:rPr>
                  </w:pPr>
                  <w:r>
                    <w:rPr>
                      <w:rFonts w:cs="Times New Roman"/>
                      <w:highlight w:val="none"/>
                    </w:rPr>
                    <w:t>炉型</w:t>
                  </w:r>
                </w:p>
              </w:tc>
              <w:tc>
                <w:tcPr>
                  <w:tcW w:w="2398" w:type="pct"/>
                  <w:noWrap w:val="0"/>
                  <w:vAlign w:val="center"/>
                </w:tcPr>
                <w:p>
                  <w:pPr>
                    <w:pStyle w:val="84"/>
                    <w:spacing w:line="240" w:lineRule="auto"/>
                    <w:ind w:firstLine="0" w:firstLineChars="0"/>
                    <w:jc w:val="center"/>
                    <w:rPr>
                      <w:rFonts w:cs="Times New Roman"/>
                      <w:highlight w:val="none"/>
                    </w:rPr>
                  </w:pPr>
                  <w:r>
                    <w:rPr>
                      <w:rFonts w:cs="Times New Roman"/>
                      <w:highlight w:val="none"/>
                    </w:rPr>
                    <w:t>层燃炉、流化床炉、室燃炉</w:t>
                  </w:r>
                </w:p>
              </w:tc>
              <w:tc>
                <w:tcPr>
                  <w:tcW w:w="1199" w:type="pct"/>
                  <w:noWrap w:val="0"/>
                  <w:vAlign w:val="center"/>
                </w:tcPr>
                <w:p>
                  <w:pPr>
                    <w:pStyle w:val="84"/>
                    <w:spacing w:line="240" w:lineRule="auto"/>
                    <w:ind w:firstLine="0" w:firstLineChars="0"/>
                    <w:jc w:val="center"/>
                    <w:rPr>
                      <w:rFonts w:cs="Times New Roman"/>
                      <w:highlight w:val="none"/>
                    </w:rPr>
                  </w:pPr>
                  <w:r>
                    <w:rPr>
                      <w:rFonts w:cs="Times New Roman"/>
                      <w:highlight w:val="none"/>
                    </w:rPr>
                    <w:t>层燃炉、流化床炉、室燃炉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restart"/>
                  <w:noWrap w:val="0"/>
                  <w:vAlign w:val="center"/>
                </w:tcPr>
                <w:p>
                  <w:pPr>
                    <w:pStyle w:val="84"/>
                    <w:spacing w:line="240" w:lineRule="auto"/>
                    <w:ind w:firstLine="0" w:firstLineChars="0"/>
                    <w:jc w:val="center"/>
                    <w:rPr>
                      <w:rFonts w:cs="Times New Roman"/>
                      <w:highlight w:val="none"/>
                    </w:rPr>
                  </w:pPr>
                  <w:r>
                    <w:rPr>
                      <w:rFonts w:cs="Times New Roman"/>
                      <w:highlight w:val="none"/>
                    </w:rPr>
                    <w:t>二氧化硫</w:t>
                  </w: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一般地区</w:t>
                  </w:r>
                </w:p>
              </w:tc>
              <w:tc>
                <w:tcPr>
                  <w:tcW w:w="2398" w:type="pct"/>
                  <w:noWrap w:val="0"/>
                  <w:vAlign w:val="center"/>
                </w:tcPr>
                <w:p>
                  <w:pPr>
                    <w:pStyle w:val="84"/>
                    <w:spacing w:line="240" w:lineRule="auto"/>
                    <w:ind w:firstLine="0" w:firstLineChars="0"/>
                    <w:jc w:val="center"/>
                    <w:rPr>
                      <w:rFonts w:cs="Times New Roman"/>
                      <w:highlight w:val="none"/>
                    </w:rPr>
                  </w:pPr>
                  <w:r>
                    <w:rPr>
                      <w:rFonts w:cs="Times New Roman"/>
                      <w:highlight w:val="none"/>
                    </w:rPr>
                    <w:t>燃用低硫煤、干法/半干法脱硫技术、湿法脱硫技术</w:t>
                  </w:r>
                </w:p>
              </w:tc>
              <w:tc>
                <w:tcPr>
                  <w:tcW w:w="1199" w:type="pct"/>
                  <w:noWrap w:val="0"/>
                  <w:vAlign w:val="center"/>
                </w:tcPr>
                <w:p>
                  <w:pPr>
                    <w:pStyle w:val="84"/>
                    <w:spacing w:line="240" w:lineRule="auto"/>
                    <w:ind w:firstLine="0" w:firstLineChars="0"/>
                    <w:jc w:val="center"/>
                    <w:rPr>
                      <w:rFonts w:cs="Times New Roman"/>
                      <w:highlight w:val="none"/>
                    </w:rPr>
                  </w:pPr>
                  <w:r>
                    <w:rPr>
                      <w:rFonts w:cs="Times New Roman"/>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continue"/>
                  <w:noWrap w:val="0"/>
                  <w:vAlign w:val="center"/>
                </w:tcPr>
                <w:p>
                  <w:pPr>
                    <w:pStyle w:val="84"/>
                    <w:spacing w:line="240" w:lineRule="auto"/>
                    <w:ind w:firstLine="0" w:firstLineChars="0"/>
                    <w:jc w:val="center"/>
                    <w:rPr>
                      <w:rFonts w:cs="Times New Roman"/>
                      <w:highlight w:val="none"/>
                    </w:rPr>
                  </w:pP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重点地区</w:t>
                  </w:r>
                </w:p>
              </w:tc>
              <w:tc>
                <w:tcPr>
                  <w:tcW w:w="2398" w:type="pct"/>
                  <w:noWrap w:val="0"/>
                  <w:vAlign w:val="center"/>
                </w:tcPr>
                <w:p>
                  <w:pPr>
                    <w:pStyle w:val="84"/>
                    <w:spacing w:line="240" w:lineRule="auto"/>
                    <w:ind w:firstLine="0" w:firstLineChars="0"/>
                    <w:jc w:val="center"/>
                    <w:rPr>
                      <w:rFonts w:cs="Times New Roman"/>
                      <w:highlight w:val="none"/>
                    </w:rPr>
                  </w:pPr>
                  <w:r>
                    <w:rPr>
                      <w:rFonts w:cs="Times New Roman"/>
                      <w:highlight w:val="none"/>
                    </w:rPr>
                    <w:t>燃用低硫煤+干法/半干法脱硫技术、燃用低硫煤+湿法脱硫技术</w:t>
                  </w:r>
                </w:p>
              </w:tc>
              <w:tc>
                <w:tcPr>
                  <w:tcW w:w="1199" w:type="pct"/>
                  <w:noWrap w:val="0"/>
                  <w:vAlign w:val="center"/>
                </w:tcPr>
                <w:p>
                  <w:pPr>
                    <w:pStyle w:val="84"/>
                    <w:spacing w:line="240" w:lineRule="auto"/>
                    <w:ind w:firstLine="0" w:firstLineChars="0"/>
                    <w:jc w:val="center"/>
                    <w:rPr>
                      <w:rFonts w:cs="Times New Roman"/>
                      <w:highlight w:val="none"/>
                    </w:rPr>
                  </w:pPr>
                  <w:r>
                    <w:rPr>
                      <w:rFonts w:cs="Times New Roman"/>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restart"/>
                  <w:noWrap w:val="0"/>
                  <w:vAlign w:val="center"/>
                </w:tcPr>
                <w:p>
                  <w:pPr>
                    <w:pStyle w:val="84"/>
                    <w:spacing w:line="240" w:lineRule="auto"/>
                    <w:ind w:firstLine="0" w:firstLineChars="0"/>
                    <w:jc w:val="center"/>
                    <w:rPr>
                      <w:rFonts w:cs="Times New Roman"/>
                      <w:highlight w:val="none"/>
                    </w:rPr>
                  </w:pPr>
                  <w:r>
                    <w:rPr>
                      <w:rFonts w:cs="Times New Roman"/>
                      <w:highlight w:val="none"/>
                    </w:rPr>
                    <w:t>氮氧化物</w:t>
                  </w: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一般地区</w:t>
                  </w:r>
                </w:p>
              </w:tc>
              <w:tc>
                <w:tcPr>
                  <w:tcW w:w="3597" w:type="pct"/>
                  <w:gridSpan w:val="2"/>
                  <w:noWrap w:val="0"/>
                  <w:vAlign w:val="center"/>
                </w:tcPr>
                <w:p>
                  <w:pPr>
                    <w:pStyle w:val="84"/>
                    <w:spacing w:line="240" w:lineRule="auto"/>
                    <w:ind w:firstLine="0" w:firstLineChars="0"/>
                    <w:jc w:val="center"/>
                    <w:rPr>
                      <w:rFonts w:cs="Times New Roman"/>
                      <w:highlight w:val="none"/>
                    </w:rPr>
                  </w:pPr>
                  <w:r>
                    <w:rPr>
                      <w:rFonts w:cs="Times New Roman"/>
                      <w:highlight w:val="none"/>
                    </w:rPr>
                    <w:t>低氮燃烧技术、低氮燃烧+SNCR脱硝技术、低氮燃烧+SCR脱硝技术、低氮燃烧+（SNCR-SCR联合）脱硝技术、SNCR脱硝技术、SCR脱硝技术、SNCR-SCR联合脱硝技术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continue"/>
                  <w:noWrap w:val="0"/>
                  <w:vAlign w:val="center"/>
                </w:tcPr>
                <w:p>
                  <w:pPr>
                    <w:pStyle w:val="84"/>
                    <w:spacing w:line="240" w:lineRule="auto"/>
                    <w:ind w:firstLine="0" w:firstLineChars="0"/>
                    <w:jc w:val="center"/>
                    <w:rPr>
                      <w:rFonts w:cs="Times New Roman"/>
                      <w:highlight w:val="none"/>
                    </w:rPr>
                  </w:pP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重点地区</w:t>
                  </w:r>
                </w:p>
              </w:tc>
              <w:tc>
                <w:tcPr>
                  <w:tcW w:w="3597" w:type="pct"/>
                  <w:gridSpan w:val="2"/>
                  <w:noWrap w:val="0"/>
                  <w:vAlign w:val="center"/>
                </w:tcPr>
                <w:p>
                  <w:pPr>
                    <w:pStyle w:val="84"/>
                    <w:spacing w:line="240" w:lineRule="auto"/>
                    <w:ind w:firstLine="0" w:firstLineChars="0"/>
                    <w:jc w:val="center"/>
                    <w:rPr>
                      <w:rFonts w:cs="Times New Roman"/>
                      <w:highlight w:val="none"/>
                    </w:rPr>
                  </w:pPr>
                  <w:r>
                    <w:rPr>
                      <w:rFonts w:cs="Times New Roman"/>
                      <w:highlight w:val="none"/>
                    </w:rPr>
                    <w:t>低氮燃烧+SNCR脱硝技术、低氮燃烧+SCR脱硝技术、低氮燃烧+（SNCR-SCR联合）脱硝技术、SNCR脱硝技术、SCR脱硝技术、SNCR-SCR联合脱硝技术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restart"/>
                  <w:noWrap w:val="0"/>
                  <w:vAlign w:val="center"/>
                </w:tcPr>
                <w:p>
                  <w:pPr>
                    <w:pStyle w:val="84"/>
                    <w:spacing w:line="240" w:lineRule="auto"/>
                    <w:ind w:firstLine="0" w:firstLineChars="0"/>
                    <w:jc w:val="center"/>
                    <w:rPr>
                      <w:rFonts w:cs="Times New Roman"/>
                      <w:highlight w:val="none"/>
                    </w:rPr>
                  </w:pPr>
                  <w:r>
                    <w:rPr>
                      <w:rFonts w:cs="Times New Roman"/>
                      <w:highlight w:val="none"/>
                    </w:rPr>
                    <w:t>颗粒物</w:t>
                  </w: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一般地区</w:t>
                  </w:r>
                </w:p>
              </w:tc>
              <w:tc>
                <w:tcPr>
                  <w:tcW w:w="2398" w:type="pct"/>
                  <w:vMerge w:val="restart"/>
                  <w:noWrap w:val="0"/>
                  <w:vAlign w:val="center"/>
                </w:tcPr>
                <w:p>
                  <w:pPr>
                    <w:pStyle w:val="84"/>
                    <w:spacing w:line="240" w:lineRule="auto"/>
                    <w:ind w:firstLine="0" w:firstLineChars="0"/>
                    <w:jc w:val="center"/>
                    <w:rPr>
                      <w:rFonts w:cs="Times New Roman"/>
                      <w:highlight w:val="none"/>
                    </w:rPr>
                  </w:pPr>
                  <w:r>
                    <w:rPr>
                      <w:rFonts w:cs="Times New Roman"/>
                      <w:highlight w:val="none"/>
                    </w:rPr>
                    <w:t>袋式除尘技术、电除尘技术、电袋复合除尘技术、湿式电除尘技术</w:t>
                  </w:r>
                </w:p>
              </w:tc>
              <w:tc>
                <w:tcPr>
                  <w:tcW w:w="1199" w:type="pct"/>
                  <w:vMerge w:val="restart"/>
                  <w:noWrap w:val="0"/>
                  <w:vAlign w:val="center"/>
                </w:tcPr>
                <w:p>
                  <w:pPr>
                    <w:pStyle w:val="84"/>
                    <w:spacing w:line="240" w:lineRule="auto"/>
                    <w:ind w:firstLine="0" w:firstLineChars="0"/>
                    <w:jc w:val="center"/>
                    <w:rPr>
                      <w:rFonts w:cs="Times New Roman"/>
                      <w:highlight w:val="none"/>
                    </w:rPr>
                  </w:pPr>
                  <w:r>
                    <w:rPr>
                      <w:rFonts w:cs="Times New Roman"/>
                      <w:highlight w:val="none"/>
                    </w:rPr>
                    <w:t>旋风除尘和袋式除尘组合技术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6" w:type="pct"/>
                  <w:vMerge w:val="continue"/>
                  <w:noWrap w:val="0"/>
                  <w:vAlign w:val="center"/>
                </w:tcPr>
                <w:p>
                  <w:pPr>
                    <w:pStyle w:val="84"/>
                    <w:spacing w:line="240" w:lineRule="auto"/>
                    <w:ind w:firstLine="0" w:firstLineChars="0"/>
                    <w:jc w:val="center"/>
                    <w:rPr>
                      <w:rFonts w:cs="Times New Roman"/>
                      <w:highlight w:val="yellow"/>
                    </w:rPr>
                  </w:pPr>
                </w:p>
              </w:tc>
              <w:tc>
                <w:tcPr>
                  <w:tcW w:w="796" w:type="pct"/>
                  <w:noWrap w:val="0"/>
                  <w:vAlign w:val="center"/>
                </w:tcPr>
                <w:p>
                  <w:pPr>
                    <w:pStyle w:val="84"/>
                    <w:spacing w:line="240" w:lineRule="auto"/>
                    <w:ind w:firstLine="0" w:firstLineChars="0"/>
                    <w:jc w:val="center"/>
                    <w:rPr>
                      <w:rFonts w:cs="Times New Roman"/>
                      <w:highlight w:val="none"/>
                    </w:rPr>
                  </w:pPr>
                  <w:r>
                    <w:rPr>
                      <w:rFonts w:cs="Times New Roman"/>
                      <w:highlight w:val="none"/>
                    </w:rPr>
                    <w:t>重点地区</w:t>
                  </w:r>
                </w:p>
              </w:tc>
              <w:tc>
                <w:tcPr>
                  <w:tcW w:w="2398" w:type="pct"/>
                  <w:vMerge w:val="continue"/>
                  <w:noWrap w:val="0"/>
                  <w:vAlign w:val="center"/>
                </w:tcPr>
                <w:p>
                  <w:pPr>
                    <w:pStyle w:val="84"/>
                    <w:spacing w:line="240" w:lineRule="auto"/>
                    <w:ind w:firstLine="0" w:firstLineChars="0"/>
                    <w:jc w:val="center"/>
                    <w:rPr>
                      <w:rFonts w:cs="Times New Roman"/>
                      <w:highlight w:val="none"/>
                    </w:rPr>
                  </w:pPr>
                </w:p>
              </w:tc>
              <w:tc>
                <w:tcPr>
                  <w:tcW w:w="1199" w:type="pct"/>
                  <w:vMerge w:val="continue"/>
                  <w:noWrap w:val="0"/>
                  <w:vAlign w:val="center"/>
                </w:tcPr>
                <w:p>
                  <w:pPr>
                    <w:pStyle w:val="84"/>
                    <w:spacing w:line="240" w:lineRule="auto"/>
                    <w:ind w:firstLine="0" w:firstLineChars="0"/>
                    <w:jc w:val="center"/>
                    <w:rPr>
                      <w:rFonts w:cs="Times New Roman"/>
                      <w:highlight w:val="yellow"/>
                    </w:rPr>
                  </w:pPr>
                </w:p>
              </w:tc>
            </w:tr>
          </w:tbl>
          <w:p>
            <w:pPr>
              <w:pStyle w:val="84"/>
              <w:ind w:firstLine="480"/>
              <w:rPr>
                <w:rFonts w:cs="Times New Roman"/>
                <w:sz w:val="24"/>
                <w:szCs w:val="24"/>
                <w:highlight w:val="yellow"/>
              </w:rPr>
            </w:pPr>
          </w:p>
          <w:p>
            <w:pPr>
              <w:adjustRightInd w:val="0"/>
              <w:snapToGrid w:val="0"/>
              <w:spacing w:line="360" w:lineRule="auto"/>
              <w:ind w:firstLine="420"/>
              <w:rPr>
                <w:sz w:val="24"/>
                <w:highlight w:val="none"/>
              </w:rPr>
            </w:pPr>
            <w:r>
              <w:rPr>
                <w:sz w:val="24"/>
                <w:highlight w:val="none"/>
              </w:rPr>
              <w:t>生物质锅炉采用低氮燃烧技术，烟气中颗粒物采用布袋除尘器，以上技术均为《排污许可证申请与核发技术规范 锅炉》（HJ953-2018）表7中推荐的可行技术，项目采用的技术可行。</w:t>
            </w:r>
          </w:p>
          <w:p>
            <w:pPr>
              <w:adjustRightInd w:val="0"/>
              <w:snapToGrid w:val="0"/>
              <w:spacing w:line="360" w:lineRule="auto"/>
              <w:ind w:firstLine="420"/>
              <w:rPr>
                <w:sz w:val="24"/>
                <w:highlight w:val="none"/>
              </w:rPr>
            </w:pPr>
            <w:r>
              <w:rPr>
                <w:sz w:val="24"/>
                <w:highlight w:val="none"/>
              </w:rPr>
              <w:t>（1）低氮燃烧技术</w:t>
            </w:r>
          </w:p>
          <w:p>
            <w:pPr>
              <w:widowControl/>
              <w:shd w:val="clear" w:color="auto" w:fill="FFFFFF"/>
              <w:adjustRightInd w:val="0"/>
              <w:snapToGrid w:val="0"/>
              <w:spacing w:line="360" w:lineRule="auto"/>
              <w:ind w:firstLine="480"/>
              <w:jc w:val="left"/>
              <w:rPr>
                <w:kern w:val="0"/>
                <w:sz w:val="24"/>
                <w:highlight w:val="none"/>
              </w:rPr>
            </w:pPr>
            <w:r>
              <w:rPr>
                <w:sz w:val="24"/>
                <w:highlight w:val="none"/>
              </w:rPr>
              <w:t>本项目采用低NOx预燃室燃烧器，</w:t>
            </w:r>
            <w:r>
              <w:rPr>
                <w:kern w:val="0"/>
                <w:sz w:val="24"/>
                <w:highlight w:val="none"/>
              </w:rPr>
              <w:t>预燃室是近10年来我国开发研究的一种高效率、低NOx分级燃烧技术，预燃室一般由一次风（或二次风）和燃料喷射系统等组成，燃料和一次风快速混合，在预燃室内一次燃烧区形成富燃料混合物，由于缺氧，只是部分燃料进行燃烧，燃料在贫氧和火焰温度较低的一次火焰区内析出挥发分，因此减少了NOx的生成。根据</w:t>
            </w:r>
            <w:r>
              <w:rPr>
                <w:sz w:val="24"/>
                <w:highlight w:val="none"/>
              </w:rPr>
              <w:t>生态环境部关于发布《排放源统计调查产排污核算方法和系数手册》的公告（公告2021年第24号），</w:t>
            </w:r>
            <w:r>
              <w:rPr>
                <w:kern w:val="0"/>
                <w:sz w:val="24"/>
                <w:highlight w:val="none"/>
              </w:rPr>
              <w:t>《锅炉产排污量核算系数手册》中4430工业锅炉（热力生产和供应行业）产污系数表-生物质工业锅炉中规定，低氮燃烧去除效率为30%，故本项目低氮燃烧效率按照30%计取，该技术为</w:t>
            </w:r>
            <w:r>
              <w:rPr>
                <w:sz w:val="24"/>
                <w:highlight w:val="none"/>
              </w:rPr>
              <w:t>《排污许可证申请与核发技术规范 锅炉》（HJ953-2018）表7中推荐的可行技术。</w:t>
            </w:r>
          </w:p>
          <w:p>
            <w:pPr>
              <w:adjustRightInd w:val="0"/>
              <w:snapToGrid w:val="0"/>
              <w:spacing w:line="360" w:lineRule="auto"/>
              <w:ind w:firstLine="420"/>
              <w:rPr>
                <w:sz w:val="24"/>
                <w:highlight w:val="none"/>
              </w:rPr>
            </w:pPr>
            <w:r>
              <w:rPr>
                <w:sz w:val="24"/>
                <w:highlight w:val="none"/>
              </w:rPr>
              <w:t>（2）布袋除尘器</w:t>
            </w:r>
          </w:p>
          <w:p>
            <w:pPr>
              <w:adjustRightInd w:val="0"/>
              <w:snapToGrid w:val="0"/>
              <w:spacing w:line="360" w:lineRule="auto"/>
              <w:ind w:firstLine="560"/>
              <w:rPr>
                <w:sz w:val="24"/>
                <w:highlight w:val="none"/>
              </w:rPr>
            </w:pPr>
            <w:r>
              <w:rPr>
                <w:sz w:val="24"/>
                <w:highlight w:val="none"/>
              </w:rPr>
              <w:t>布袋除尘器是在进口处设置初沉室，一方面可以使大颗粒物料直接降入灰斗，减小了对滤袋的直接冲刷，另一方面也减小了滤袋负荷，降低滤袋单位时间内的阻力；进出口加大，使其局部阻力系统减小，降低了除尘器的阻力；单室进出口设置门，在不停机情况下进行检修，用于锅炉时，可设置内部旁通阀及预唤除设施，确保非常情况下保护滤袋。</w:t>
            </w:r>
          </w:p>
          <w:p>
            <w:pPr>
              <w:adjustRightInd w:val="0"/>
              <w:snapToGrid w:val="0"/>
              <w:spacing w:line="360" w:lineRule="auto"/>
              <w:ind w:firstLine="560"/>
              <w:rPr>
                <w:sz w:val="24"/>
                <w:highlight w:val="none"/>
              </w:rPr>
            </w:pPr>
            <w:r>
              <w:rPr>
                <w:sz w:val="24"/>
                <w:highlight w:val="none"/>
              </w:rPr>
              <w:t>布袋除尘器工作原理：</w:t>
            </w:r>
          </w:p>
          <w:p>
            <w:pPr>
              <w:adjustRightInd w:val="0"/>
              <w:snapToGrid w:val="0"/>
              <w:spacing w:line="360" w:lineRule="auto"/>
              <w:ind w:firstLine="560"/>
              <w:rPr>
                <w:sz w:val="24"/>
                <w:highlight w:val="none"/>
              </w:rPr>
            </w:pPr>
            <w:r>
              <w:rPr>
                <w:sz w:val="24"/>
                <w:highlight w:val="none"/>
              </w:rPr>
              <w:t>含尘气流通过风道进入除尘器，通过过滤材料，滤去气体中的尘粒，达到净化气体的目的。净化后的气体进入除尘器的上箱，再通过出风口排出去。当过滤室阻力达到一定的压力值时，自控系统将发出指令将该室的排风切换关闭，压缩空气通过脉冲对滤袋进行反吹，使滤袋上的集灰层浮动，疏松，膨胀达到流态化，最后被清离滤袋表面而落入灰斗。每个室清灰后排风切换阀自开启，该室重新进入工作状态。</w:t>
            </w:r>
          </w:p>
          <w:p>
            <w:pPr>
              <w:adjustRightInd w:val="0"/>
              <w:snapToGrid w:val="0"/>
              <w:spacing w:line="360" w:lineRule="auto"/>
              <w:ind w:firstLine="420"/>
              <w:rPr>
                <w:sz w:val="24"/>
                <w:highlight w:val="none"/>
              </w:rPr>
            </w:pPr>
            <w:r>
              <w:rPr>
                <w:sz w:val="24"/>
                <w:highlight w:val="none"/>
              </w:rPr>
              <w:t>布袋除尘技术为《排污许可证申请与核发技术规范 锅炉》（HJ953-2018）表7中推荐的可行技术。</w:t>
            </w:r>
          </w:p>
          <w:p>
            <w:pPr>
              <w:pStyle w:val="84"/>
              <w:ind w:firstLine="482"/>
              <w:rPr>
                <w:rFonts w:cs="Times New Roman"/>
                <w:b/>
                <w:bCs/>
                <w:sz w:val="24"/>
                <w:szCs w:val="24"/>
                <w:highlight w:val="none"/>
              </w:rPr>
            </w:pPr>
            <w:r>
              <w:rPr>
                <w:rFonts w:hint="eastAsia" w:ascii="宋体" w:hAnsi="宋体" w:cs="Times New Roman"/>
                <w:b/>
                <w:bCs/>
                <w:sz w:val="24"/>
                <w:szCs w:val="24"/>
                <w:highlight w:val="none"/>
              </w:rPr>
              <w:t>②</w:t>
            </w:r>
            <w:r>
              <w:rPr>
                <w:rFonts w:cs="Times New Roman"/>
                <w:b/>
                <w:bCs/>
                <w:sz w:val="24"/>
                <w:szCs w:val="24"/>
                <w:highlight w:val="none"/>
              </w:rPr>
              <w:t>环境影响分析</w:t>
            </w:r>
          </w:p>
          <w:p>
            <w:pPr>
              <w:pStyle w:val="84"/>
              <w:ind w:firstLine="480"/>
              <w:rPr>
                <w:rFonts w:cs="Times New Roman"/>
                <w:sz w:val="24"/>
                <w:szCs w:val="24"/>
                <w:highlight w:val="yellow"/>
              </w:rPr>
            </w:pPr>
            <w:r>
              <w:rPr>
                <w:rFonts w:hint="eastAsia"/>
                <w:sz w:val="24"/>
                <w:highlight w:val="none"/>
              </w:rPr>
              <w:t>根据</w:t>
            </w:r>
            <w:r>
              <w:rPr>
                <w:rFonts w:hint="eastAsia" w:ascii="宋体" w:hAnsi="宋体"/>
                <w:sz w:val="24"/>
                <w:highlight w:val="none"/>
              </w:rPr>
              <w:t>“</w:t>
            </w:r>
            <w:r>
              <w:rPr>
                <w:rFonts w:hint="default" w:ascii="Times New Roman" w:hAnsi="Times New Roman" w:eastAsia="宋体" w:cs="Times New Roman"/>
                <w:i w:val="0"/>
                <w:iCs w:val="0"/>
                <w:color w:val="auto"/>
                <w:sz w:val="24"/>
                <w:highlight w:val="none"/>
                <w:u w:val="none" w:color="auto"/>
              </w:rPr>
              <w:t>《</w:t>
            </w:r>
            <w:r>
              <w:rPr>
                <w:kern w:val="0"/>
                <w:sz w:val="24"/>
                <w:highlight w:val="none"/>
              </w:rPr>
              <w:t>2022年</w:t>
            </w:r>
            <w:r>
              <w:rPr>
                <w:rFonts w:hint="eastAsia"/>
                <w:kern w:val="0"/>
                <w:sz w:val="24"/>
                <w:highlight w:val="none"/>
              </w:rPr>
              <w:t>吉林省生态环境状况公报</w:t>
            </w:r>
            <w:r>
              <w:rPr>
                <w:rFonts w:hint="default" w:ascii="Times New Roman" w:hAnsi="Times New Roman" w:eastAsia="宋体" w:cs="Times New Roman"/>
                <w:i w:val="0"/>
                <w:iCs w:val="0"/>
                <w:color w:val="auto"/>
                <w:sz w:val="24"/>
                <w:highlight w:val="none"/>
                <w:u w:val="none" w:color="auto"/>
              </w:rPr>
              <w:t>》</w:t>
            </w:r>
            <w:r>
              <w:rPr>
                <w:rFonts w:hint="eastAsia" w:ascii="宋体" w:hAnsi="宋体"/>
                <w:sz w:val="24"/>
                <w:highlight w:val="none"/>
              </w:rPr>
              <w:t>”及特征污染物</w:t>
            </w:r>
            <w:r>
              <w:rPr>
                <w:rFonts w:hint="eastAsia" w:ascii="宋体" w:hAnsi="宋体"/>
                <w:bCs/>
                <w:sz w:val="24"/>
                <w:highlight w:val="none"/>
              </w:rPr>
              <w:t>环境质量</w:t>
            </w:r>
            <w:r>
              <w:rPr>
                <w:rFonts w:hint="eastAsia" w:ascii="宋体" w:hAnsi="宋体"/>
                <w:sz w:val="24"/>
                <w:highlight w:val="none"/>
              </w:rPr>
              <w:t>监测，本项目所在</w:t>
            </w:r>
            <w:r>
              <w:rPr>
                <w:rFonts w:hint="eastAsia" w:ascii="宋体" w:hAnsi="宋体"/>
                <w:bCs/>
                <w:sz w:val="24"/>
                <w:highlight w:val="none"/>
              </w:rPr>
              <w:t>区域内各项污染物监测值均满足《环境空气质量标准》（GB3095-2012）二级标准要求，环境空气质量良好；</w:t>
            </w:r>
            <w:r>
              <w:rPr>
                <w:rFonts w:hint="eastAsia" w:ascii="宋体" w:hAnsi="宋体" w:cs="宋体"/>
                <w:sz w:val="24"/>
                <w:highlight w:val="none"/>
                <w:u w:val="none"/>
                <w:lang w:val="en-US" w:eastAsia="zh-CN"/>
              </w:rPr>
              <w:t>本项目四周均为</w:t>
            </w:r>
            <w:r>
              <w:rPr>
                <w:rFonts w:hint="eastAsia" w:ascii="宋体" w:hAnsi="宋体" w:cs="宋体"/>
                <w:sz w:val="24"/>
                <w:highlight w:val="none"/>
                <w:lang w:val="en-US" w:eastAsia="zh-CN"/>
              </w:rPr>
              <w:t>制</w:t>
            </w:r>
            <w:r>
              <w:rPr>
                <w:rFonts w:hint="eastAsia" w:ascii="宋体" w:hAnsi="宋体" w:cs="宋体"/>
                <w:sz w:val="24"/>
                <w:highlight w:val="none"/>
                <w:u w:val="none"/>
                <w:lang w:val="en-US" w:eastAsia="zh-CN"/>
              </w:rPr>
              <w:t>梁场场地</w:t>
            </w:r>
            <w:r>
              <w:rPr>
                <w:rFonts w:hint="eastAsia" w:ascii="宋体" w:hAnsi="宋体"/>
                <w:sz w:val="24"/>
                <w:highlight w:val="none"/>
                <w:u w:val="none"/>
              </w:rPr>
              <w:t>，距离本项目最近的敏感点为北侧</w:t>
            </w:r>
            <w:r>
              <w:rPr>
                <w:rFonts w:hint="eastAsia" w:ascii="宋体" w:hAnsi="宋体"/>
                <w:sz w:val="24"/>
                <w:highlight w:val="none"/>
                <w:u w:val="none"/>
                <w:lang w:val="en-US" w:eastAsia="zh-CN"/>
              </w:rPr>
              <w:t>612</w:t>
            </w:r>
            <w:r>
              <w:rPr>
                <w:rFonts w:hint="eastAsia" w:ascii="宋体" w:hAnsi="宋体"/>
                <w:sz w:val="24"/>
                <w:highlight w:val="none"/>
                <w:u w:val="none"/>
              </w:rPr>
              <w:t>m处</w:t>
            </w:r>
            <w:r>
              <w:rPr>
                <w:rFonts w:hint="eastAsia" w:ascii="宋体" w:hAnsi="宋体"/>
                <w:sz w:val="24"/>
                <w:highlight w:val="none"/>
                <w:u w:val="none"/>
                <w:lang w:val="en-US" w:eastAsia="zh-CN"/>
              </w:rPr>
              <w:t>荣华村居民</w:t>
            </w:r>
            <w:r>
              <w:rPr>
                <w:rFonts w:hint="eastAsia" w:ascii="宋体" w:hAnsi="宋体"/>
                <w:bCs/>
                <w:sz w:val="24"/>
                <w:highlight w:val="none"/>
                <w:lang w:eastAsia="zh-CN"/>
              </w:rPr>
              <w:t>。</w:t>
            </w:r>
            <w:r>
              <w:rPr>
                <w:rFonts w:hint="eastAsia"/>
                <w:sz w:val="24"/>
                <w:highlight w:val="none"/>
              </w:rPr>
              <w:t>通过源强核算可知，锅炉废气满足《锅炉大气污染物排放标准》（GB 13271-2014）中的表2详见燃煤锅炉的标准</w:t>
            </w:r>
            <w:r>
              <w:rPr>
                <w:rFonts w:cs="Times New Roman"/>
                <w:sz w:val="24"/>
                <w:szCs w:val="24"/>
                <w:highlight w:val="none"/>
              </w:rPr>
              <w:t>，锅炉烟气经处理后达标排放，因此本项目锅炉烟气对周围环境影响不大。</w:t>
            </w:r>
          </w:p>
          <w:p>
            <w:pPr>
              <w:adjustRightInd w:val="0"/>
              <w:snapToGrid w:val="0"/>
              <w:spacing w:line="360" w:lineRule="auto"/>
              <w:ind w:firstLine="480" w:firstLineChars="200"/>
              <w:rPr>
                <w:rFonts w:hint="eastAsia"/>
                <w:sz w:val="24"/>
                <w:highlight w:val="none"/>
              </w:rPr>
            </w:pPr>
            <w:r>
              <w:rPr>
                <w:rFonts w:hint="eastAsia"/>
                <w:sz w:val="24"/>
                <w:highlight w:val="none"/>
              </w:rPr>
              <w:t>综上所诉，本项目对周围环境空气影响较小。</w:t>
            </w:r>
          </w:p>
          <w:p>
            <w:pPr>
              <w:pStyle w:val="22"/>
              <w:rPr>
                <w:rFonts w:hint="eastAsia"/>
                <w:highlight w:val="yellow"/>
                <w:u w:val="single"/>
              </w:rPr>
            </w:pPr>
          </w:p>
          <w:p>
            <w:pPr>
              <w:adjustRightInd w:val="0"/>
              <w:snapToGrid w:val="0"/>
              <w:spacing w:line="360" w:lineRule="auto"/>
              <w:ind w:firstLine="482" w:firstLineChars="200"/>
              <w:rPr>
                <w:rFonts w:hint="eastAsia" w:ascii="宋体" w:hAnsi="宋体" w:cs="宋体"/>
                <w:b/>
                <w:sz w:val="24"/>
                <w:highlight w:val="none"/>
                <w:u w:val="none"/>
              </w:rPr>
            </w:pPr>
            <w:r>
              <w:rPr>
                <w:rFonts w:hint="eastAsia" w:ascii="宋体" w:hAnsi="宋体" w:cs="宋体"/>
                <w:b/>
                <w:sz w:val="24"/>
                <w:highlight w:val="none"/>
                <w:u w:val="none"/>
              </w:rPr>
              <w:t>3、噪声</w:t>
            </w:r>
          </w:p>
          <w:p>
            <w:pPr>
              <w:adjustRightInd w:val="0"/>
              <w:snapToGrid w:val="0"/>
              <w:spacing w:line="360" w:lineRule="auto"/>
              <w:ind w:firstLine="480" w:firstLineChars="200"/>
              <w:rPr>
                <w:rFonts w:hint="eastAsia" w:ascii="宋体" w:hAnsi="宋体" w:cs="宋体"/>
                <w:bCs/>
                <w:sz w:val="24"/>
                <w:highlight w:val="none"/>
                <w:u w:val="single"/>
              </w:rPr>
            </w:pPr>
            <w:r>
              <w:rPr>
                <w:rFonts w:hint="eastAsia"/>
                <w:snapToGrid w:val="0"/>
                <w:sz w:val="24"/>
                <w:highlight w:val="none"/>
              </w:rPr>
              <w:t>项目营运期的主要噪声来源是锅炉、鼓风机各种泵类等产生的噪声。</w:t>
            </w:r>
            <w:r>
              <w:rPr>
                <w:rFonts w:hint="eastAsia"/>
                <w:spacing w:val="-4"/>
                <w:sz w:val="24"/>
                <w:highlight w:val="none"/>
              </w:rPr>
              <w:t>运营期本项目机械设备绝大多数安置在车间内；评价标准采用《声环境质量标准》</w:t>
            </w:r>
            <w:r>
              <w:rPr>
                <w:spacing w:val="-4"/>
                <w:sz w:val="24"/>
                <w:highlight w:val="none"/>
              </w:rPr>
              <w:t>(GB3096-2008)</w:t>
            </w:r>
            <w:r>
              <w:rPr>
                <w:rFonts w:hint="eastAsia"/>
                <w:spacing w:val="-4"/>
                <w:sz w:val="24"/>
                <w:highlight w:val="none"/>
              </w:rPr>
              <w:t>中1类区标准，即昼间等效声级为5</w:t>
            </w:r>
            <w:r>
              <w:rPr>
                <w:spacing w:val="-4"/>
                <w:sz w:val="24"/>
                <w:highlight w:val="none"/>
              </w:rPr>
              <w:t>5dB(A)</w:t>
            </w:r>
            <w:r>
              <w:rPr>
                <w:rFonts w:hint="eastAsia"/>
                <w:spacing w:val="-4"/>
                <w:sz w:val="24"/>
                <w:highlight w:val="none"/>
              </w:rPr>
              <w:t>，夜间为4</w:t>
            </w:r>
            <w:r>
              <w:rPr>
                <w:spacing w:val="-4"/>
                <w:sz w:val="24"/>
                <w:highlight w:val="none"/>
              </w:rPr>
              <w:t>5dB(A)</w:t>
            </w:r>
            <w:r>
              <w:rPr>
                <w:rFonts w:hint="eastAsia"/>
                <w:spacing w:val="-4"/>
                <w:sz w:val="24"/>
                <w:highlight w:val="none"/>
              </w:rPr>
              <w:t>。</w:t>
            </w:r>
          </w:p>
          <w:p>
            <w:pPr>
              <w:adjustRightInd w:val="0"/>
              <w:snapToGrid w:val="0"/>
              <w:spacing w:line="360" w:lineRule="auto"/>
              <w:ind w:firstLine="480" w:firstLineChars="200"/>
              <w:rPr>
                <w:rFonts w:hint="eastAsia" w:ascii="宋体" w:hAnsi="宋体" w:cs="宋体"/>
                <w:bCs/>
                <w:sz w:val="24"/>
                <w:highlight w:val="none"/>
                <w:u w:val="none"/>
              </w:rPr>
            </w:pPr>
            <w:r>
              <w:rPr>
                <w:rFonts w:hint="eastAsia" w:ascii="宋体" w:hAnsi="宋体" w:cs="宋体"/>
                <w:bCs/>
                <w:sz w:val="24"/>
                <w:highlight w:val="none"/>
                <w:u w:val="none"/>
              </w:rPr>
              <w:t>⑴噪声污染源强核算</w:t>
            </w:r>
          </w:p>
          <w:p>
            <w:pPr>
              <w:adjustRightInd w:val="0"/>
              <w:snapToGrid w:val="0"/>
              <w:spacing w:line="360" w:lineRule="auto"/>
              <w:ind w:firstLine="480" w:firstLineChars="200"/>
              <w:rPr>
                <w:rFonts w:hint="eastAsia"/>
                <w:sz w:val="24"/>
                <w:highlight w:val="none"/>
                <w:u w:val="none"/>
              </w:rPr>
            </w:pPr>
            <w:r>
              <w:rPr>
                <w:rFonts w:hint="eastAsia"/>
                <w:sz w:val="24"/>
                <w:highlight w:val="none"/>
                <w:u w:val="none"/>
              </w:rPr>
              <w:t>噪声排放源见下表。</w:t>
            </w:r>
          </w:p>
          <w:p>
            <w:pPr>
              <w:pStyle w:val="72"/>
              <w:ind w:firstLine="422"/>
              <w:jc w:val="center"/>
              <w:rPr>
                <w:rFonts w:hint="eastAsia" w:ascii="宋体" w:hAnsi="宋体" w:cs="宋体"/>
                <w:b/>
                <w:bCs/>
                <w:szCs w:val="21"/>
                <w:highlight w:val="none"/>
                <w:u w:val="single"/>
              </w:rPr>
            </w:pPr>
            <w:r>
              <w:rPr>
                <w:rFonts w:hint="eastAsia" w:ascii="宋体" w:hAnsi="宋体" w:cs="宋体"/>
                <w:b/>
                <w:bCs/>
                <w:szCs w:val="21"/>
                <w:highlight w:val="none"/>
                <w:u w:val="single"/>
              </w:rPr>
              <w:t>表4-1</w:t>
            </w:r>
            <w:r>
              <w:rPr>
                <w:rFonts w:hint="eastAsia" w:ascii="宋体" w:hAnsi="宋体" w:cs="宋体"/>
                <w:b/>
                <w:bCs/>
                <w:szCs w:val="21"/>
                <w:highlight w:val="none"/>
                <w:u w:val="single"/>
                <w:lang w:val="en-US" w:eastAsia="zh-CN"/>
              </w:rPr>
              <w:t>1</w:t>
            </w:r>
            <w:r>
              <w:rPr>
                <w:rFonts w:hint="eastAsia" w:ascii="宋体" w:hAnsi="宋体" w:cs="宋体"/>
                <w:b/>
                <w:bCs/>
                <w:szCs w:val="21"/>
                <w:highlight w:val="none"/>
                <w:u w:val="single"/>
              </w:rPr>
              <w:t xml:space="preserve">  本项目噪声排放源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609"/>
              <w:gridCol w:w="1069"/>
              <w:gridCol w:w="1216"/>
              <w:gridCol w:w="2024"/>
              <w:gridCol w:w="1121"/>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pct"/>
                  <w:noWrap w:val="0"/>
                  <w:vAlign w:val="center"/>
                </w:tcPr>
                <w:p>
                  <w:pPr>
                    <w:pStyle w:val="44"/>
                    <w:spacing w:beforeLines="0" w:afterLines="0" w:line="240" w:lineRule="auto"/>
                    <w:rPr>
                      <w:szCs w:val="21"/>
                      <w:highlight w:val="none"/>
                    </w:rPr>
                  </w:pPr>
                  <w:r>
                    <w:rPr>
                      <w:szCs w:val="21"/>
                      <w:highlight w:val="none"/>
                    </w:rPr>
                    <w:t>设备名称</w:t>
                  </w:r>
                </w:p>
              </w:tc>
              <w:tc>
                <w:tcPr>
                  <w:tcW w:w="373" w:type="pct"/>
                  <w:noWrap w:val="0"/>
                  <w:vAlign w:val="center"/>
                </w:tcPr>
                <w:p>
                  <w:pPr>
                    <w:pStyle w:val="44"/>
                    <w:spacing w:beforeLines="0" w:afterLines="0" w:line="240" w:lineRule="auto"/>
                    <w:rPr>
                      <w:szCs w:val="21"/>
                      <w:highlight w:val="none"/>
                    </w:rPr>
                  </w:pPr>
                  <w:r>
                    <w:rPr>
                      <w:szCs w:val="21"/>
                      <w:highlight w:val="none"/>
                    </w:rPr>
                    <w:t>数量</w:t>
                  </w:r>
                </w:p>
              </w:tc>
              <w:tc>
                <w:tcPr>
                  <w:tcW w:w="655" w:type="pct"/>
                  <w:noWrap w:val="0"/>
                  <w:vAlign w:val="center"/>
                </w:tcPr>
                <w:p>
                  <w:pPr>
                    <w:pStyle w:val="44"/>
                    <w:spacing w:beforeLines="0" w:afterLines="0" w:line="240" w:lineRule="auto"/>
                    <w:rPr>
                      <w:szCs w:val="21"/>
                      <w:highlight w:val="none"/>
                    </w:rPr>
                  </w:pPr>
                  <w:r>
                    <w:rPr>
                      <w:szCs w:val="21"/>
                      <w:highlight w:val="none"/>
                    </w:rPr>
                    <w:t>噪声源强dB(A)</w:t>
                  </w:r>
                </w:p>
              </w:tc>
              <w:tc>
                <w:tcPr>
                  <w:tcW w:w="745" w:type="pct"/>
                  <w:noWrap w:val="0"/>
                  <w:vAlign w:val="center"/>
                </w:tcPr>
                <w:p>
                  <w:pPr>
                    <w:pStyle w:val="44"/>
                    <w:spacing w:beforeLines="0" w:afterLines="0" w:line="240" w:lineRule="auto"/>
                    <w:rPr>
                      <w:szCs w:val="21"/>
                      <w:highlight w:val="none"/>
                    </w:rPr>
                  </w:pPr>
                  <w:r>
                    <w:rPr>
                      <w:szCs w:val="21"/>
                      <w:highlight w:val="none"/>
                    </w:rPr>
                    <w:t>声源位置</w:t>
                  </w:r>
                </w:p>
              </w:tc>
              <w:tc>
                <w:tcPr>
                  <w:tcW w:w="1240" w:type="pct"/>
                  <w:noWrap w:val="0"/>
                  <w:vAlign w:val="center"/>
                </w:tcPr>
                <w:p>
                  <w:pPr>
                    <w:pStyle w:val="44"/>
                    <w:spacing w:beforeLines="0" w:afterLines="0" w:line="240" w:lineRule="auto"/>
                    <w:rPr>
                      <w:szCs w:val="21"/>
                      <w:highlight w:val="none"/>
                    </w:rPr>
                  </w:pPr>
                  <w:r>
                    <w:rPr>
                      <w:szCs w:val="21"/>
                      <w:highlight w:val="none"/>
                    </w:rPr>
                    <w:t>降噪措施</w:t>
                  </w:r>
                </w:p>
              </w:tc>
              <w:tc>
                <w:tcPr>
                  <w:tcW w:w="687" w:type="pct"/>
                  <w:noWrap w:val="0"/>
                  <w:vAlign w:val="center"/>
                </w:tcPr>
                <w:p>
                  <w:pPr>
                    <w:pStyle w:val="44"/>
                    <w:spacing w:beforeLines="0" w:afterLines="0" w:line="240" w:lineRule="auto"/>
                    <w:rPr>
                      <w:szCs w:val="21"/>
                      <w:highlight w:val="none"/>
                    </w:rPr>
                  </w:pPr>
                  <w:r>
                    <w:rPr>
                      <w:szCs w:val="21"/>
                      <w:highlight w:val="none"/>
                    </w:rPr>
                    <w:t>排放强度dB(A)</w:t>
                  </w:r>
                </w:p>
              </w:tc>
              <w:tc>
                <w:tcPr>
                  <w:tcW w:w="608" w:type="pct"/>
                  <w:noWrap w:val="0"/>
                  <w:vAlign w:val="center"/>
                </w:tcPr>
                <w:p>
                  <w:pPr>
                    <w:pStyle w:val="44"/>
                    <w:spacing w:beforeLines="0" w:afterLines="0" w:line="240" w:lineRule="auto"/>
                    <w:rPr>
                      <w:szCs w:val="21"/>
                      <w:highlight w:val="none"/>
                    </w:rPr>
                  </w:pPr>
                  <w:r>
                    <w:rPr>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90" w:type="pct"/>
                  <w:noWrap w:val="0"/>
                  <w:vAlign w:val="center"/>
                </w:tcPr>
                <w:p>
                  <w:pPr>
                    <w:pStyle w:val="44"/>
                    <w:spacing w:beforeLines="0" w:afterLines="0" w:line="240" w:lineRule="auto"/>
                    <w:rPr>
                      <w:szCs w:val="21"/>
                      <w:highlight w:val="none"/>
                    </w:rPr>
                  </w:pPr>
                  <w:r>
                    <w:rPr>
                      <w:szCs w:val="21"/>
                      <w:highlight w:val="none"/>
                    </w:rPr>
                    <w:t>生物质锅炉</w:t>
                  </w:r>
                </w:p>
              </w:tc>
              <w:tc>
                <w:tcPr>
                  <w:tcW w:w="373" w:type="pct"/>
                  <w:noWrap w:val="0"/>
                  <w:vAlign w:val="center"/>
                </w:tcPr>
                <w:p>
                  <w:pPr>
                    <w:pStyle w:val="44"/>
                    <w:spacing w:beforeLines="0" w:afterLines="0" w:line="240" w:lineRule="auto"/>
                    <w:rPr>
                      <w:szCs w:val="21"/>
                      <w:highlight w:val="none"/>
                    </w:rPr>
                  </w:pPr>
                  <w:r>
                    <w:rPr>
                      <w:rFonts w:hint="eastAsia"/>
                      <w:szCs w:val="21"/>
                      <w:highlight w:val="none"/>
                    </w:rPr>
                    <w:t>1</w:t>
                  </w:r>
                  <w:r>
                    <w:rPr>
                      <w:szCs w:val="21"/>
                      <w:highlight w:val="none"/>
                    </w:rPr>
                    <w:t>台</w:t>
                  </w:r>
                </w:p>
              </w:tc>
              <w:tc>
                <w:tcPr>
                  <w:tcW w:w="655" w:type="pct"/>
                  <w:noWrap w:val="0"/>
                  <w:vAlign w:val="center"/>
                </w:tcPr>
                <w:p>
                  <w:pPr>
                    <w:pStyle w:val="44"/>
                    <w:spacing w:beforeLines="0" w:afterLines="0" w:line="240" w:lineRule="auto"/>
                    <w:rPr>
                      <w:szCs w:val="21"/>
                      <w:highlight w:val="none"/>
                    </w:rPr>
                  </w:pPr>
                  <w:r>
                    <w:rPr>
                      <w:szCs w:val="21"/>
                      <w:highlight w:val="none"/>
                    </w:rPr>
                    <w:t>70-80</w:t>
                  </w:r>
                </w:p>
              </w:tc>
              <w:tc>
                <w:tcPr>
                  <w:tcW w:w="745" w:type="pct"/>
                  <w:noWrap w:val="0"/>
                  <w:vAlign w:val="center"/>
                </w:tcPr>
                <w:p>
                  <w:pPr>
                    <w:pStyle w:val="44"/>
                    <w:spacing w:beforeLines="0" w:afterLines="0" w:line="240" w:lineRule="auto"/>
                    <w:rPr>
                      <w:szCs w:val="21"/>
                      <w:highlight w:val="none"/>
                    </w:rPr>
                  </w:pPr>
                  <w:r>
                    <w:rPr>
                      <w:szCs w:val="21"/>
                      <w:highlight w:val="none"/>
                    </w:rPr>
                    <w:t>锅炉房内</w:t>
                  </w:r>
                </w:p>
              </w:tc>
              <w:tc>
                <w:tcPr>
                  <w:tcW w:w="1240" w:type="pct"/>
                  <w:noWrap w:val="0"/>
                  <w:vAlign w:val="center"/>
                </w:tcPr>
                <w:p>
                  <w:pPr>
                    <w:pStyle w:val="44"/>
                    <w:spacing w:beforeLines="0" w:afterLines="0" w:line="240" w:lineRule="auto"/>
                    <w:rPr>
                      <w:szCs w:val="21"/>
                      <w:highlight w:val="none"/>
                    </w:rPr>
                  </w:pPr>
                  <w:r>
                    <w:rPr>
                      <w:szCs w:val="21"/>
                      <w:highlight w:val="none"/>
                    </w:rPr>
                    <w:t>减振、隔声、封闭</w:t>
                  </w:r>
                </w:p>
              </w:tc>
              <w:tc>
                <w:tcPr>
                  <w:tcW w:w="687" w:type="pct"/>
                  <w:noWrap w:val="0"/>
                  <w:vAlign w:val="center"/>
                </w:tcPr>
                <w:p>
                  <w:pPr>
                    <w:pStyle w:val="44"/>
                    <w:spacing w:beforeLines="0" w:afterLines="0" w:line="240" w:lineRule="auto"/>
                    <w:rPr>
                      <w:szCs w:val="21"/>
                      <w:highlight w:val="none"/>
                    </w:rPr>
                  </w:pPr>
                  <w:r>
                    <w:rPr>
                      <w:szCs w:val="21"/>
                      <w:highlight w:val="none"/>
                    </w:rPr>
                    <w:t>55</w:t>
                  </w:r>
                </w:p>
              </w:tc>
              <w:tc>
                <w:tcPr>
                  <w:tcW w:w="608" w:type="pct"/>
                  <w:noWrap w:val="0"/>
                  <w:vAlign w:val="center"/>
                </w:tcPr>
                <w:p>
                  <w:pPr>
                    <w:pStyle w:val="44"/>
                    <w:spacing w:beforeLines="0" w:afterLines="0" w:line="240" w:lineRule="auto"/>
                    <w:rPr>
                      <w:szCs w:val="21"/>
                      <w:highlight w:val="none"/>
                    </w:rPr>
                  </w:pPr>
                  <w:r>
                    <w:rPr>
                      <w:szCs w:val="21"/>
                      <w:highlight w:val="none"/>
                    </w:rPr>
                    <w:t>12h/d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90" w:type="pct"/>
                  <w:noWrap w:val="0"/>
                  <w:vAlign w:val="center"/>
                </w:tcPr>
                <w:p>
                  <w:pPr>
                    <w:adjustRightInd w:val="0"/>
                    <w:snapToGrid w:val="0"/>
                    <w:jc w:val="center"/>
                    <w:rPr>
                      <w:szCs w:val="21"/>
                      <w:highlight w:val="none"/>
                    </w:rPr>
                  </w:pPr>
                  <w:r>
                    <w:rPr>
                      <w:szCs w:val="21"/>
                      <w:highlight w:val="none"/>
                    </w:rPr>
                    <w:t>风机</w:t>
                  </w:r>
                </w:p>
              </w:tc>
              <w:tc>
                <w:tcPr>
                  <w:tcW w:w="373" w:type="pct"/>
                  <w:noWrap w:val="0"/>
                  <w:vAlign w:val="center"/>
                </w:tcPr>
                <w:p>
                  <w:pPr>
                    <w:pStyle w:val="44"/>
                    <w:spacing w:beforeLines="0" w:afterLines="0" w:line="240" w:lineRule="auto"/>
                    <w:rPr>
                      <w:szCs w:val="21"/>
                      <w:highlight w:val="none"/>
                    </w:rPr>
                  </w:pPr>
                  <w:r>
                    <w:rPr>
                      <w:rFonts w:hint="eastAsia"/>
                      <w:szCs w:val="21"/>
                      <w:highlight w:val="none"/>
                    </w:rPr>
                    <w:t>1</w:t>
                  </w:r>
                  <w:r>
                    <w:rPr>
                      <w:szCs w:val="21"/>
                      <w:highlight w:val="none"/>
                    </w:rPr>
                    <w:t>套</w:t>
                  </w:r>
                </w:p>
              </w:tc>
              <w:tc>
                <w:tcPr>
                  <w:tcW w:w="655" w:type="pct"/>
                  <w:noWrap w:val="0"/>
                  <w:vAlign w:val="center"/>
                </w:tcPr>
                <w:p>
                  <w:pPr>
                    <w:pStyle w:val="44"/>
                    <w:spacing w:beforeLines="0" w:afterLines="0" w:line="240" w:lineRule="auto"/>
                    <w:rPr>
                      <w:szCs w:val="21"/>
                      <w:highlight w:val="none"/>
                    </w:rPr>
                  </w:pPr>
                  <w:r>
                    <w:rPr>
                      <w:szCs w:val="21"/>
                      <w:highlight w:val="none"/>
                    </w:rPr>
                    <w:t>75-85</w:t>
                  </w:r>
                </w:p>
              </w:tc>
              <w:tc>
                <w:tcPr>
                  <w:tcW w:w="745" w:type="pct"/>
                  <w:noWrap w:val="0"/>
                  <w:vAlign w:val="center"/>
                </w:tcPr>
                <w:p>
                  <w:pPr>
                    <w:pStyle w:val="44"/>
                    <w:spacing w:beforeLines="0" w:afterLines="0" w:line="240" w:lineRule="auto"/>
                    <w:rPr>
                      <w:szCs w:val="21"/>
                      <w:highlight w:val="none"/>
                    </w:rPr>
                  </w:pPr>
                  <w:r>
                    <w:rPr>
                      <w:szCs w:val="21"/>
                      <w:highlight w:val="none"/>
                    </w:rPr>
                    <w:t>锅炉房内</w:t>
                  </w:r>
                </w:p>
              </w:tc>
              <w:tc>
                <w:tcPr>
                  <w:tcW w:w="1240" w:type="pct"/>
                  <w:noWrap w:val="0"/>
                  <w:vAlign w:val="center"/>
                </w:tcPr>
                <w:p>
                  <w:pPr>
                    <w:pStyle w:val="44"/>
                    <w:spacing w:beforeLines="0" w:afterLines="0" w:line="240" w:lineRule="auto"/>
                    <w:rPr>
                      <w:szCs w:val="21"/>
                      <w:highlight w:val="none"/>
                    </w:rPr>
                  </w:pPr>
                  <w:r>
                    <w:rPr>
                      <w:szCs w:val="21"/>
                      <w:highlight w:val="none"/>
                    </w:rPr>
                    <w:t>隔声罩壳、管道外壳阻尼、隔声小间</w:t>
                  </w:r>
                </w:p>
              </w:tc>
              <w:tc>
                <w:tcPr>
                  <w:tcW w:w="687" w:type="pct"/>
                  <w:noWrap w:val="0"/>
                  <w:vAlign w:val="center"/>
                </w:tcPr>
                <w:p>
                  <w:pPr>
                    <w:pStyle w:val="44"/>
                    <w:spacing w:beforeLines="0" w:afterLines="0" w:line="240" w:lineRule="auto"/>
                    <w:rPr>
                      <w:szCs w:val="21"/>
                      <w:highlight w:val="none"/>
                    </w:rPr>
                  </w:pPr>
                  <w:r>
                    <w:rPr>
                      <w:szCs w:val="21"/>
                      <w:highlight w:val="none"/>
                    </w:rPr>
                    <w:t>60</w:t>
                  </w:r>
                </w:p>
              </w:tc>
              <w:tc>
                <w:tcPr>
                  <w:tcW w:w="608" w:type="pct"/>
                  <w:noWrap w:val="0"/>
                  <w:vAlign w:val="center"/>
                </w:tcPr>
                <w:p>
                  <w:pPr>
                    <w:jc w:val="center"/>
                    <w:rPr>
                      <w:szCs w:val="21"/>
                      <w:highlight w:val="none"/>
                    </w:rPr>
                  </w:pPr>
                  <w:r>
                    <w:rPr>
                      <w:szCs w:val="21"/>
                      <w:highlight w:val="none"/>
                    </w:rPr>
                    <w:t>12h/d</w:t>
                  </w:r>
                </w:p>
              </w:tc>
            </w:tr>
          </w:tbl>
          <w:p>
            <w:pPr>
              <w:adjustRightInd w:val="0"/>
              <w:snapToGrid w:val="0"/>
              <w:spacing w:line="360" w:lineRule="auto"/>
              <w:ind w:firstLine="480" w:firstLineChars="200"/>
              <w:rPr>
                <w:rFonts w:hint="eastAsia"/>
                <w:sz w:val="24"/>
                <w:highlight w:val="none"/>
                <w:u w:val="none"/>
              </w:rPr>
            </w:pPr>
            <w:r>
              <w:rPr>
                <w:rFonts w:hint="eastAsia"/>
                <w:sz w:val="24"/>
                <w:highlight w:val="none"/>
                <w:u w:val="none"/>
              </w:rPr>
              <w:t>经采取上述减噪措施后，各设备噪声源强及噪声源衰减距离见下表。</w:t>
            </w:r>
          </w:p>
          <w:p>
            <w:pPr>
              <w:pStyle w:val="72"/>
              <w:ind w:firstLine="422"/>
              <w:jc w:val="center"/>
              <w:rPr>
                <w:rFonts w:hint="eastAsia" w:ascii="宋体" w:hAnsi="宋体" w:cs="宋体"/>
                <w:b/>
                <w:bCs/>
                <w:szCs w:val="21"/>
                <w:highlight w:val="yellow"/>
                <w:u w:val="single"/>
              </w:rPr>
            </w:pPr>
          </w:p>
          <w:p>
            <w:pPr>
              <w:pStyle w:val="72"/>
              <w:ind w:firstLine="422"/>
              <w:jc w:val="center"/>
              <w:rPr>
                <w:rFonts w:hint="eastAsia"/>
                <w:b/>
                <w:bCs/>
                <w:highlight w:val="none"/>
                <w:u w:val="single"/>
              </w:rPr>
            </w:pPr>
            <w:r>
              <w:rPr>
                <w:rFonts w:hint="eastAsia" w:ascii="宋体" w:hAnsi="宋体" w:cs="宋体"/>
                <w:b/>
                <w:bCs/>
                <w:szCs w:val="21"/>
                <w:highlight w:val="none"/>
                <w:u w:val="single"/>
              </w:rPr>
              <w:t>表4-1</w:t>
            </w:r>
            <w:r>
              <w:rPr>
                <w:rFonts w:hint="eastAsia"/>
                <w:b/>
                <w:bCs/>
                <w:highlight w:val="none"/>
                <w:u w:val="single"/>
                <w:lang w:val="en-US" w:eastAsia="zh-CN"/>
              </w:rPr>
              <w:t>2</w:t>
            </w:r>
            <w:r>
              <w:rPr>
                <w:rFonts w:hint="eastAsia"/>
                <w:b/>
                <w:bCs/>
                <w:highlight w:val="none"/>
                <w:u w:val="single"/>
              </w:rPr>
              <w:t xml:space="preserve">  各设备噪声源强及噪声源衰减距离</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61"/>
              <w:gridCol w:w="1361"/>
              <w:gridCol w:w="1222"/>
              <w:gridCol w:w="1504"/>
              <w:gridCol w:w="13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采取措施后各设备叠加源强dB（A）</w:t>
                  </w:r>
                </w:p>
              </w:tc>
              <w:tc>
                <w:tcPr>
                  <w:tcW w:w="3334" w:type="pct"/>
                  <w:gridSpan w:val="4"/>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距厂界距离（m）</w:t>
                  </w:r>
                </w:p>
              </w:tc>
              <w:tc>
                <w:tcPr>
                  <w:tcW w:w="831" w:type="pct"/>
                  <w:noWrap w:val="0"/>
                  <w:vAlign w:val="center"/>
                </w:tcPr>
                <w:p>
                  <w:pPr>
                    <w:pStyle w:val="72"/>
                    <w:ind w:firstLine="0" w:firstLineChars="0"/>
                    <w:jc w:val="center"/>
                    <w:rPr>
                      <w:rFonts w:hint="eastAsia" w:ascii="宋体" w:hAnsi="宋体" w:cs="宋体"/>
                      <w:b/>
                      <w:bCs/>
                      <w:szCs w:val="21"/>
                      <w:highlight w:val="none"/>
                      <w:u w:val="none"/>
                    </w:rPr>
                  </w:pPr>
                  <w:r>
                    <w:rPr>
                      <w:rFonts w:hint="eastAsia" w:ascii="宋体" w:hAnsi="宋体"/>
                      <w:szCs w:val="21"/>
                      <w:highlight w:val="none"/>
                      <w:u w:val="none"/>
                    </w:rPr>
                    <w:t>持续时间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restart"/>
                  <w:noWrap w:val="0"/>
                  <w:vAlign w:val="center"/>
                </w:tcPr>
                <w:p>
                  <w:pPr>
                    <w:pStyle w:val="72"/>
                    <w:ind w:firstLine="0" w:firstLineChars="0"/>
                    <w:jc w:val="center"/>
                    <w:rPr>
                      <w:rFonts w:hint="default" w:ascii="宋体" w:hAnsi="宋体" w:eastAsia="宋体"/>
                      <w:szCs w:val="21"/>
                      <w:highlight w:val="none"/>
                      <w:u w:val="none"/>
                      <w:lang w:val="en-US" w:eastAsia="zh-CN"/>
                    </w:rPr>
                  </w:pPr>
                  <w:r>
                    <w:rPr>
                      <w:rFonts w:hint="eastAsia" w:ascii="宋体" w:hAnsi="宋体"/>
                      <w:szCs w:val="21"/>
                      <w:highlight w:val="none"/>
                      <w:u w:val="none"/>
                      <w:lang w:val="en-US" w:eastAsia="zh-CN"/>
                    </w:rPr>
                    <w:t>61.19</w:t>
                  </w:r>
                </w:p>
              </w:tc>
              <w:tc>
                <w:tcPr>
                  <w:tcW w:w="833" w:type="pc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东</w:t>
                  </w:r>
                </w:p>
              </w:tc>
              <w:tc>
                <w:tcPr>
                  <w:tcW w:w="833" w:type="pc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南</w:t>
                  </w:r>
                </w:p>
              </w:tc>
              <w:tc>
                <w:tcPr>
                  <w:tcW w:w="748" w:type="pc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西</w:t>
                  </w:r>
                </w:p>
              </w:tc>
              <w:tc>
                <w:tcPr>
                  <w:tcW w:w="920" w:type="pc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北</w:t>
                  </w:r>
                </w:p>
              </w:tc>
              <w:tc>
                <w:tcPr>
                  <w:tcW w:w="831" w:type="pct"/>
                  <w:vMerge w:val="restart"/>
                  <w:noWrap w:val="0"/>
                  <w:vAlign w:val="center"/>
                </w:tcPr>
                <w:p>
                  <w:pPr>
                    <w:pStyle w:val="72"/>
                    <w:ind w:firstLine="0" w:firstLineChars="0"/>
                    <w:jc w:val="center"/>
                    <w:rPr>
                      <w:rFonts w:hint="eastAsia" w:ascii="宋体" w:hAnsi="宋体"/>
                      <w:szCs w:val="21"/>
                      <w:highlight w:val="none"/>
                      <w:u w:val="none"/>
                    </w:rPr>
                  </w:pPr>
                  <w:r>
                    <w:rPr>
                      <w:rFonts w:hint="eastAsia" w:ascii="宋体" w:hAnsi="宋体"/>
                      <w:szCs w:val="21"/>
                      <w:highlight w:val="none"/>
                      <w:u w:val="none"/>
                    </w:rPr>
                    <w:t>24h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noWrap w:val="0"/>
                  <w:vAlign w:val="center"/>
                </w:tcPr>
                <w:p>
                  <w:pPr>
                    <w:pStyle w:val="72"/>
                    <w:ind w:firstLine="0" w:firstLineChars="0"/>
                    <w:jc w:val="center"/>
                    <w:rPr>
                      <w:rFonts w:hint="eastAsia" w:ascii="宋体" w:hAnsi="宋体" w:cs="宋体"/>
                      <w:b/>
                      <w:bCs/>
                      <w:szCs w:val="21"/>
                      <w:highlight w:val="yellow"/>
                      <w:u w:val="none"/>
                    </w:rPr>
                  </w:pPr>
                </w:p>
              </w:tc>
              <w:tc>
                <w:tcPr>
                  <w:tcW w:w="833" w:type="pct"/>
                  <w:noWrap w:val="0"/>
                  <w:vAlign w:val="center"/>
                </w:tcPr>
                <w:p>
                  <w:pPr>
                    <w:pStyle w:val="72"/>
                    <w:ind w:firstLine="0" w:firstLineChars="0"/>
                    <w:jc w:val="center"/>
                    <w:rPr>
                      <w:rFonts w:hint="default" w:ascii="宋体" w:hAnsi="宋体" w:eastAsia="宋体"/>
                      <w:szCs w:val="21"/>
                      <w:highlight w:val="none"/>
                      <w:u w:val="none"/>
                      <w:lang w:val="en-US" w:eastAsia="zh-CN"/>
                    </w:rPr>
                  </w:pPr>
                  <w:r>
                    <w:rPr>
                      <w:rFonts w:hint="eastAsia" w:ascii="宋体" w:hAnsi="宋体" w:eastAsia="宋体"/>
                      <w:szCs w:val="21"/>
                      <w:highlight w:val="none"/>
                      <w:u w:val="none"/>
                      <w:lang w:val="en-US" w:eastAsia="zh-CN"/>
                    </w:rPr>
                    <w:t>30</w:t>
                  </w:r>
                </w:p>
              </w:tc>
              <w:tc>
                <w:tcPr>
                  <w:tcW w:w="833" w:type="pct"/>
                  <w:noWrap w:val="0"/>
                  <w:vAlign w:val="center"/>
                </w:tcPr>
                <w:p>
                  <w:pPr>
                    <w:pStyle w:val="72"/>
                    <w:ind w:firstLine="0" w:firstLineChars="0"/>
                    <w:jc w:val="center"/>
                    <w:rPr>
                      <w:rFonts w:hint="default" w:ascii="宋体" w:hAnsi="宋体" w:eastAsia="宋体"/>
                      <w:szCs w:val="21"/>
                      <w:highlight w:val="none"/>
                      <w:u w:val="none"/>
                      <w:lang w:val="en-US" w:eastAsia="zh-CN"/>
                    </w:rPr>
                  </w:pPr>
                  <w:r>
                    <w:rPr>
                      <w:rFonts w:hint="eastAsia" w:ascii="宋体" w:hAnsi="宋体" w:eastAsia="宋体"/>
                      <w:szCs w:val="21"/>
                      <w:highlight w:val="none"/>
                      <w:u w:val="none"/>
                      <w:lang w:val="en-US" w:eastAsia="zh-CN"/>
                    </w:rPr>
                    <w:t>788</w:t>
                  </w:r>
                </w:p>
              </w:tc>
              <w:tc>
                <w:tcPr>
                  <w:tcW w:w="748" w:type="pct"/>
                  <w:noWrap w:val="0"/>
                  <w:vAlign w:val="center"/>
                </w:tcPr>
                <w:p>
                  <w:pPr>
                    <w:pStyle w:val="72"/>
                    <w:ind w:firstLine="0" w:firstLineChars="0"/>
                    <w:jc w:val="center"/>
                    <w:rPr>
                      <w:rFonts w:hint="default" w:ascii="宋体" w:hAnsi="宋体" w:eastAsia="宋体"/>
                      <w:szCs w:val="21"/>
                      <w:highlight w:val="none"/>
                      <w:u w:val="none"/>
                      <w:lang w:val="en-US" w:eastAsia="zh-CN"/>
                    </w:rPr>
                  </w:pPr>
                  <w:r>
                    <w:rPr>
                      <w:rFonts w:hint="eastAsia" w:ascii="宋体" w:hAnsi="宋体"/>
                      <w:szCs w:val="21"/>
                      <w:highlight w:val="none"/>
                      <w:u w:val="none"/>
                      <w:lang w:val="en-US" w:eastAsia="zh-CN"/>
                    </w:rPr>
                    <w:t>150</w:t>
                  </w:r>
                </w:p>
              </w:tc>
              <w:tc>
                <w:tcPr>
                  <w:tcW w:w="920" w:type="pct"/>
                  <w:noWrap w:val="0"/>
                  <w:vAlign w:val="center"/>
                </w:tcPr>
                <w:p>
                  <w:pPr>
                    <w:pStyle w:val="72"/>
                    <w:ind w:firstLine="0" w:firstLineChars="0"/>
                    <w:jc w:val="center"/>
                    <w:rPr>
                      <w:rFonts w:hint="default" w:ascii="宋体" w:hAnsi="宋体" w:eastAsia="宋体"/>
                      <w:szCs w:val="21"/>
                      <w:highlight w:val="none"/>
                      <w:u w:val="none"/>
                      <w:lang w:val="en-US" w:eastAsia="zh-CN"/>
                    </w:rPr>
                  </w:pPr>
                  <w:r>
                    <w:rPr>
                      <w:rFonts w:hint="eastAsia" w:ascii="宋体" w:hAnsi="宋体"/>
                      <w:szCs w:val="21"/>
                      <w:highlight w:val="none"/>
                      <w:u w:val="none"/>
                      <w:lang w:val="en-US" w:eastAsia="zh-CN"/>
                    </w:rPr>
                    <w:t>150</w:t>
                  </w:r>
                </w:p>
              </w:tc>
              <w:tc>
                <w:tcPr>
                  <w:tcW w:w="831" w:type="pct"/>
                  <w:vMerge w:val="continue"/>
                  <w:noWrap w:val="0"/>
                  <w:vAlign w:val="center"/>
                </w:tcPr>
                <w:p>
                  <w:pPr>
                    <w:pStyle w:val="72"/>
                    <w:ind w:firstLine="0" w:firstLineChars="0"/>
                    <w:jc w:val="center"/>
                    <w:rPr>
                      <w:rFonts w:hint="eastAsia" w:ascii="宋体" w:hAnsi="宋体" w:cs="宋体"/>
                      <w:b/>
                      <w:bCs/>
                      <w:szCs w:val="21"/>
                      <w:highlight w:val="yellow"/>
                      <w:u w:val="none"/>
                    </w:rPr>
                  </w:pPr>
                </w:p>
              </w:tc>
            </w:tr>
          </w:tbl>
          <w:p>
            <w:pPr>
              <w:adjustRightInd w:val="0"/>
              <w:snapToGrid w:val="0"/>
              <w:spacing w:line="360" w:lineRule="auto"/>
              <w:ind w:firstLine="480" w:firstLineChars="200"/>
              <w:rPr>
                <w:rFonts w:hint="eastAsia" w:ascii="宋体" w:hAnsi="宋体" w:cs="宋体"/>
                <w:bCs/>
                <w:sz w:val="24"/>
                <w:highlight w:val="none"/>
                <w:u w:val="none"/>
              </w:rPr>
            </w:pPr>
            <w:r>
              <w:rPr>
                <w:rFonts w:hint="eastAsia" w:ascii="宋体" w:hAnsi="宋体" w:cs="宋体"/>
                <w:bCs/>
                <w:sz w:val="24"/>
                <w:highlight w:val="none"/>
                <w:u w:val="none"/>
              </w:rPr>
              <w:t>⑵</w:t>
            </w:r>
            <w:r>
              <w:rPr>
                <w:rFonts w:hint="eastAsia"/>
                <w:sz w:val="24"/>
                <w:highlight w:val="none"/>
                <w:u w:val="none"/>
              </w:rPr>
              <w:t>预测模式及评价方法</w:t>
            </w:r>
          </w:p>
          <w:p>
            <w:pPr>
              <w:spacing w:line="360" w:lineRule="auto"/>
              <w:ind w:firstLine="480" w:firstLineChars="200"/>
              <w:rPr>
                <w:rFonts w:ascii="宋体" w:hAnsi="宋体" w:cs="宋体"/>
                <w:snapToGrid w:val="0"/>
                <w:kern w:val="0"/>
                <w:sz w:val="24"/>
                <w:highlight w:val="none"/>
              </w:rPr>
            </w:pPr>
            <w:r>
              <w:rPr>
                <w:rFonts w:ascii="宋体" w:hAnsi="宋体" w:cs="宋体"/>
                <w:snapToGrid w:val="0"/>
                <w:kern w:val="0"/>
                <w:sz w:val="24"/>
                <w:highlight w:val="none"/>
              </w:rPr>
              <w:t>根据建设项目噪声源和环境特征，结合《环境影响评价技术导则--声环境》（HJ2.4-2021）</w:t>
            </w:r>
            <w:r>
              <w:rPr>
                <w:rFonts w:hint="eastAsia" w:ascii="宋体" w:hAnsi="宋体" w:cs="宋体"/>
                <w:snapToGrid w:val="0"/>
                <w:kern w:val="0"/>
                <w:sz w:val="24"/>
                <w:highlight w:val="none"/>
              </w:rPr>
              <w:t>要求，项目采用的模型为</w:t>
            </w:r>
            <w:r>
              <w:rPr>
                <w:rFonts w:ascii="宋体" w:hAnsi="宋体" w:cs="宋体"/>
                <w:snapToGrid w:val="0"/>
                <w:kern w:val="0"/>
                <w:sz w:val="24"/>
                <w:highlight w:val="none"/>
              </w:rPr>
              <w:t>《环境影响评价技术导则--声环境》（HJ2.4-2021）</w:t>
            </w:r>
            <w:r>
              <w:rPr>
                <w:rFonts w:hint="eastAsia" w:ascii="宋体" w:hAnsi="宋体" w:cs="宋体"/>
                <w:snapToGrid w:val="0"/>
                <w:kern w:val="0"/>
                <w:sz w:val="24"/>
                <w:highlight w:val="none"/>
              </w:rPr>
              <w:t>附录A（规范性目录）户外声传播的衰减和附录B（规范性目录）中“B.1工业噪声预测计算模型”。</w:t>
            </w:r>
          </w:p>
          <w:p>
            <w:pPr>
              <w:spacing w:line="360" w:lineRule="auto"/>
              <w:ind w:firstLine="480" w:firstLineChars="200"/>
              <w:rPr>
                <w:rFonts w:hint="eastAsia" w:ascii="宋体" w:hAnsi="宋体" w:cs="宋体"/>
                <w:snapToGrid w:val="0"/>
                <w:kern w:val="0"/>
                <w:sz w:val="24"/>
                <w:highlight w:val="none"/>
              </w:rPr>
            </w:pPr>
            <w:r>
              <w:rPr>
                <w:rFonts w:hint="eastAsia" w:ascii="宋体" w:hAnsi="宋体" w:cs="宋体"/>
                <w:snapToGrid w:val="0"/>
                <w:kern w:val="0"/>
                <w:sz w:val="24"/>
                <w:highlight w:val="none"/>
              </w:rPr>
              <w:t>①室外声源在预测点产生的声级计算模型：</w:t>
            </w:r>
          </w:p>
          <w:p>
            <w:pPr>
              <w:pStyle w:val="8"/>
              <w:spacing w:before="0" w:after="0" w:line="360" w:lineRule="auto"/>
              <w:ind w:right="0" w:firstLine="480" w:firstLineChars="200"/>
              <w:rPr>
                <w:rFonts w:hint="eastAsia" w:ascii="宋体" w:hAnsi="宋体"/>
                <w:sz w:val="24"/>
                <w:szCs w:val="24"/>
                <w:highlight w:val="none"/>
              </w:rPr>
            </w:pPr>
            <w:r>
              <w:rPr>
                <w:rFonts w:hint="eastAsia" w:ascii="宋体" w:hAnsi="宋体" w:cs="宋体"/>
                <w:sz w:val="24"/>
                <w:szCs w:val="24"/>
                <w:highlight w:val="none"/>
              </w:rPr>
              <w:t>A、</w:t>
            </w:r>
            <w:r>
              <w:rPr>
                <w:rFonts w:hint="eastAsia" w:ascii="宋体" w:hAnsi="宋体"/>
                <w:sz w:val="24"/>
                <w:szCs w:val="24"/>
                <w:highlight w:val="none"/>
              </w:rPr>
              <w:t>预测点处声压级</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position w:val="-10"/>
                <w:sz w:val="24"/>
                <w:highlight w:val="none"/>
                <w:lang w:bidi="ar"/>
              </w:rPr>
              <w:object>
                <v:shape id="_x0000_i1029" o:spt="75" type="#_x0000_t75" style="height:16pt;width:229.95pt;" o:ole="t" filled="f" o:preferrelative="t" stroked="f" coordsize="21600,21600">
                  <v:path/>
                  <v:fill on="f" focussize="0,0"/>
                  <v:stroke on="f"/>
                  <v:imagedata r:id="rId22" o:title=""/>
                  <o:lock v:ext="edit" aspectratio="t"/>
                  <w10:wrap type="none"/>
                  <w10:anchorlock/>
                </v:shape>
                <o:OLEObject Type="Embed" ProgID="Equation.KSEE3" ShapeID="_x0000_i1029" DrawAspect="Content" ObjectID="_1468075729" r:id="rId21">
                  <o:LockedField>false</o:LockedField>
                </o:OLEObject>
              </w:objec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lang w:bidi="ar"/>
              </w:rPr>
              <w:t xml:space="preserve">式中：Lp（r）—预测点处声压级，dB；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lang w:bidi="ar"/>
              </w:rPr>
              <w:t>L</w:t>
            </w:r>
            <w:r>
              <w:rPr>
                <w:rFonts w:hint="eastAsia" w:ascii="宋体" w:hAnsi="宋体" w:cs="宋体"/>
                <w:color w:val="000000"/>
                <w:kern w:val="0"/>
                <w:sz w:val="24"/>
                <w:highlight w:val="none"/>
                <w:vertAlign w:val="subscript"/>
                <w:lang w:bidi="ar"/>
              </w:rPr>
              <w:t>w</w:t>
            </w:r>
            <w:r>
              <w:rPr>
                <w:rFonts w:hint="eastAsia" w:ascii="宋体" w:hAnsi="宋体" w:cs="宋体"/>
                <w:color w:val="000000"/>
                <w:kern w:val="0"/>
                <w:sz w:val="24"/>
                <w:highlight w:val="none"/>
                <w:lang w:bidi="ar"/>
              </w:rPr>
              <w:t xml:space="preserve">—声源倍频带声功率级，dB；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lang w:bidi="ar"/>
              </w:rPr>
              <w:t>D</w:t>
            </w:r>
            <w:r>
              <w:rPr>
                <w:rFonts w:hint="eastAsia" w:ascii="宋体" w:hAnsi="宋体" w:cs="宋体"/>
                <w:color w:val="000000"/>
                <w:kern w:val="0"/>
                <w:sz w:val="24"/>
                <w:highlight w:val="none"/>
                <w:vertAlign w:val="subscript"/>
                <w:lang w:bidi="ar"/>
              </w:rPr>
              <w:t>c</w:t>
            </w:r>
            <w:r>
              <w:rPr>
                <w:rFonts w:hint="eastAsia" w:ascii="宋体" w:hAnsi="宋体" w:cs="宋体"/>
                <w:color w:val="000000"/>
                <w:kern w:val="0"/>
                <w:sz w:val="24"/>
                <w:highlight w:val="none"/>
                <w:lang w:bidi="ar"/>
              </w:rPr>
              <w:t xml:space="preserve">—指向性校正，dB；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i/>
                <w:iCs/>
                <w:color w:val="000000"/>
                <w:kern w:val="0"/>
                <w:sz w:val="24"/>
                <w:highlight w:val="none"/>
                <w:lang w:bidi="ar"/>
              </w:rPr>
              <w:t>A</w:t>
            </w:r>
            <w:r>
              <w:rPr>
                <w:rFonts w:hint="eastAsia" w:ascii="宋体" w:hAnsi="宋体" w:cs="宋体"/>
                <w:color w:val="000000"/>
                <w:kern w:val="0"/>
                <w:sz w:val="24"/>
                <w:highlight w:val="none"/>
                <w:lang w:bidi="ar"/>
              </w:rPr>
              <w:t xml:space="preserve">—倍频带衰减，dB；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i/>
                <w:iCs/>
                <w:color w:val="000000"/>
                <w:kern w:val="0"/>
                <w:sz w:val="24"/>
                <w:highlight w:val="none"/>
                <w:lang w:bidi="ar"/>
              </w:rPr>
              <w:t>A</w:t>
            </w:r>
            <w:r>
              <w:rPr>
                <w:rFonts w:hint="eastAsia" w:ascii="宋体" w:hAnsi="宋体" w:cs="宋体"/>
                <w:i/>
                <w:iCs/>
                <w:color w:val="000000"/>
                <w:kern w:val="0"/>
                <w:sz w:val="24"/>
                <w:highlight w:val="none"/>
                <w:vertAlign w:val="subscript"/>
                <w:lang w:bidi="ar"/>
              </w:rPr>
              <w:t>div</w:t>
            </w:r>
            <w:r>
              <w:rPr>
                <w:rFonts w:hint="eastAsia" w:ascii="宋体" w:hAnsi="宋体" w:cs="宋体"/>
                <w:color w:val="000000"/>
                <w:kern w:val="0"/>
                <w:sz w:val="24"/>
                <w:highlight w:val="none"/>
                <w:lang w:bidi="ar"/>
              </w:rPr>
              <w:t xml:space="preserve">—几何发散引起的倍频带衰减，dB；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i/>
                <w:iCs/>
                <w:color w:val="000000"/>
                <w:kern w:val="0"/>
                <w:sz w:val="24"/>
                <w:highlight w:val="none"/>
                <w:lang w:bidi="ar"/>
              </w:rPr>
              <w:t>A</w:t>
            </w:r>
            <w:r>
              <w:rPr>
                <w:rFonts w:hint="eastAsia" w:ascii="宋体" w:hAnsi="宋体" w:cs="宋体"/>
                <w:i/>
                <w:iCs/>
                <w:color w:val="000000"/>
                <w:kern w:val="0"/>
                <w:sz w:val="24"/>
                <w:highlight w:val="none"/>
                <w:vertAlign w:val="subscript"/>
                <w:lang w:bidi="ar"/>
              </w:rPr>
              <w:t>atm</w:t>
            </w:r>
            <w:r>
              <w:rPr>
                <w:rFonts w:hint="eastAsia" w:ascii="宋体" w:hAnsi="宋体" w:cs="宋体"/>
                <w:color w:val="000000"/>
                <w:kern w:val="0"/>
                <w:sz w:val="24"/>
                <w:highlight w:val="none"/>
                <w:lang w:bidi="ar"/>
              </w:rPr>
              <w:t xml:space="preserve">—大气吸收引起的倍频带衰减，dB；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i/>
                <w:iCs/>
                <w:color w:val="000000"/>
                <w:kern w:val="0"/>
                <w:sz w:val="24"/>
                <w:highlight w:val="none"/>
                <w:lang w:bidi="ar"/>
              </w:rPr>
              <w:t>A</w:t>
            </w:r>
            <w:r>
              <w:rPr>
                <w:rFonts w:hint="eastAsia" w:ascii="宋体" w:hAnsi="宋体" w:cs="宋体"/>
                <w:i/>
                <w:iCs/>
                <w:color w:val="000000"/>
                <w:kern w:val="0"/>
                <w:sz w:val="24"/>
                <w:highlight w:val="none"/>
                <w:vertAlign w:val="subscript"/>
                <w:lang w:bidi="ar"/>
              </w:rPr>
              <w:t>gr</w:t>
            </w:r>
            <w:r>
              <w:rPr>
                <w:rFonts w:hint="eastAsia" w:ascii="宋体" w:hAnsi="宋体" w:cs="宋体"/>
                <w:color w:val="000000"/>
                <w:kern w:val="0"/>
                <w:sz w:val="24"/>
                <w:highlight w:val="none"/>
                <w:lang w:bidi="ar"/>
              </w:rPr>
              <w:t xml:space="preserve">—地面效应引起的倍频带衰减，dB；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i/>
                <w:iCs/>
                <w:color w:val="000000"/>
                <w:kern w:val="0"/>
                <w:sz w:val="24"/>
                <w:highlight w:val="none"/>
                <w:lang w:bidi="ar"/>
              </w:rPr>
              <w:t>A</w:t>
            </w:r>
            <w:r>
              <w:rPr>
                <w:rFonts w:hint="eastAsia" w:ascii="宋体" w:hAnsi="宋体" w:cs="宋体"/>
                <w:i/>
                <w:iCs/>
                <w:color w:val="000000"/>
                <w:kern w:val="0"/>
                <w:sz w:val="24"/>
                <w:highlight w:val="none"/>
                <w:vertAlign w:val="subscript"/>
                <w:lang w:bidi="ar"/>
              </w:rPr>
              <w:t>bar</w:t>
            </w:r>
            <w:r>
              <w:rPr>
                <w:rFonts w:hint="eastAsia" w:ascii="宋体" w:hAnsi="宋体" w:cs="宋体"/>
                <w:color w:val="000000"/>
                <w:kern w:val="0"/>
                <w:sz w:val="24"/>
                <w:highlight w:val="none"/>
                <w:lang w:bidi="ar"/>
              </w:rPr>
              <w:t xml:space="preserve">—声屏障引起的倍频带衰减，dB；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i/>
                <w:iCs/>
                <w:color w:val="000000"/>
                <w:kern w:val="0"/>
                <w:sz w:val="24"/>
                <w:highlight w:val="none"/>
                <w:lang w:bidi="ar"/>
              </w:rPr>
              <w:t>A</w:t>
            </w:r>
            <w:r>
              <w:rPr>
                <w:rFonts w:hint="eastAsia" w:ascii="宋体" w:hAnsi="宋体" w:cs="宋体"/>
                <w:color w:val="000000"/>
                <w:kern w:val="0"/>
                <w:sz w:val="24"/>
                <w:highlight w:val="none"/>
                <w:vertAlign w:val="subscript"/>
                <w:lang w:bidi="ar"/>
              </w:rPr>
              <w:t>misc</w:t>
            </w:r>
            <w:r>
              <w:rPr>
                <w:rFonts w:hint="eastAsia" w:ascii="宋体" w:hAnsi="宋体" w:cs="宋体"/>
                <w:color w:val="000000"/>
                <w:kern w:val="0"/>
                <w:sz w:val="24"/>
                <w:highlight w:val="none"/>
                <w:lang w:bidi="ar"/>
              </w:rPr>
              <w:t xml:space="preserve">—其他多方面效应引起的倍频带衰减，dB。 </w:t>
            </w:r>
          </w:p>
          <w:p>
            <w:pPr>
              <w:pStyle w:val="4"/>
              <w:keepNext w:val="0"/>
              <w:keepLines w:val="0"/>
              <w:spacing w:before="0" w:after="0" w:line="360" w:lineRule="auto"/>
              <w:ind w:firstLine="480" w:firstLineChars="200"/>
              <w:rPr>
                <w:rFonts w:hint="eastAsia" w:ascii="宋体" w:hAnsi="宋体" w:eastAsia="宋体" w:cs="宋体"/>
                <w:b w:val="0"/>
                <w:bCs w:val="0"/>
                <w:color w:val="000000"/>
                <w:kern w:val="0"/>
                <w:sz w:val="24"/>
                <w:szCs w:val="24"/>
                <w:highlight w:val="none"/>
                <w:lang w:bidi="ar"/>
              </w:rPr>
            </w:pPr>
            <w:r>
              <w:rPr>
                <w:rFonts w:hint="eastAsia" w:ascii="宋体" w:hAnsi="宋体" w:eastAsia="宋体" w:cs="宋体"/>
                <w:b w:val="0"/>
                <w:bCs w:val="0"/>
                <w:color w:val="000000"/>
                <w:kern w:val="0"/>
                <w:sz w:val="24"/>
                <w:szCs w:val="24"/>
                <w:highlight w:val="none"/>
                <w:lang w:bidi="ar"/>
              </w:rPr>
              <w:t>注：几何发散引起的衰减（</w:t>
            </w:r>
            <w:r>
              <w:rPr>
                <w:rFonts w:hint="eastAsia" w:ascii="宋体" w:hAnsi="宋体" w:eastAsia="宋体" w:cs="宋体"/>
                <w:b w:val="0"/>
                <w:bCs w:val="0"/>
                <w:i/>
                <w:iCs/>
                <w:color w:val="000000"/>
                <w:kern w:val="0"/>
                <w:sz w:val="24"/>
                <w:szCs w:val="24"/>
                <w:highlight w:val="none"/>
                <w:lang w:bidi="ar"/>
              </w:rPr>
              <w:t>A</w:t>
            </w:r>
            <w:r>
              <w:rPr>
                <w:rFonts w:hint="eastAsia" w:ascii="宋体" w:hAnsi="宋体" w:eastAsia="宋体" w:cs="宋体"/>
                <w:b w:val="0"/>
                <w:bCs w:val="0"/>
                <w:i/>
                <w:iCs/>
                <w:color w:val="000000"/>
                <w:kern w:val="0"/>
                <w:sz w:val="24"/>
                <w:szCs w:val="24"/>
                <w:highlight w:val="none"/>
                <w:vertAlign w:val="subscript"/>
                <w:lang w:bidi="ar"/>
              </w:rPr>
              <w:t>div</w:t>
            </w:r>
            <w:r>
              <w:rPr>
                <w:rFonts w:hint="eastAsia" w:ascii="宋体" w:hAnsi="宋体" w:eastAsia="宋体" w:cs="宋体"/>
                <w:b w:val="0"/>
                <w:bCs w:val="0"/>
                <w:color w:val="000000"/>
                <w:kern w:val="0"/>
                <w:sz w:val="24"/>
                <w:szCs w:val="24"/>
                <w:highlight w:val="none"/>
                <w:lang w:bidi="ar"/>
              </w:rPr>
              <w:t>）应</w:t>
            </w:r>
            <w:r>
              <w:rPr>
                <w:rFonts w:ascii="宋体" w:hAnsi="宋体" w:eastAsia="宋体"/>
                <w:b w:val="0"/>
                <w:bCs w:val="0"/>
                <w:sz w:val="24"/>
                <w:szCs w:val="24"/>
                <w:highlight w:val="none"/>
              </w:rPr>
              <w:t>根据</w:t>
            </w:r>
            <w:r>
              <w:rPr>
                <w:rFonts w:hint="eastAsia" w:ascii="宋体" w:hAnsi="宋体" w:eastAsia="宋体"/>
                <w:b w:val="0"/>
                <w:bCs w:val="0"/>
                <w:sz w:val="24"/>
                <w:szCs w:val="24"/>
                <w:highlight w:val="none"/>
              </w:rPr>
              <w:t>声源</w:t>
            </w:r>
            <w:r>
              <w:rPr>
                <w:rFonts w:ascii="宋体" w:hAnsi="宋体" w:eastAsia="宋体"/>
                <w:b w:val="0"/>
                <w:bCs w:val="0"/>
                <w:sz w:val="24"/>
                <w:szCs w:val="24"/>
                <w:highlight w:val="none"/>
              </w:rPr>
              <w:t>和预测点的位置关系，分别按照点声源</w:t>
            </w:r>
            <w:r>
              <w:rPr>
                <w:rFonts w:hint="eastAsia" w:ascii="宋体" w:hAnsi="宋体" w:eastAsia="宋体"/>
                <w:b w:val="0"/>
                <w:bCs w:val="0"/>
                <w:sz w:val="24"/>
                <w:szCs w:val="24"/>
                <w:highlight w:val="none"/>
              </w:rPr>
              <w:t>、</w:t>
            </w:r>
            <w:r>
              <w:rPr>
                <w:rFonts w:ascii="宋体" w:hAnsi="宋体" w:eastAsia="宋体"/>
                <w:b w:val="0"/>
                <w:bCs w:val="0"/>
                <w:sz w:val="24"/>
                <w:szCs w:val="24"/>
                <w:highlight w:val="none"/>
              </w:rPr>
              <w:t>线声源和面声源的衰减</w:t>
            </w:r>
            <w:r>
              <w:rPr>
                <w:rFonts w:hint="eastAsia" w:ascii="宋体" w:hAnsi="宋体" w:eastAsia="宋体"/>
                <w:b w:val="0"/>
                <w:bCs w:val="0"/>
                <w:sz w:val="24"/>
                <w:szCs w:val="24"/>
                <w:highlight w:val="none"/>
              </w:rPr>
              <w:t>公式</w:t>
            </w:r>
            <w:r>
              <w:rPr>
                <w:rFonts w:ascii="宋体" w:hAnsi="宋体" w:eastAsia="宋体"/>
                <w:b w:val="0"/>
                <w:bCs w:val="0"/>
                <w:sz w:val="24"/>
                <w:szCs w:val="24"/>
                <w:highlight w:val="none"/>
              </w:rPr>
              <w:t>，计算预测点处的声级。</w:t>
            </w:r>
          </w:p>
          <w:p>
            <w:pPr>
              <w:pStyle w:val="8"/>
              <w:spacing w:before="0" w:after="0" w:line="360" w:lineRule="auto"/>
              <w:ind w:right="0" w:firstLine="480" w:firstLineChars="200"/>
              <w:rPr>
                <w:rFonts w:hint="eastAsia" w:ascii="宋体" w:hAnsi="宋体" w:cs="宋体"/>
                <w:sz w:val="24"/>
                <w:szCs w:val="24"/>
                <w:highlight w:val="none"/>
              </w:rPr>
            </w:pPr>
            <w:r>
              <w:rPr>
                <w:rFonts w:hint="eastAsia" w:ascii="宋体" w:hAnsi="宋体" w:cs="宋体"/>
                <w:sz w:val="24"/>
                <w:szCs w:val="24"/>
                <w:highlight w:val="none"/>
              </w:rPr>
              <w:t>B、预测点的A声级</w:t>
            </w:r>
          </w:p>
          <w:p>
            <w:pPr>
              <w:widowControl/>
              <w:spacing w:line="360" w:lineRule="auto"/>
              <w:ind w:firstLine="480" w:firstLineChars="200"/>
              <w:jc w:val="center"/>
              <w:rPr>
                <w:rFonts w:hint="eastAsia" w:ascii="宋体" w:hAnsi="宋体" w:cs="宋体"/>
                <w:color w:val="000000"/>
                <w:kern w:val="0"/>
                <w:sz w:val="24"/>
                <w:highlight w:val="none"/>
                <w:lang w:bidi="ar"/>
              </w:rPr>
            </w:pPr>
            <w:r>
              <w:rPr>
                <w:rFonts w:hint="eastAsia" w:ascii="宋体" w:hAnsi="宋体" w:cs="宋体"/>
                <w:color w:val="000000"/>
                <w:kern w:val="0"/>
                <w:position w:val="-30"/>
                <w:sz w:val="24"/>
                <w:highlight w:val="none"/>
                <w:lang w:bidi="ar"/>
              </w:rPr>
              <w:object>
                <v:shape id="_x0000_i1030" o:spt="75" type="#_x0000_t75" style="height:36pt;width:148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30" r:id="rId23">
                  <o:LockedField>false</o:LockedField>
                </o:OLEObject>
              </w:objec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lang w:bidi="ar"/>
              </w:rPr>
              <w:t>式中：L</w:t>
            </w:r>
            <w:r>
              <w:rPr>
                <w:rFonts w:hint="eastAsia" w:ascii="宋体" w:hAnsi="宋体" w:cs="宋体"/>
                <w:color w:val="000000"/>
                <w:kern w:val="0"/>
                <w:sz w:val="24"/>
                <w:highlight w:val="none"/>
                <w:vertAlign w:val="subscript"/>
                <w:lang w:bidi="ar"/>
              </w:rPr>
              <w:t>A</w:t>
            </w:r>
            <w:r>
              <w:rPr>
                <w:rFonts w:hint="eastAsia" w:ascii="宋体" w:hAnsi="宋体" w:cs="宋体"/>
                <w:color w:val="000000"/>
                <w:kern w:val="0"/>
                <w:sz w:val="24"/>
                <w:highlight w:val="none"/>
                <w:lang w:bidi="ar"/>
              </w:rPr>
              <w:t xml:space="preserve">（r）—距声源r处的A声级，dB（A）； </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lang w:bidi="ar"/>
              </w:rPr>
              <w:t>L</w:t>
            </w:r>
            <w:r>
              <w:rPr>
                <w:rFonts w:hint="eastAsia" w:ascii="宋体" w:hAnsi="宋体" w:cs="宋体"/>
                <w:i/>
                <w:iCs/>
                <w:color w:val="000000"/>
                <w:kern w:val="0"/>
                <w:sz w:val="24"/>
                <w:highlight w:val="none"/>
                <w:vertAlign w:val="subscript"/>
                <w:lang w:bidi="ar"/>
              </w:rPr>
              <w:t>Pi</w:t>
            </w:r>
            <w:r>
              <w:rPr>
                <w:rFonts w:hint="eastAsia" w:ascii="宋体" w:hAnsi="宋体" w:cs="宋体"/>
                <w:color w:val="000000"/>
                <w:kern w:val="0"/>
                <w:sz w:val="24"/>
                <w:highlight w:val="none"/>
                <w:lang w:bidi="ar"/>
              </w:rPr>
              <w:t xml:space="preserve">（r）—预测点（r）处，第i倍频带声压级，dB； </w:t>
            </w:r>
          </w:p>
          <w:p>
            <w:pPr>
              <w:widowControl/>
              <w:spacing w:line="360" w:lineRule="auto"/>
              <w:ind w:firstLine="480" w:firstLineChars="200"/>
              <w:jc w:val="left"/>
              <w:rPr>
                <w:rFonts w:hint="eastAsia" w:ascii="宋体" w:hAnsi="宋体"/>
                <w:sz w:val="24"/>
                <w:highlight w:val="none"/>
              </w:rPr>
            </w:pPr>
            <w:r>
              <w:rPr>
                <w:rFonts w:hint="eastAsia" w:ascii="宋体" w:hAnsi="宋体" w:cs="宋体"/>
                <w:color w:val="000000"/>
                <w:kern w:val="0"/>
                <w:sz w:val="24"/>
                <w:highlight w:val="none"/>
                <w:lang w:bidi="ar"/>
              </w:rPr>
              <w:t>Δ</w:t>
            </w:r>
            <w:r>
              <w:rPr>
                <w:rFonts w:hint="eastAsia" w:ascii="宋体" w:hAnsi="宋体" w:cs="宋体"/>
                <w:i/>
                <w:iCs/>
                <w:color w:val="000000"/>
                <w:kern w:val="0"/>
                <w:sz w:val="24"/>
                <w:highlight w:val="none"/>
                <w:lang w:bidi="ar"/>
              </w:rPr>
              <w:t>l</w:t>
            </w:r>
            <w:r>
              <w:rPr>
                <w:rFonts w:hint="eastAsia" w:ascii="宋体" w:hAnsi="宋体" w:cs="宋体"/>
                <w:i/>
                <w:iCs/>
                <w:color w:val="000000"/>
                <w:kern w:val="0"/>
                <w:sz w:val="24"/>
                <w:highlight w:val="none"/>
                <w:vertAlign w:val="subscript"/>
                <w:lang w:bidi="ar"/>
              </w:rPr>
              <w:t>i</w:t>
            </w:r>
            <w:r>
              <w:rPr>
                <w:rFonts w:hint="eastAsia" w:ascii="宋体" w:hAnsi="宋体" w:cs="宋体"/>
                <w:color w:val="000000"/>
                <w:kern w:val="0"/>
                <w:sz w:val="24"/>
                <w:highlight w:val="none"/>
                <w:lang w:bidi="ar"/>
              </w:rPr>
              <w:t>—第i倍频带A计权网络修正值，dB。</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 xml:space="preserve">②室内声源等效室外声源声功率级计算方法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A、首先计算某一室内声源靠近围护结构处产生的倍频带声压级：</w:t>
            </w:r>
          </w:p>
          <w:p>
            <w:pPr>
              <w:widowControl/>
              <w:spacing w:line="360" w:lineRule="auto"/>
              <w:jc w:val="center"/>
              <w:rPr>
                <w:rFonts w:hint="eastAsia" w:ascii="宋体" w:hAnsi="宋体" w:cs="宋体"/>
                <w:color w:val="000000"/>
                <w:kern w:val="0"/>
                <w:sz w:val="24"/>
                <w:highlight w:val="none"/>
                <w:lang w:bidi="ar"/>
              </w:rPr>
            </w:pPr>
            <w:r>
              <w:rPr>
                <w:rFonts w:hint="eastAsia" w:ascii="宋体" w:hAnsi="宋体" w:cs="宋体"/>
                <w:color w:val="000000"/>
                <w:kern w:val="0"/>
                <w:position w:val="-24"/>
                <w:sz w:val="24"/>
                <w:highlight w:val="none"/>
                <w:lang w:bidi="ar"/>
              </w:rPr>
              <w:object>
                <v:shape id="_x0000_i1031" o:spt="75" type="#_x0000_t75" style="height:31pt;width:127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式中：L</w:t>
            </w:r>
            <w:r>
              <w:rPr>
                <w:rFonts w:hint="eastAsia" w:ascii="宋体" w:hAnsi="宋体" w:cs="宋体"/>
                <w:color w:val="000000"/>
                <w:kern w:val="0"/>
                <w:sz w:val="24"/>
                <w:highlight w:val="none"/>
                <w:vertAlign w:val="subscript"/>
                <w:lang w:bidi="ar"/>
              </w:rPr>
              <w:t>P1</w:t>
            </w:r>
            <w:r>
              <w:rPr>
                <w:rFonts w:hint="eastAsia" w:ascii="宋体" w:hAnsi="宋体" w:cs="宋体"/>
                <w:color w:val="000000"/>
                <w:kern w:val="0"/>
                <w:sz w:val="24"/>
                <w:highlight w:val="none"/>
                <w:lang w:bidi="ar"/>
              </w:rPr>
              <w:t>—室内声源在靠近围护结构处产生的倍频带声压级，dB(A)；</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Lw—声源的倍频带声功率级，dB(A)；</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Q—</w:t>
            </w:r>
            <w:r>
              <w:rPr>
                <w:rFonts w:hint="eastAsia" w:ascii="宋体" w:hAnsi="宋体" w:cs="宋体"/>
                <w:color w:val="000000"/>
                <w:kern w:val="0"/>
                <w:sz w:val="24"/>
                <w:highlight w:val="none"/>
                <w:lang w:bidi="ar"/>
              </w:rPr>
              <w:t>指向性因数；通常对无指向性声源，当声源放在房间中心时，</w:t>
            </w:r>
            <w:r>
              <w:rPr>
                <w:rFonts w:ascii="宋体" w:hAnsi="宋体" w:cs="宋体"/>
                <w:color w:val="000000"/>
                <w:kern w:val="0"/>
                <w:sz w:val="24"/>
                <w:highlight w:val="none"/>
                <w:lang w:bidi="ar"/>
              </w:rPr>
              <w:t>Q=1</w:t>
            </w:r>
            <w:r>
              <w:rPr>
                <w:rFonts w:hint="eastAsia" w:ascii="宋体" w:hAnsi="宋体" w:cs="宋体"/>
                <w:color w:val="000000"/>
                <w:kern w:val="0"/>
                <w:sz w:val="24"/>
                <w:highlight w:val="none"/>
                <w:lang w:bidi="ar"/>
              </w:rPr>
              <w:t>；当放在一面墙的中心时，</w:t>
            </w:r>
            <w:r>
              <w:rPr>
                <w:rFonts w:ascii="宋体" w:hAnsi="宋体" w:cs="宋体"/>
                <w:color w:val="000000"/>
                <w:kern w:val="0"/>
                <w:sz w:val="24"/>
                <w:highlight w:val="none"/>
                <w:lang w:bidi="ar"/>
              </w:rPr>
              <w:t>Q=2</w:t>
            </w:r>
            <w:r>
              <w:rPr>
                <w:rFonts w:hint="eastAsia" w:ascii="宋体" w:hAnsi="宋体" w:cs="宋体"/>
                <w:color w:val="000000"/>
                <w:kern w:val="0"/>
                <w:sz w:val="24"/>
                <w:highlight w:val="none"/>
                <w:lang w:bidi="ar"/>
              </w:rPr>
              <w:t>；当放在两面墙夹角处时，</w:t>
            </w:r>
            <w:r>
              <w:rPr>
                <w:rFonts w:ascii="宋体" w:hAnsi="宋体" w:cs="宋体"/>
                <w:color w:val="000000"/>
                <w:kern w:val="0"/>
                <w:sz w:val="24"/>
                <w:highlight w:val="none"/>
                <w:lang w:bidi="ar"/>
              </w:rPr>
              <w:t>Q=4</w:t>
            </w:r>
            <w:r>
              <w:rPr>
                <w:rFonts w:hint="eastAsia" w:ascii="宋体" w:hAnsi="宋体" w:cs="宋体"/>
                <w:color w:val="000000"/>
                <w:kern w:val="0"/>
                <w:sz w:val="24"/>
                <w:highlight w:val="none"/>
                <w:lang w:bidi="ar"/>
              </w:rPr>
              <w:t>；当放在三面墙夹角处时，</w:t>
            </w:r>
            <w:r>
              <w:rPr>
                <w:rFonts w:ascii="宋体" w:hAnsi="宋体" w:cs="宋体"/>
                <w:color w:val="000000"/>
                <w:kern w:val="0"/>
                <w:sz w:val="24"/>
                <w:highlight w:val="none"/>
                <w:lang w:bidi="ar"/>
              </w:rPr>
              <w:t>Q=8</w:t>
            </w:r>
            <w:r>
              <w:rPr>
                <w:rFonts w:hint="eastAsia" w:ascii="宋体" w:hAnsi="宋体" w:cs="宋体"/>
                <w:color w:val="000000"/>
                <w:kern w:val="0"/>
                <w:sz w:val="24"/>
                <w:highlight w:val="none"/>
                <w:lang w:bidi="ar"/>
              </w:rPr>
              <w:t xml:space="preserve">。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R—</w:t>
            </w:r>
            <w:r>
              <w:rPr>
                <w:rFonts w:hint="eastAsia" w:ascii="宋体" w:hAnsi="宋体" w:cs="宋体"/>
                <w:color w:val="000000"/>
                <w:kern w:val="0"/>
                <w:sz w:val="24"/>
                <w:highlight w:val="none"/>
                <w:lang w:bidi="ar"/>
              </w:rPr>
              <w:t>房间常数；</w:t>
            </w:r>
            <w:r>
              <w:rPr>
                <w:rFonts w:ascii="宋体" w:hAnsi="宋体" w:cs="宋体"/>
                <w:color w:val="000000"/>
                <w:kern w:val="0"/>
                <w:sz w:val="24"/>
                <w:highlight w:val="none"/>
                <w:lang w:bidi="ar"/>
              </w:rPr>
              <w:t>R =S</w:t>
            </w:r>
            <w:r>
              <w:rPr>
                <w:rFonts w:hint="eastAsia" w:ascii="宋体" w:hAnsi="宋体" w:cs="宋体"/>
                <w:color w:val="000000"/>
                <w:kern w:val="0"/>
                <w:sz w:val="24"/>
                <w:highlight w:val="none"/>
                <w:lang w:bidi="ar"/>
              </w:rPr>
              <w:t>α</w:t>
            </w:r>
            <w:r>
              <w:rPr>
                <w:rFonts w:ascii="宋体" w:hAnsi="宋体" w:cs="宋体"/>
                <w:color w:val="000000"/>
                <w:kern w:val="0"/>
                <w:sz w:val="24"/>
                <w:highlight w:val="none"/>
                <w:lang w:bidi="ar"/>
              </w:rPr>
              <w:t>/</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1-α</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 xml:space="preserve">S </w:t>
            </w:r>
            <w:r>
              <w:rPr>
                <w:rFonts w:hint="eastAsia" w:ascii="宋体" w:hAnsi="宋体" w:cs="宋体"/>
                <w:color w:val="000000"/>
                <w:kern w:val="0"/>
                <w:sz w:val="24"/>
                <w:highlight w:val="none"/>
                <w:lang w:bidi="ar"/>
              </w:rPr>
              <w:t>为房间内表面面积，</w:t>
            </w:r>
            <w:r>
              <w:rPr>
                <w:rFonts w:ascii="宋体" w:hAnsi="宋体" w:cs="宋体"/>
                <w:color w:val="000000"/>
                <w:kern w:val="0"/>
                <w:sz w:val="24"/>
                <w:highlight w:val="none"/>
                <w:lang w:bidi="ar"/>
              </w:rPr>
              <w:t>m</w:t>
            </w:r>
            <w:r>
              <w:rPr>
                <w:rFonts w:ascii="宋体" w:hAnsi="宋体" w:cs="宋体"/>
                <w:color w:val="000000"/>
                <w:kern w:val="0"/>
                <w:sz w:val="24"/>
                <w:highlight w:val="none"/>
                <w:vertAlign w:val="superscript"/>
                <w:lang w:bidi="ar"/>
              </w:rPr>
              <w:t>2</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α</w:t>
            </w:r>
            <w:r>
              <w:rPr>
                <w:rFonts w:hint="eastAsia" w:ascii="宋体" w:hAnsi="宋体" w:cs="宋体"/>
                <w:color w:val="000000"/>
                <w:kern w:val="0"/>
                <w:sz w:val="24"/>
                <w:highlight w:val="none"/>
                <w:lang w:bidi="ar"/>
              </w:rPr>
              <w:t xml:space="preserve">为平均吸声系数。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r—</w:t>
            </w:r>
            <w:r>
              <w:rPr>
                <w:rFonts w:hint="eastAsia" w:ascii="宋体" w:hAnsi="宋体" w:cs="宋体"/>
                <w:color w:val="000000"/>
                <w:kern w:val="0"/>
                <w:sz w:val="24"/>
                <w:highlight w:val="none"/>
                <w:lang w:bidi="ar"/>
              </w:rPr>
              <w:t>声源到靠近围护结构某点处的距离，</w:t>
            </w:r>
            <w:r>
              <w:rPr>
                <w:rFonts w:ascii="宋体" w:hAnsi="宋体" w:cs="宋体"/>
                <w:color w:val="000000"/>
                <w:kern w:val="0"/>
                <w:sz w:val="24"/>
                <w:highlight w:val="none"/>
                <w:lang w:bidi="ar"/>
              </w:rPr>
              <w:t>m</w:t>
            </w:r>
            <w:r>
              <w:rPr>
                <w:rFonts w:hint="eastAsia" w:ascii="宋体" w:hAnsi="宋体" w:cs="宋体"/>
                <w:color w:val="000000"/>
                <w:kern w:val="0"/>
                <w:sz w:val="24"/>
                <w:highlight w:val="none"/>
                <w:lang w:bidi="ar"/>
              </w:rPr>
              <w:t xml:space="preserve">。 </w:t>
            </w:r>
          </w:p>
          <w:p>
            <w:pPr>
              <w:widowControl/>
              <w:spacing w:line="360" w:lineRule="auto"/>
              <w:ind w:left="420" w:left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B、计算出所有室内声源在围护结构处产生的</w:t>
            </w:r>
            <w:r>
              <w:rPr>
                <w:rFonts w:ascii="宋体" w:hAnsi="宋体" w:cs="宋体"/>
                <w:color w:val="000000"/>
                <w:kern w:val="0"/>
                <w:sz w:val="24"/>
                <w:highlight w:val="none"/>
                <w:lang w:bidi="ar"/>
              </w:rPr>
              <w:t>i</w:t>
            </w:r>
            <w:r>
              <w:rPr>
                <w:rFonts w:hint="eastAsia" w:ascii="宋体" w:hAnsi="宋体" w:cs="宋体"/>
                <w:color w:val="000000"/>
                <w:kern w:val="0"/>
                <w:sz w:val="24"/>
                <w:highlight w:val="none"/>
                <w:lang w:bidi="ar"/>
              </w:rPr>
              <w:t xml:space="preserve">倍频带叠加声压级： </w:t>
            </w:r>
          </w:p>
          <w:p>
            <w:pPr>
              <w:widowControl/>
              <w:spacing w:line="360" w:lineRule="auto"/>
              <w:jc w:val="center"/>
              <w:rPr>
                <w:rFonts w:hint="eastAsia" w:ascii="宋体" w:hAnsi="宋体" w:cs="宋体"/>
                <w:color w:val="000000"/>
                <w:kern w:val="0"/>
                <w:sz w:val="24"/>
                <w:highlight w:val="none"/>
                <w:lang w:bidi="ar"/>
              </w:rPr>
            </w:pPr>
            <w:r>
              <w:rPr>
                <w:rFonts w:hint="eastAsia" w:ascii="宋体" w:hAnsi="宋体" w:cs="宋体"/>
                <w:color w:val="000000"/>
                <w:kern w:val="0"/>
                <w:position w:val="-32"/>
                <w:sz w:val="24"/>
                <w:highlight w:val="none"/>
                <w:lang w:bidi="ar"/>
              </w:rPr>
              <w:object>
                <v:shape id="_x0000_i1032" o:spt="75" type="#_x0000_t75" style="height:38pt;width:131pt;" o:ole="t" filled="f" o:preferrelative="t" stroked="f" coordsize="21600,21600">
                  <v:path/>
                  <v:fill on="f" focussize="0,0"/>
                  <v:stroke on="f"/>
                  <v:imagedata r:id="rId28" o:title=""/>
                  <o:lock v:ext="edit" aspectratio="t"/>
                  <w10:wrap type="none"/>
                  <w10:anchorlock/>
                </v:shape>
                <o:OLEObject Type="Embed" ProgID="Equation.KSEE3" ShapeID="_x0000_i1032" DrawAspect="Content" ObjectID="_1468075732" r:id="rId27">
                  <o:LockedField>false</o:LockedField>
                </o:OLEObject>
              </w:objec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式中：</w:t>
            </w:r>
            <w:r>
              <w:rPr>
                <w:rFonts w:ascii="宋体" w:hAnsi="宋体" w:cs="宋体"/>
                <w:color w:val="000000"/>
                <w:kern w:val="0"/>
                <w:sz w:val="24"/>
                <w:highlight w:val="none"/>
                <w:lang w:bidi="ar"/>
              </w:rPr>
              <w:t>L</w:t>
            </w:r>
            <w:r>
              <w:rPr>
                <w:rFonts w:ascii="宋体" w:hAnsi="宋体" w:cs="宋体"/>
                <w:color w:val="000000"/>
                <w:kern w:val="0"/>
                <w:sz w:val="24"/>
                <w:highlight w:val="none"/>
                <w:vertAlign w:val="subscript"/>
                <w:lang w:bidi="ar"/>
              </w:rPr>
              <w:t>P1i</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T</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w:t>
            </w:r>
            <w:r>
              <w:rPr>
                <w:rFonts w:hint="eastAsia" w:ascii="宋体" w:hAnsi="宋体" w:cs="宋体"/>
                <w:color w:val="000000"/>
                <w:kern w:val="0"/>
                <w:sz w:val="24"/>
                <w:highlight w:val="none"/>
                <w:lang w:bidi="ar"/>
              </w:rPr>
              <w:t>靠近围护结构处室内</w:t>
            </w:r>
            <w:r>
              <w:rPr>
                <w:rFonts w:ascii="宋体" w:hAnsi="宋体" w:cs="宋体"/>
                <w:color w:val="000000"/>
                <w:kern w:val="0"/>
                <w:sz w:val="24"/>
                <w:highlight w:val="none"/>
                <w:lang w:bidi="ar"/>
              </w:rPr>
              <w:t>N</w:t>
            </w:r>
            <w:r>
              <w:rPr>
                <w:rFonts w:hint="eastAsia" w:ascii="宋体" w:hAnsi="宋体" w:cs="宋体"/>
                <w:color w:val="000000"/>
                <w:kern w:val="0"/>
                <w:sz w:val="24"/>
                <w:highlight w:val="none"/>
                <w:lang w:bidi="ar"/>
              </w:rPr>
              <w:t>个声源</w:t>
            </w:r>
            <w:r>
              <w:rPr>
                <w:rFonts w:ascii="宋体" w:hAnsi="宋体" w:cs="宋体"/>
                <w:color w:val="000000"/>
                <w:kern w:val="0"/>
                <w:sz w:val="24"/>
                <w:highlight w:val="none"/>
                <w:lang w:bidi="ar"/>
              </w:rPr>
              <w:t>i</w:t>
            </w:r>
            <w:r>
              <w:rPr>
                <w:rFonts w:hint="eastAsia" w:ascii="宋体" w:hAnsi="宋体" w:cs="宋体"/>
                <w:color w:val="000000"/>
                <w:kern w:val="0"/>
                <w:sz w:val="24"/>
                <w:highlight w:val="none"/>
                <w:lang w:bidi="ar"/>
              </w:rPr>
              <w:t xml:space="preserve">倍频带的叠加声压级， </w:t>
            </w:r>
            <w:r>
              <w:rPr>
                <w:rFonts w:ascii="宋体" w:hAnsi="宋体" w:cs="宋体"/>
                <w:color w:val="000000"/>
                <w:kern w:val="0"/>
                <w:sz w:val="24"/>
                <w:highlight w:val="none"/>
                <w:lang w:bidi="ar"/>
              </w:rPr>
              <w:t>dB</w:t>
            </w:r>
            <w:r>
              <w:rPr>
                <w:rFonts w:hint="eastAsia" w:ascii="宋体" w:hAnsi="宋体" w:cs="宋体"/>
                <w:color w:val="000000"/>
                <w:kern w:val="0"/>
                <w:sz w:val="24"/>
                <w:highlight w:val="none"/>
                <w:lang w:bidi="ar"/>
              </w:rPr>
              <w:t xml:space="preserve">；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L</w:t>
            </w:r>
            <w:r>
              <w:rPr>
                <w:rFonts w:hint="eastAsia" w:ascii="宋体" w:hAnsi="宋体" w:cs="宋体"/>
                <w:color w:val="000000"/>
                <w:kern w:val="0"/>
                <w:sz w:val="24"/>
                <w:highlight w:val="none"/>
                <w:vertAlign w:val="subscript"/>
                <w:lang w:bidi="ar"/>
              </w:rPr>
              <w:t>p</w:t>
            </w:r>
            <w:r>
              <w:rPr>
                <w:rFonts w:ascii="宋体" w:hAnsi="宋体" w:cs="宋体"/>
                <w:color w:val="000000"/>
                <w:kern w:val="0"/>
                <w:sz w:val="24"/>
                <w:highlight w:val="none"/>
                <w:vertAlign w:val="subscript"/>
                <w:lang w:bidi="ar"/>
              </w:rPr>
              <w:t>1ij</w:t>
            </w:r>
            <w:r>
              <w:rPr>
                <w:rFonts w:ascii="宋体" w:hAnsi="宋体" w:cs="宋体"/>
                <w:color w:val="000000"/>
                <w:kern w:val="0"/>
                <w:sz w:val="24"/>
                <w:highlight w:val="none"/>
                <w:lang w:bidi="ar"/>
              </w:rPr>
              <w:t>—</w:t>
            </w:r>
            <w:r>
              <w:rPr>
                <w:rFonts w:hint="eastAsia" w:ascii="宋体" w:hAnsi="宋体" w:cs="宋体"/>
                <w:color w:val="000000"/>
                <w:kern w:val="0"/>
                <w:sz w:val="24"/>
                <w:highlight w:val="none"/>
                <w:lang w:bidi="ar"/>
              </w:rPr>
              <w:t>室内</w:t>
            </w:r>
            <w:r>
              <w:rPr>
                <w:rFonts w:ascii="宋体" w:hAnsi="宋体" w:cs="宋体"/>
                <w:color w:val="000000"/>
                <w:kern w:val="0"/>
                <w:sz w:val="24"/>
                <w:highlight w:val="none"/>
                <w:lang w:bidi="ar"/>
              </w:rPr>
              <w:t>j</w:t>
            </w:r>
            <w:r>
              <w:rPr>
                <w:rFonts w:hint="eastAsia" w:ascii="宋体" w:hAnsi="宋体" w:cs="宋体"/>
                <w:color w:val="000000"/>
                <w:kern w:val="0"/>
                <w:sz w:val="24"/>
                <w:highlight w:val="none"/>
                <w:lang w:bidi="ar"/>
              </w:rPr>
              <w:t>声源</w:t>
            </w:r>
            <w:r>
              <w:rPr>
                <w:rFonts w:ascii="宋体" w:hAnsi="宋体" w:cs="宋体"/>
                <w:color w:val="000000"/>
                <w:kern w:val="0"/>
                <w:sz w:val="24"/>
                <w:highlight w:val="none"/>
                <w:lang w:bidi="ar"/>
              </w:rPr>
              <w:t>i</w:t>
            </w:r>
            <w:r>
              <w:rPr>
                <w:rFonts w:hint="eastAsia" w:ascii="宋体" w:hAnsi="宋体" w:cs="宋体"/>
                <w:color w:val="000000"/>
                <w:kern w:val="0"/>
                <w:sz w:val="24"/>
                <w:highlight w:val="none"/>
                <w:lang w:bidi="ar"/>
              </w:rPr>
              <w:t>倍频带的声压级，</w:t>
            </w:r>
            <w:r>
              <w:rPr>
                <w:rFonts w:ascii="宋体" w:hAnsi="宋体" w:cs="宋体"/>
                <w:color w:val="000000"/>
                <w:kern w:val="0"/>
                <w:sz w:val="24"/>
                <w:highlight w:val="none"/>
                <w:lang w:bidi="ar"/>
              </w:rPr>
              <w:t>dB</w:t>
            </w:r>
            <w:r>
              <w:rPr>
                <w:rFonts w:hint="eastAsia" w:ascii="宋体" w:hAnsi="宋体" w:cs="宋体"/>
                <w:color w:val="000000"/>
                <w:kern w:val="0"/>
                <w:sz w:val="24"/>
                <w:highlight w:val="none"/>
                <w:lang w:bidi="ar"/>
              </w:rPr>
              <w:t xml:space="preserve">；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N—</w:t>
            </w:r>
            <w:r>
              <w:rPr>
                <w:rFonts w:hint="eastAsia" w:ascii="宋体" w:hAnsi="宋体" w:cs="宋体"/>
                <w:color w:val="000000"/>
                <w:kern w:val="0"/>
                <w:sz w:val="24"/>
                <w:highlight w:val="none"/>
                <w:lang w:bidi="ar"/>
              </w:rPr>
              <w:t xml:space="preserve">室内声源总数。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 xml:space="preserve">C、计算出靠近室外围护结构处的声压级： </w:t>
            </w:r>
          </w:p>
          <w:p>
            <w:pPr>
              <w:widowControl/>
              <w:spacing w:line="360" w:lineRule="auto"/>
              <w:jc w:val="center"/>
              <w:rPr>
                <w:rFonts w:hint="eastAsia" w:ascii="宋体" w:hAnsi="宋体" w:cs="宋体"/>
                <w:color w:val="000000"/>
                <w:kern w:val="0"/>
                <w:sz w:val="24"/>
                <w:highlight w:val="none"/>
                <w:lang w:bidi="ar"/>
              </w:rPr>
            </w:pPr>
            <w:r>
              <w:rPr>
                <w:rFonts w:hint="eastAsia" w:ascii="宋体" w:hAnsi="宋体" w:cs="宋体"/>
                <w:color w:val="000000"/>
                <w:kern w:val="0"/>
                <w:position w:val="-12"/>
                <w:sz w:val="24"/>
                <w:highlight w:val="none"/>
                <w:lang w:bidi="ar"/>
              </w:rPr>
              <w:object>
                <v:shape id="_x0000_i1033" o:spt="75" type="#_x0000_t75" style="height:18pt;width:135pt;" o:ole="t" filled="f" o:preferrelative="t" stroked="f" coordsize="21600,21600">
                  <v:path/>
                  <v:fill on="f" focussize="0,0"/>
                  <v:stroke on="f"/>
                  <v:imagedata r:id="rId30" o:title=""/>
                  <o:lock v:ext="edit" aspectratio="t"/>
                  <w10:wrap type="none"/>
                  <w10:anchorlock/>
                </v:shape>
                <o:OLEObject Type="Embed" ProgID="Equation.KSEE3" ShapeID="_x0000_i1033" DrawAspect="Content" ObjectID="_1468075733" r:id="rId29">
                  <o:LockedField>false</o:LockedField>
                </o:OLEObject>
              </w:objec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式中：</w:t>
            </w:r>
            <w:r>
              <w:rPr>
                <w:rFonts w:ascii="宋体" w:hAnsi="宋体" w:cs="宋体"/>
                <w:color w:val="000000"/>
                <w:kern w:val="0"/>
                <w:sz w:val="24"/>
                <w:highlight w:val="none"/>
                <w:lang w:bidi="ar"/>
              </w:rPr>
              <w:t>L</w:t>
            </w:r>
            <w:r>
              <w:rPr>
                <w:rFonts w:ascii="宋体" w:hAnsi="宋体" w:cs="宋体"/>
                <w:color w:val="000000"/>
                <w:kern w:val="0"/>
                <w:sz w:val="24"/>
                <w:highlight w:val="none"/>
                <w:vertAlign w:val="subscript"/>
                <w:lang w:bidi="ar"/>
              </w:rPr>
              <w:t>P2i</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T</w:t>
            </w:r>
            <w:r>
              <w:rPr>
                <w:rFonts w:hint="eastAsia" w:ascii="宋体" w:hAnsi="宋体" w:cs="宋体"/>
                <w:color w:val="000000"/>
                <w:kern w:val="0"/>
                <w:sz w:val="24"/>
                <w:highlight w:val="none"/>
                <w:lang w:bidi="ar"/>
              </w:rPr>
              <w:t>）</w:t>
            </w:r>
            <w:r>
              <w:rPr>
                <w:rFonts w:ascii="宋体" w:hAnsi="宋体" w:cs="宋体"/>
                <w:color w:val="000000"/>
                <w:kern w:val="0"/>
                <w:sz w:val="24"/>
                <w:highlight w:val="none"/>
                <w:lang w:bidi="ar"/>
              </w:rPr>
              <w:t>—</w:t>
            </w:r>
            <w:r>
              <w:rPr>
                <w:rFonts w:hint="eastAsia" w:ascii="宋体" w:hAnsi="宋体" w:cs="宋体"/>
                <w:color w:val="000000"/>
                <w:kern w:val="0"/>
                <w:sz w:val="24"/>
                <w:highlight w:val="none"/>
                <w:lang w:bidi="ar"/>
              </w:rPr>
              <w:t>靠近围护结构处室外</w:t>
            </w:r>
            <w:r>
              <w:rPr>
                <w:rFonts w:ascii="宋体" w:hAnsi="宋体" w:cs="宋体"/>
                <w:color w:val="000000"/>
                <w:kern w:val="0"/>
                <w:sz w:val="24"/>
                <w:highlight w:val="none"/>
                <w:lang w:bidi="ar"/>
              </w:rPr>
              <w:t>N</w:t>
            </w:r>
            <w:r>
              <w:rPr>
                <w:rFonts w:hint="eastAsia" w:ascii="宋体" w:hAnsi="宋体" w:cs="宋体"/>
                <w:color w:val="000000"/>
                <w:kern w:val="0"/>
                <w:sz w:val="24"/>
                <w:highlight w:val="none"/>
                <w:lang w:bidi="ar"/>
              </w:rPr>
              <w:t>个声源</w:t>
            </w:r>
            <w:r>
              <w:rPr>
                <w:rFonts w:ascii="宋体" w:hAnsi="宋体" w:cs="宋体"/>
                <w:color w:val="000000"/>
                <w:kern w:val="0"/>
                <w:sz w:val="24"/>
                <w:highlight w:val="none"/>
                <w:lang w:bidi="ar"/>
              </w:rPr>
              <w:t>i</w:t>
            </w:r>
            <w:r>
              <w:rPr>
                <w:rFonts w:hint="eastAsia" w:ascii="宋体" w:hAnsi="宋体" w:cs="宋体"/>
                <w:color w:val="000000"/>
                <w:kern w:val="0"/>
                <w:sz w:val="24"/>
                <w:highlight w:val="none"/>
                <w:lang w:bidi="ar"/>
              </w:rPr>
              <w:t xml:space="preserve">倍频带的叠加声压级， </w:t>
            </w:r>
          </w:p>
          <w:p>
            <w:pPr>
              <w:widowControl/>
              <w:spacing w:line="360" w:lineRule="auto"/>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dB</w:t>
            </w:r>
            <w:r>
              <w:rPr>
                <w:rFonts w:hint="eastAsia" w:ascii="宋体" w:hAnsi="宋体" w:cs="宋体"/>
                <w:color w:val="000000"/>
                <w:kern w:val="0"/>
                <w:sz w:val="24"/>
                <w:highlight w:val="none"/>
                <w:lang w:bidi="ar"/>
              </w:rPr>
              <w:t xml:space="preserve">；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ascii="宋体" w:hAnsi="宋体" w:cs="宋体"/>
                <w:color w:val="000000"/>
                <w:kern w:val="0"/>
                <w:sz w:val="24"/>
                <w:highlight w:val="none"/>
                <w:lang w:bidi="ar"/>
              </w:rPr>
              <w:t>T</w:t>
            </w:r>
            <w:r>
              <w:rPr>
                <w:rFonts w:hint="eastAsia" w:ascii="宋体" w:hAnsi="宋体" w:cs="宋体"/>
                <w:color w:val="000000"/>
                <w:kern w:val="0"/>
                <w:sz w:val="24"/>
                <w:highlight w:val="none"/>
                <w:lang w:bidi="ar"/>
              </w:rPr>
              <w:t>L</w:t>
            </w:r>
            <w:r>
              <w:rPr>
                <w:rFonts w:ascii="宋体" w:hAnsi="宋体" w:cs="宋体"/>
                <w:color w:val="000000"/>
                <w:kern w:val="0"/>
                <w:sz w:val="24"/>
                <w:highlight w:val="none"/>
                <w:vertAlign w:val="subscript"/>
                <w:lang w:bidi="ar"/>
              </w:rPr>
              <w:t>i</w:t>
            </w:r>
            <w:r>
              <w:rPr>
                <w:rFonts w:ascii="宋体" w:hAnsi="宋体" w:cs="宋体"/>
                <w:color w:val="000000"/>
                <w:kern w:val="0"/>
                <w:sz w:val="24"/>
                <w:highlight w:val="none"/>
                <w:lang w:bidi="ar"/>
              </w:rPr>
              <w:t>—</w:t>
            </w:r>
            <w:r>
              <w:rPr>
                <w:rFonts w:hint="eastAsia" w:ascii="宋体" w:hAnsi="宋体" w:cs="宋体"/>
                <w:color w:val="000000"/>
                <w:kern w:val="0"/>
                <w:sz w:val="24"/>
                <w:highlight w:val="none"/>
                <w:lang w:bidi="ar"/>
              </w:rPr>
              <w:t>围护结构</w:t>
            </w:r>
            <w:r>
              <w:rPr>
                <w:rFonts w:ascii="宋体" w:hAnsi="宋体" w:cs="宋体"/>
                <w:color w:val="000000"/>
                <w:kern w:val="0"/>
                <w:sz w:val="24"/>
                <w:highlight w:val="none"/>
                <w:lang w:bidi="ar"/>
              </w:rPr>
              <w:t>i</w:t>
            </w:r>
            <w:r>
              <w:rPr>
                <w:rFonts w:hint="eastAsia" w:ascii="宋体" w:hAnsi="宋体" w:cs="宋体"/>
                <w:color w:val="000000"/>
                <w:kern w:val="0"/>
                <w:sz w:val="24"/>
                <w:highlight w:val="none"/>
                <w:lang w:bidi="ar"/>
              </w:rPr>
              <w:t>倍频带的隔声量，</w:t>
            </w:r>
            <w:r>
              <w:rPr>
                <w:rFonts w:ascii="宋体" w:hAnsi="宋体" w:cs="宋体"/>
                <w:color w:val="000000"/>
                <w:kern w:val="0"/>
                <w:sz w:val="24"/>
                <w:highlight w:val="none"/>
                <w:lang w:bidi="ar"/>
              </w:rPr>
              <w:t>dB</w:t>
            </w:r>
            <w:r>
              <w:rPr>
                <w:rFonts w:hint="eastAsia" w:ascii="宋体" w:hAnsi="宋体" w:cs="宋体"/>
                <w:color w:val="000000"/>
                <w:kern w:val="0"/>
                <w:sz w:val="24"/>
                <w:highlight w:val="none"/>
                <w:lang w:bidi="ar"/>
              </w:rPr>
              <w:t xml:space="preserve">。 </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D、将室外声源的声压级和透过面积换算成等效的室外声源，计算出中心位置位于透声面积（S）处的等效声源的倍频带声功率级：</w:t>
            </w:r>
          </w:p>
          <w:p>
            <w:pPr>
              <w:pStyle w:val="6"/>
              <w:ind w:firstLine="0" w:firstLineChars="0"/>
              <w:jc w:val="center"/>
              <w:rPr>
                <w:rFonts w:ascii="宋体" w:hAnsi="宋体"/>
                <w:sz w:val="24"/>
                <w:highlight w:val="none"/>
              </w:rPr>
            </w:pPr>
            <w:r>
              <w:rPr>
                <w:rFonts w:ascii="宋体" w:hAnsi="宋体"/>
                <w:position w:val="-10"/>
                <w:sz w:val="24"/>
                <w:highlight w:val="none"/>
              </w:rPr>
              <w:object>
                <v:shape id="_x0000_i1034" o:spt="75" type="#_x0000_t75" style="height:16pt;width:101pt;" o:ole="t" filled="f" o:preferrelative="t" stroked="f" coordsize="21600,21600">
                  <v:path/>
                  <v:fill on="f" focussize="0,0"/>
                  <v:stroke on="f"/>
                  <v:imagedata r:id="rId32" o:title=""/>
                  <o:lock v:ext="edit" aspectratio="t"/>
                  <w10:wrap type="none"/>
                  <w10:anchorlock/>
                </v:shape>
                <o:OLEObject Type="Embed" ProgID="Equation.KSEE3" ShapeID="_x0000_i1034" DrawAspect="Content" ObjectID="_1468075734" r:id="rId31">
                  <o:LockedField>false</o:LockedField>
                </o:OLEObject>
              </w:object>
            </w:r>
          </w:p>
          <w:p>
            <w:pPr>
              <w:pStyle w:val="4"/>
              <w:keepNext w:val="0"/>
              <w:keepLines w:val="0"/>
              <w:spacing w:before="0" w:after="0" w:line="360" w:lineRule="auto"/>
              <w:ind w:firstLine="480" w:firstLineChars="200"/>
              <w:rPr>
                <w:rFonts w:hint="eastAsia" w:ascii="宋体" w:hAnsi="宋体" w:eastAsia="宋体"/>
                <w:b w:val="0"/>
                <w:bCs w:val="0"/>
                <w:sz w:val="24"/>
                <w:szCs w:val="24"/>
                <w:highlight w:val="none"/>
              </w:rPr>
            </w:pPr>
            <w:r>
              <w:rPr>
                <w:rFonts w:hint="eastAsia" w:ascii="宋体" w:hAnsi="宋体" w:eastAsia="宋体"/>
                <w:b w:val="0"/>
                <w:bCs w:val="0"/>
                <w:sz w:val="24"/>
                <w:szCs w:val="24"/>
                <w:highlight w:val="none"/>
              </w:rPr>
              <w:t>然后按室外声源预测方法计算预测点处的A声级。</w:t>
            </w:r>
          </w:p>
          <w:p>
            <w:pPr>
              <w:pStyle w:val="4"/>
              <w:keepNext w:val="0"/>
              <w:keepLines w:val="0"/>
              <w:spacing w:before="0" w:after="0" w:line="360" w:lineRule="auto"/>
              <w:ind w:firstLine="480" w:firstLineChars="200"/>
              <w:rPr>
                <w:rFonts w:hint="eastAsia" w:ascii="宋体" w:hAnsi="宋体" w:eastAsia="宋体"/>
                <w:b w:val="0"/>
                <w:bCs w:val="0"/>
                <w:sz w:val="24"/>
                <w:szCs w:val="24"/>
                <w:highlight w:val="none"/>
              </w:rPr>
            </w:pPr>
            <w:r>
              <w:rPr>
                <w:rFonts w:hint="eastAsia" w:ascii="宋体" w:hAnsi="宋体" w:eastAsia="宋体" w:cs="宋体"/>
                <w:b w:val="0"/>
                <w:bCs w:val="0"/>
                <w:sz w:val="24"/>
                <w:szCs w:val="24"/>
                <w:highlight w:val="none"/>
              </w:rPr>
              <w:t>③</w:t>
            </w:r>
            <w:r>
              <w:rPr>
                <w:rFonts w:hint="eastAsia" w:ascii="宋体" w:hAnsi="宋体" w:eastAsia="宋体"/>
                <w:b w:val="0"/>
                <w:bCs w:val="0"/>
                <w:sz w:val="24"/>
                <w:szCs w:val="24"/>
                <w:highlight w:val="none"/>
              </w:rPr>
              <w:t>贡献值计算：</w:t>
            </w:r>
          </w:p>
          <w:p>
            <w:pPr>
              <w:pStyle w:val="68"/>
              <w:tabs>
                <w:tab w:val="left" w:pos="0"/>
              </w:tabs>
              <w:spacing w:line="360" w:lineRule="auto"/>
              <w:ind w:firstLine="480"/>
              <w:rPr>
                <w:rFonts w:hAnsi="宋体"/>
                <w:bCs/>
                <w:color w:val="auto"/>
                <w:sz w:val="24"/>
                <w:highlight w:val="none"/>
              </w:rPr>
            </w:pPr>
            <w:r>
              <w:rPr>
                <w:rFonts w:hint="eastAsia" w:hAnsi="宋体"/>
                <w:bCs/>
                <w:color w:val="auto"/>
                <w:sz w:val="24"/>
                <w:highlight w:val="none"/>
              </w:rPr>
              <w:t>设第i个室外声源在预测点产生的A声级为L</w:t>
            </w:r>
            <w:r>
              <w:rPr>
                <w:rFonts w:hint="eastAsia" w:hAnsi="宋体"/>
                <w:bCs/>
                <w:color w:val="auto"/>
                <w:sz w:val="24"/>
                <w:highlight w:val="none"/>
                <w:vertAlign w:val="subscript"/>
              </w:rPr>
              <w:t>Ai</w:t>
            </w:r>
            <w:r>
              <w:rPr>
                <w:rFonts w:hint="eastAsia" w:hAnsi="宋体"/>
                <w:bCs/>
                <w:color w:val="auto"/>
                <w:sz w:val="24"/>
                <w:highlight w:val="none"/>
              </w:rPr>
              <w:t>，在T时间内该声源工作时间为t</w:t>
            </w:r>
            <w:r>
              <w:rPr>
                <w:rFonts w:hint="eastAsia" w:hAnsi="宋体"/>
                <w:bCs/>
                <w:color w:val="auto"/>
                <w:sz w:val="24"/>
                <w:highlight w:val="none"/>
                <w:vertAlign w:val="subscript"/>
              </w:rPr>
              <w:t>j</w:t>
            </w:r>
            <w:r>
              <w:rPr>
                <w:rFonts w:hint="eastAsia" w:hAnsi="宋体"/>
                <w:bCs/>
                <w:color w:val="auto"/>
                <w:sz w:val="24"/>
                <w:highlight w:val="none"/>
              </w:rPr>
              <w:t>；第j个等效室外声源在预测点产生的A声级为L</w:t>
            </w:r>
            <w:r>
              <w:rPr>
                <w:rFonts w:hint="eastAsia" w:hAnsi="宋体"/>
                <w:bCs/>
                <w:color w:val="auto"/>
                <w:sz w:val="24"/>
                <w:highlight w:val="none"/>
                <w:vertAlign w:val="subscript"/>
              </w:rPr>
              <w:t>Aj</w:t>
            </w:r>
            <w:r>
              <w:rPr>
                <w:rFonts w:hint="eastAsia" w:hAnsi="宋体"/>
                <w:bCs/>
                <w:color w:val="auto"/>
                <w:sz w:val="24"/>
                <w:highlight w:val="none"/>
              </w:rPr>
              <w:t>，在T时间内该声源工作时间为t</w:t>
            </w:r>
            <w:r>
              <w:rPr>
                <w:rFonts w:hint="eastAsia" w:hAnsi="宋体"/>
                <w:bCs/>
                <w:color w:val="auto"/>
                <w:sz w:val="24"/>
                <w:highlight w:val="none"/>
                <w:vertAlign w:val="subscript"/>
              </w:rPr>
              <w:t>j</w:t>
            </w:r>
            <w:r>
              <w:rPr>
                <w:rFonts w:hint="eastAsia" w:hAnsi="宋体"/>
                <w:bCs/>
                <w:color w:val="auto"/>
                <w:sz w:val="24"/>
                <w:highlight w:val="none"/>
              </w:rPr>
              <w:t>，则拟建工程声源对预测点产生的贡献值（L</w:t>
            </w:r>
            <w:r>
              <w:rPr>
                <w:rFonts w:hint="eastAsia" w:hAnsi="宋体"/>
                <w:bCs/>
                <w:color w:val="auto"/>
                <w:sz w:val="24"/>
                <w:highlight w:val="none"/>
                <w:vertAlign w:val="subscript"/>
              </w:rPr>
              <w:t>eqg</w:t>
            </w:r>
            <w:r>
              <w:rPr>
                <w:rFonts w:hint="eastAsia" w:hAnsi="宋体"/>
                <w:bCs/>
                <w:color w:val="auto"/>
                <w:sz w:val="24"/>
                <w:highlight w:val="none"/>
              </w:rPr>
              <w:t>）为：</w:t>
            </w:r>
          </w:p>
          <w:p>
            <w:pPr>
              <w:pStyle w:val="68"/>
              <w:tabs>
                <w:tab w:val="left" w:pos="0"/>
              </w:tabs>
              <w:spacing w:line="360" w:lineRule="auto"/>
              <w:ind w:firstLine="0" w:firstLineChars="0"/>
              <w:jc w:val="center"/>
              <w:rPr>
                <w:rFonts w:hAnsi="宋体"/>
                <w:bCs/>
                <w:color w:val="auto"/>
                <w:sz w:val="24"/>
                <w:highlight w:val="none"/>
              </w:rPr>
            </w:pPr>
            <w:r>
              <w:rPr>
                <w:rFonts w:hAnsi="宋体"/>
                <w:bCs/>
                <w:color w:val="auto"/>
                <w:position w:val="-34"/>
                <w:sz w:val="24"/>
                <w:highlight w:val="none"/>
              </w:rPr>
              <w:object>
                <v:shape id="_x0000_i1035" o:spt="75" type="#_x0000_t75" style="height:40pt;width:204.95pt;" o:ole="t" filled="f" o:preferrelative="t" stroked="f" coordsize="21600,21600">
                  <v:path/>
                  <v:fill on="f" focussize="0,0"/>
                  <v:stroke on="f"/>
                  <v:imagedata r:id="rId34" o:title=""/>
                  <o:lock v:ext="edit" aspectratio="t"/>
                  <w10:wrap type="none"/>
                  <w10:anchorlock/>
                </v:shape>
                <o:OLEObject Type="Embed" ProgID="Equation.KSEE3" ShapeID="_x0000_i1035" DrawAspect="Content" ObjectID="_1468075735" r:id="rId33">
                  <o:LockedField>false</o:LockedField>
                </o:OLEObject>
              </w:object>
            </w:r>
          </w:p>
          <w:p>
            <w:pPr>
              <w:pStyle w:val="68"/>
              <w:tabs>
                <w:tab w:val="left" w:pos="0"/>
              </w:tabs>
              <w:spacing w:line="360" w:lineRule="auto"/>
              <w:ind w:firstLine="480"/>
              <w:rPr>
                <w:rFonts w:hint="eastAsia" w:hAnsi="宋体"/>
                <w:bCs/>
                <w:color w:val="auto"/>
                <w:sz w:val="24"/>
                <w:highlight w:val="none"/>
              </w:rPr>
            </w:pPr>
            <w:r>
              <w:rPr>
                <w:rFonts w:hint="eastAsia" w:hAnsi="宋体"/>
                <w:bCs/>
                <w:color w:val="auto"/>
                <w:sz w:val="24"/>
                <w:highlight w:val="none"/>
              </w:rPr>
              <w:t>④预测值计算：</w:t>
            </w:r>
          </w:p>
          <w:p>
            <w:pPr>
              <w:pStyle w:val="68"/>
              <w:tabs>
                <w:tab w:val="left" w:pos="0"/>
              </w:tabs>
              <w:spacing w:line="360" w:lineRule="auto"/>
              <w:ind w:firstLine="0" w:firstLineChars="0"/>
              <w:jc w:val="center"/>
              <w:rPr>
                <w:rFonts w:hint="eastAsia" w:hAnsi="宋体"/>
                <w:bCs/>
                <w:color w:val="auto"/>
                <w:sz w:val="24"/>
                <w:highlight w:val="none"/>
              </w:rPr>
            </w:pPr>
            <w:r>
              <w:rPr>
                <w:rFonts w:hint="eastAsia" w:hAnsi="宋体"/>
                <w:bCs/>
                <w:color w:val="auto"/>
                <w:position w:val="-14"/>
                <w:sz w:val="24"/>
                <w:highlight w:val="none"/>
              </w:rPr>
              <w:object>
                <v:shape id="_x0000_i1036" o:spt="75" type="#_x0000_t75" style="height:21pt;width:137pt;" o:ole="t" filled="f" o:preferrelative="t" stroked="f" coordsize="21600,21600">
                  <v:path/>
                  <v:fill on="f" focussize="0,0"/>
                  <v:stroke on="f"/>
                  <v:imagedata r:id="rId36" o:title=""/>
                  <o:lock v:ext="edit" aspectratio="t"/>
                  <w10:wrap type="none"/>
                  <w10:anchorlock/>
                </v:shape>
                <o:OLEObject Type="Embed" ProgID="Equation.KSEE3" ShapeID="_x0000_i1036" DrawAspect="Content" ObjectID="_1468075736" r:id="rId35">
                  <o:LockedField>false</o:LockedField>
                </o:OLEObject>
              </w:object>
            </w:r>
          </w:p>
          <w:p>
            <w:pPr>
              <w:pStyle w:val="68"/>
              <w:tabs>
                <w:tab w:val="left" w:pos="0"/>
              </w:tabs>
              <w:spacing w:line="360" w:lineRule="auto"/>
              <w:ind w:firstLine="480"/>
              <w:rPr>
                <w:rFonts w:hint="eastAsia" w:hAnsi="宋体"/>
                <w:bCs/>
                <w:color w:val="000000"/>
                <w:kern w:val="0"/>
                <w:sz w:val="24"/>
                <w:highlight w:val="none"/>
                <w:lang w:bidi="ar"/>
              </w:rPr>
            </w:pPr>
            <w:r>
              <w:rPr>
                <w:rFonts w:hint="eastAsia" w:hAnsi="宋体"/>
                <w:bCs/>
                <w:color w:val="000000"/>
                <w:kern w:val="0"/>
                <w:sz w:val="24"/>
                <w:highlight w:val="none"/>
                <w:lang w:bidi="ar"/>
              </w:rPr>
              <w:t>式中：L</w:t>
            </w:r>
            <w:r>
              <w:rPr>
                <w:rFonts w:hint="eastAsia" w:hAnsi="宋体"/>
                <w:bCs/>
                <w:color w:val="000000"/>
                <w:kern w:val="0"/>
                <w:sz w:val="24"/>
                <w:highlight w:val="none"/>
                <w:vertAlign w:val="subscript"/>
                <w:lang w:bidi="ar"/>
              </w:rPr>
              <w:t>eq</w:t>
            </w:r>
            <w:r>
              <w:rPr>
                <w:rFonts w:hint="eastAsia" w:hAnsi="宋体"/>
                <w:bCs/>
                <w:color w:val="000000"/>
                <w:kern w:val="0"/>
                <w:sz w:val="24"/>
                <w:highlight w:val="none"/>
                <w:lang w:bidi="ar"/>
              </w:rPr>
              <w:t>—预测点的噪声预测值，dB；</w:t>
            </w:r>
          </w:p>
          <w:p>
            <w:pPr>
              <w:pStyle w:val="68"/>
              <w:tabs>
                <w:tab w:val="left" w:pos="0"/>
              </w:tabs>
              <w:spacing w:line="360" w:lineRule="auto"/>
              <w:ind w:firstLine="480"/>
              <w:rPr>
                <w:rFonts w:hint="eastAsia" w:hAnsi="宋体"/>
                <w:bCs/>
                <w:color w:val="000000"/>
                <w:kern w:val="0"/>
                <w:sz w:val="24"/>
                <w:highlight w:val="none"/>
                <w:lang w:bidi="ar"/>
              </w:rPr>
            </w:pPr>
            <w:r>
              <w:rPr>
                <w:rFonts w:hint="eastAsia" w:hAnsi="宋体"/>
                <w:bCs/>
                <w:color w:val="000000"/>
                <w:kern w:val="0"/>
                <w:sz w:val="24"/>
                <w:highlight w:val="none"/>
                <w:lang w:bidi="ar"/>
              </w:rPr>
              <w:t>L</w:t>
            </w:r>
            <w:r>
              <w:rPr>
                <w:rFonts w:hint="eastAsia" w:hAnsi="宋体"/>
                <w:bCs/>
                <w:color w:val="000000"/>
                <w:kern w:val="0"/>
                <w:sz w:val="24"/>
                <w:highlight w:val="none"/>
                <w:vertAlign w:val="subscript"/>
                <w:lang w:bidi="ar"/>
              </w:rPr>
              <w:t>eqg</w:t>
            </w:r>
            <w:r>
              <w:rPr>
                <w:rFonts w:hint="eastAsia" w:hAnsi="宋体"/>
                <w:bCs/>
                <w:color w:val="000000"/>
                <w:kern w:val="0"/>
                <w:sz w:val="24"/>
                <w:highlight w:val="none"/>
                <w:lang w:bidi="ar"/>
              </w:rPr>
              <w:t>—建设项目声源在预测点产生的的噪声贡献值，dB；</w:t>
            </w:r>
          </w:p>
          <w:p>
            <w:pPr>
              <w:adjustRightInd w:val="0"/>
              <w:snapToGrid w:val="0"/>
              <w:spacing w:line="360" w:lineRule="auto"/>
              <w:ind w:firstLine="480" w:firstLineChars="200"/>
              <w:jc w:val="center"/>
              <w:rPr>
                <w:rFonts w:ascii="宋体" w:hAnsi="宋体"/>
                <w:sz w:val="24"/>
                <w:highlight w:val="none"/>
              </w:rPr>
            </w:pPr>
            <w:r>
              <w:rPr>
                <w:rFonts w:hint="eastAsia" w:ascii="宋体" w:hAnsi="宋体"/>
                <w:bCs/>
                <w:color w:val="000000"/>
                <w:kern w:val="0"/>
                <w:sz w:val="24"/>
                <w:highlight w:val="none"/>
                <w:lang w:bidi="ar"/>
              </w:rPr>
              <w:t>L</w:t>
            </w:r>
            <w:r>
              <w:rPr>
                <w:rFonts w:hint="eastAsia" w:ascii="宋体" w:hAnsi="宋体"/>
                <w:bCs/>
                <w:color w:val="000000"/>
                <w:kern w:val="0"/>
                <w:sz w:val="24"/>
                <w:highlight w:val="none"/>
                <w:vertAlign w:val="subscript"/>
                <w:lang w:bidi="ar"/>
              </w:rPr>
              <w:t>eqb</w:t>
            </w:r>
            <w:r>
              <w:rPr>
                <w:rFonts w:hint="eastAsia" w:ascii="宋体" w:hAnsi="宋体"/>
                <w:bCs/>
                <w:color w:val="000000"/>
                <w:kern w:val="0"/>
                <w:sz w:val="24"/>
                <w:highlight w:val="none"/>
                <w:lang w:bidi="ar"/>
              </w:rPr>
              <w:t>—预测点的背景噪声值，dB</w:t>
            </w:r>
            <w:r>
              <w:rPr>
                <w:rFonts w:hint="eastAsia" w:ascii="宋体" w:hAnsi="宋体"/>
                <w:bCs/>
                <w:sz w:val="24"/>
                <w:highlight w:val="none"/>
              </w:rPr>
              <w:t>。</w:t>
            </w:r>
          </w:p>
          <w:p>
            <w:pPr>
              <w:pStyle w:val="72"/>
              <w:ind w:firstLine="0" w:firstLineChars="0"/>
              <w:jc w:val="left"/>
              <w:rPr>
                <w:rFonts w:hint="eastAsia" w:ascii="宋体" w:hAnsi="宋体" w:cs="宋体"/>
                <w:b/>
                <w:bCs/>
                <w:szCs w:val="21"/>
                <w:highlight w:val="none"/>
                <w:u w:val="single"/>
              </w:rPr>
            </w:pPr>
          </w:p>
          <w:p>
            <w:pPr>
              <w:tabs>
                <w:tab w:val="left" w:pos="720"/>
              </w:tabs>
              <w:autoSpaceDE w:val="0"/>
              <w:autoSpaceDN w:val="0"/>
              <w:adjustRightInd w:val="0"/>
              <w:snapToGrid w:val="0"/>
              <w:spacing w:line="360" w:lineRule="auto"/>
              <w:ind w:firstLine="480" w:firstLineChars="200"/>
              <w:rPr>
                <w:sz w:val="24"/>
                <w:highlight w:val="none"/>
              </w:rPr>
            </w:pPr>
            <w:r>
              <w:rPr>
                <w:sz w:val="24"/>
                <w:highlight w:val="none"/>
              </w:rPr>
              <w:t>根据以上公式计算出本项目运营期噪声对厂界声环境质量的贡献值，以反映项目建成投产后对周边声环境影响情况，预测结果详见下表。</w:t>
            </w: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22"/>
              <w:rPr>
                <w:rFonts w:hint="eastAsia" w:ascii="宋体" w:hAnsi="宋体" w:cs="宋体"/>
                <w:bCs/>
                <w:sz w:val="24"/>
                <w:highlight w:val="yellow"/>
                <w:u w:val="single"/>
              </w:rPr>
            </w:pPr>
          </w:p>
          <w:p>
            <w:pPr>
              <w:pStyle w:val="72"/>
              <w:ind w:firstLine="422"/>
              <w:jc w:val="center"/>
              <w:rPr>
                <w:rFonts w:hint="eastAsia" w:ascii="宋体" w:hAnsi="宋体" w:cs="宋体"/>
                <w:b/>
                <w:bCs/>
                <w:szCs w:val="21"/>
                <w:highlight w:val="none"/>
                <w:u w:val="single"/>
              </w:rPr>
            </w:pPr>
            <w:r>
              <w:rPr>
                <w:rFonts w:hint="eastAsia" w:ascii="宋体" w:hAnsi="宋体" w:cs="宋体"/>
                <w:b/>
                <w:bCs/>
                <w:szCs w:val="21"/>
                <w:highlight w:val="none"/>
                <w:u w:val="single"/>
              </w:rPr>
              <w:t>表4-1</w:t>
            </w:r>
            <w:r>
              <w:rPr>
                <w:rFonts w:hint="eastAsia" w:ascii="宋体" w:hAnsi="宋体" w:cs="宋体"/>
                <w:b/>
                <w:bCs/>
                <w:szCs w:val="21"/>
                <w:highlight w:val="none"/>
                <w:u w:val="single"/>
                <w:lang w:val="en-US" w:eastAsia="zh-CN"/>
              </w:rPr>
              <w:t>3</w:t>
            </w:r>
            <w:r>
              <w:rPr>
                <w:rFonts w:hint="eastAsia" w:ascii="宋体" w:hAnsi="宋体" w:cs="宋体"/>
                <w:b/>
                <w:bCs/>
                <w:szCs w:val="21"/>
                <w:highlight w:val="none"/>
                <w:u w:val="single"/>
              </w:rPr>
              <w:t xml:space="preserve">  噪声预测结果   （单位：</w:t>
            </w:r>
            <w:r>
              <w:rPr>
                <w:rFonts w:ascii="宋体" w:hAnsi="宋体" w:cs="宋体"/>
                <w:b/>
                <w:bCs/>
                <w:szCs w:val="21"/>
                <w:highlight w:val="none"/>
                <w:u w:val="single"/>
              </w:rPr>
              <w:t>dB(A)</w:t>
            </w:r>
            <w:r>
              <w:rPr>
                <w:rFonts w:hint="eastAsia" w:ascii="宋体" w:hAnsi="宋体" w:cs="宋体"/>
                <w:b/>
                <w:bCs/>
                <w:szCs w:val="21"/>
                <w:highlight w:val="none"/>
                <w:u w:val="single"/>
              </w:rPr>
              <w:t>）</w:t>
            </w:r>
          </w:p>
          <w:tbl>
            <w:tblPr>
              <w:tblStyle w:val="23"/>
              <w:tblW w:w="4981"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403"/>
              <w:gridCol w:w="998"/>
              <w:gridCol w:w="711"/>
              <w:gridCol w:w="573"/>
              <w:gridCol w:w="852"/>
              <w:gridCol w:w="711"/>
              <w:gridCol w:w="685"/>
              <w:gridCol w:w="462"/>
              <w:gridCol w:w="433"/>
              <w:gridCol w:w="12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865" w:type="pct"/>
                  <w:vMerge w:val="restart"/>
                  <w:tcBorders>
                    <w:top w:val="single" w:color="000000" w:sz="12" w:space="0"/>
                    <w:left w:val="nil"/>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项目</w:t>
                  </w:r>
                </w:p>
              </w:tc>
              <w:tc>
                <w:tcPr>
                  <w:tcW w:w="615" w:type="pct"/>
                  <w:vMerge w:val="restart"/>
                  <w:tcBorders>
                    <w:top w:val="single" w:color="000000" w:sz="12"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距厂界距离（m）</w:t>
                  </w:r>
                </w:p>
              </w:tc>
              <w:tc>
                <w:tcPr>
                  <w:tcW w:w="791" w:type="pct"/>
                  <w:gridSpan w:val="2"/>
                  <w:tcBorders>
                    <w:top w:val="single" w:color="000000" w:sz="12"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背景值</w:t>
                  </w:r>
                </w:p>
              </w:tc>
              <w:tc>
                <w:tcPr>
                  <w:tcW w:w="525" w:type="pct"/>
                  <w:vMerge w:val="restart"/>
                  <w:tcBorders>
                    <w:top w:val="single" w:color="000000" w:sz="12"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贡献值</w:t>
                  </w:r>
                </w:p>
              </w:tc>
              <w:tc>
                <w:tcPr>
                  <w:tcW w:w="860" w:type="pct"/>
                  <w:gridSpan w:val="2"/>
                  <w:vMerge w:val="restart"/>
                  <w:tcBorders>
                    <w:top w:val="single" w:color="000000" w:sz="12"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预测值</w:t>
                  </w:r>
                </w:p>
              </w:tc>
              <w:tc>
                <w:tcPr>
                  <w:tcW w:w="552" w:type="pct"/>
                  <w:gridSpan w:val="2"/>
                  <w:vMerge w:val="restart"/>
                  <w:tcBorders>
                    <w:top w:val="single" w:color="000000" w:sz="12"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标准值</w:t>
                  </w:r>
                </w:p>
              </w:tc>
              <w:tc>
                <w:tcPr>
                  <w:tcW w:w="788" w:type="pct"/>
                  <w:vMerge w:val="restart"/>
                  <w:tcBorders>
                    <w:top w:val="single" w:color="000000" w:sz="12" w:space="0"/>
                    <w:left w:val="single" w:color="000000" w:sz="4" w:space="0"/>
                    <w:bottom w:val="single" w:color="000000" w:sz="4" w:space="0"/>
                    <w:right w:val="nil"/>
                  </w:tcBorders>
                  <w:noWrap w:val="0"/>
                  <w:vAlign w:val="center"/>
                </w:tcPr>
                <w:p>
                  <w:pPr>
                    <w:jc w:val="center"/>
                    <w:rPr>
                      <w:rFonts w:ascii="宋体" w:hAnsi="宋体"/>
                      <w:szCs w:val="21"/>
                      <w:highlight w:val="none"/>
                      <w:u w:val="none"/>
                    </w:rPr>
                  </w:pPr>
                  <w:r>
                    <w:rPr>
                      <w:rFonts w:hint="eastAsia" w:ascii="宋体" w:hAnsi="宋体"/>
                      <w:szCs w:val="21"/>
                      <w:highlight w:val="none"/>
                      <w:u w:val="none"/>
                    </w:rPr>
                    <w:t>达标性分析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865" w:type="pct"/>
                  <w:vMerge w:val="continue"/>
                  <w:tcBorders>
                    <w:top w:val="single" w:color="000000" w:sz="12" w:space="0"/>
                    <w:left w:val="nil"/>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615" w:type="pct"/>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昼</w:t>
                  </w:r>
                </w:p>
              </w:tc>
              <w:tc>
                <w:tcPr>
                  <w:tcW w:w="353" w:type="pct"/>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夜</w:t>
                  </w:r>
                </w:p>
              </w:tc>
              <w:tc>
                <w:tcPr>
                  <w:tcW w:w="525" w:type="pct"/>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860" w:type="pct"/>
                  <w:gridSpan w:val="2"/>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552" w:type="pct"/>
                  <w:gridSpan w:val="2"/>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788" w:type="pct"/>
                  <w:vMerge w:val="continue"/>
                  <w:tcBorders>
                    <w:top w:val="single" w:color="000000" w:sz="12" w:space="0"/>
                    <w:left w:val="single" w:color="000000" w:sz="4" w:space="0"/>
                    <w:bottom w:val="single" w:color="000000" w:sz="4" w:space="0"/>
                    <w:right w:val="nil"/>
                  </w:tcBorders>
                  <w:noWrap w:val="0"/>
                  <w:vAlign w:val="center"/>
                </w:tcPr>
                <w:p>
                  <w:pPr>
                    <w:widowControl/>
                    <w:jc w:val="left"/>
                    <w:rPr>
                      <w:rFonts w:ascii="宋体" w:hAnsi="宋体"/>
                      <w:szCs w:val="21"/>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jc w:val="center"/>
              </w:trPr>
              <w:tc>
                <w:tcPr>
                  <w:tcW w:w="865" w:type="pct"/>
                  <w:vMerge w:val="continue"/>
                  <w:tcBorders>
                    <w:top w:val="single" w:color="000000" w:sz="12" w:space="0"/>
                    <w:left w:val="nil"/>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615" w:type="pct"/>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353"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525" w:type="pct"/>
                  <w:vMerge w:val="continue"/>
                  <w:tcBorders>
                    <w:top w:val="single" w:color="000000" w:sz="12" w:space="0"/>
                    <w:left w:val="single" w:color="000000" w:sz="4" w:space="0"/>
                    <w:bottom w:val="single" w:color="000000" w:sz="4" w:space="0"/>
                    <w:right w:val="single" w:color="000000" w:sz="4" w:space="0"/>
                  </w:tcBorders>
                  <w:noWrap w:val="0"/>
                  <w:vAlign w:val="center"/>
                </w:tcPr>
                <w:p>
                  <w:pPr>
                    <w:widowControl/>
                    <w:jc w:val="left"/>
                    <w:rPr>
                      <w:rFonts w:ascii="宋体" w:hAnsi="宋体"/>
                      <w:szCs w:val="21"/>
                      <w:highlight w:val="none"/>
                      <w:u w:val="none"/>
                    </w:rPr>
                  </w:pP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昼</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夜</w:t>
                  </w:r>
                </w:p>
              </w:tc>
              <w:tc>
                <w:tcPr>
                  <w:tcW w:w="2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昼</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Cs w:val="21"/>
                      <w:highlight w:val="none"/>
                      <w:u w:val="none"/>
                    </w:rPr>
                  </w:pPr>
                  <w:r>
                    <w:rPr>
                      <w:rFonts w:hint="eastAsia" w:ascii="宋体" w:hAnsi="宋体"/>
                      <w:szCs w:val="21"/>
                      <w:highlight w:val="none"/>
                      <w:u w:val="none"/>
                    </w:rPr>
                    <w:t>夜</w:t>
                  </w:r>
                </w:p>
              </w:tc>
              <w:tc>
                <w:tcPr>
                  <w:tcW w:w="788" w:type="pct"/>
                  <w:vMerge w:val="continue"/>
                  <w:tcBorders>
                    <w:top w:val="single" w:color="000000" w:sz="12" w:space="0"/>
                    <w:left w:val="single" w:color="000000" w:sz="4" w:space="0"/>
                    <w:bottom w:val="single" w:color="000000" w:sz="4" w:space="0"/>
                    <w:right w:val="nil"/>
                  </w:tcBorders>
                  <w:noWrap w:val="0"/>
                  <w:vAlign w:val="center"/>
                </w:tcPr>
                <w:p>
                  <w:pPr>
                    <w:widowControl/>
                    <w:jc w:val="left"/>
                    <w:rPr>
                      <w:rFonts w:ascii="宋体" w:hAnsi="宋体"/>
                      <w:szCs w:val="21"/>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jc w:val="center"/>
              </w:trPr>
              <w:tc>
                <w:tcPr>
                  <w:tcW w:w="865" w:type="pct"/>
                  <w:tcBorders>
                    <w:top w:val="single" w:color="000000" w:sz="4" w:space="0"/>
                    <w:left w:val="nil"/>
                    <w:bottom w:val="single" w:color="000000" w:sz="4" w:space="0"/>
                    <w:right w:val="single" w:color="000000" w:sz="4" w:space="0"/>
                  </w:tcBorders>
                  <w:noWrap w:val="0"/>
                  <w:vAlign w:val="top"/>
                </w:tcPr>
                <w:p>
                  <w:pPr>
                    <w:jc w:val="center"/>
                    <w:rPr>
                      <w:rFonts w:ascii="宋体" w:hAnsi="宋体"/>
                      <w:szCs w:val="21"/>
                      <w:highlight w:val="none"/>
                      <w:u w:val="none"/>
                    </w:rPr>
                  </w:pPr>
                  <w:r>
                    <w:rPr>
                      <w:rFonts w:ascii="宋体" w:hAnsi="宋体"/>
                      <w:szCs w:val="21"/>
                      <w:highlight w:val="none"/>
                      <w:u w:val="none"/>
                    </w:rPr>
                    <w:t xml:space="preserve">1# </w:t>
                  </w:r>
                  <w:r>
                    <w:rPr>
                      <w:rFonts w:hint="eastAsia" w:ascii="宋体" w:hAnsi="宋体"/>
                      <w:szCs w:val="21"/>
                      <w:highlight w:val="none"/>
                      <w:u w:val="none"/>
                    </w:rPr>
                    <w:t>东厂界</w:t>
                  </w:r>
                </w:p>
              </w:tc>
              <w:tc>
                <w:tcPr>
                  <w:tcW w:w="61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宋体" w:hAnsi="宋体" w:eastAsia="宋体" w:cs="Times New Roman"/>
                      <w:szCs w:val="21"/>
                      <w:highlight w:val="none"/>
                      <w:u w:val="none"/>
                      <w:lang w:val="en-US" w:eastAsia="zh-CN"/>
                    </w:rPr>
                  </w:pPr>
                  <w:r>
                    <w:rPr>
                      <w:rFonts w:hint="eastAsia" w:ascii="宋体" w:hAnsi="宋体" w:eastAsia="宋体" w:cs="Times New Roman"/>
                      <w:szCs w:val="21"/>
                      <w:highlight w:val="none"/>
                      <w:u w:val="none"/>
                      <w:lang w:val="en-US" w:eastAsia="zh-CN"/>
                    </w:rPr>
                    <w:t>30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51.6</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38.7</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31.64</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51.64</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39.48</w:t>
                  </w:r>
                </w:p>
              </w:tc>
              <w:tc>
                <w:tcPr>
                  <w:tcW w:w="28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55</w:t>
                  </w:r>
                </w:p>
              </w:tc>
              <w:tc>
                <w:tcPr>
                  <w:tcW w:w="267"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45</w:t>
                  </w:r>
                </w:p>
              </w:tc>
              <w:tc>
                <w:tcPr>
                  <w:tcW w:w="788" w:type="pct"/>
                  <w:tcBorders>
                    <w:top w:val="single" w:color="000000" w:sz="4" w:space="0"/>
                    <w:left w:val="single" w:color="000000" w:sz="4" w:space="0"/>
                    <w:bottom w:val="single" w:color="000000" w:sz="4" w:space="0"/>
                    <w:right w:val="nil"/>
                  </w:tcBorders>
                  <w:noWrap w:val="0"/>
                  <w:vAlign w:val="top"/>
                </w:tcPr>
                <w:p>
                  <w:pPr>
                    <w:jc w:val="center"/>
                    <w:rPr>
                      <w:rFonts w:ascii="宋体" w:hAnsi="宋体"/>
                      <w:szCs w:val="21"/>
                      <w:highlight w:val="none"/>
                      <w:u w:val="none"/>
                    </w:rPr>
                  </w:pPr>
                  <w:r>
                    <w:rPr>
                      <w:rFonts w:hint="eastAsia" w:ascii="宋体" w:hAnsi="宋体"/>
                      <w:szCs w:val="21"/>
                      <w:highlight w:val="none"/>
                      <w:u w:val="none"/>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jc w:val="center"/>
              </w:trPr>
              <w:tc>
                <w:tcPr>
                  <w:tcW w:w="865" w:type="pct"/>
                  <w:tcBorders>
                    <w:top w:val="single" w:color="000000" w:sz="4" w:space="0"/>
                    <w:left w:val="nil"/>
                    <w:bottom w:val="single" w:color="000000" w:sz="4" w:space="0"/>
                    <w:right w:val="single" w:color="000000" w:sz="4" w:space="0"/>
                  </w:tcBorders>
                  <w:noWrap w:val="0"/>
                  <w:vAlign w:val="top"/>
                </w:tcPr>
                <w:p>
                  <w:pPr>
                    <w:jc w:val="center"/>
                    <w:rPr>
                      <w:rFonts w:ascii="宋体" w:hAnsi="宋体"/>
                      <w:szCs w:val="21"/>
                      <w:highlight w:val="none"/>
                      <w:u w:val="none"/>
                    </w:rPr>
                  </w:pPr>
                  <w:r>
                    <w:rPr>
                      <w:rFonts w:ascii="宋体" w:hAnsi="宋体"/>
                      <w:szCs w:val="21"/>
                      <w:highlight w:val="none"/>
                      <w:u w:val="none"/>
                    </w:rPr>
                    <w:t xml:space="preserve">2# </w:t>
                  </w:r>
                  <w:r>
                    <w:rPr>
                      <w:rFonts w:hint="eastAsia" w:ascii="宋体" w:hAnsi="宋体"/>
                      <w:szCs w:val="21"/>
                      <w:highlight w:val="none"/>
                      <w:u w:val="none"/>
                    </w:rPr>
                    <w:t>南厂界</w:t>
                  </w:r>
                </w:p>
              </w:tc>
              <w:tc>
                <w:tcPr>
                  <w:tcW w:w="61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宋体" w:hAnsi="宋体" w:eastAsia="宋体" w:cs="Times New Roman"/>
                      <w:szCs w:val="21"/>
                      <w:highlight w:val="none"/>
                      <w:u w:val="none"/>
                      <w:lang w:val="en-US" w:eastAsia="zh-CN"/>
                    </w:rPr>
                  </w:pPr>
                  <w:r>
                    <w:rPr>
                      <w:rFonts w:hint="eastAsia" w:ascii="宋体" w:hAnsi="宋体" w:eastAsia="宋体" w:cs="Times New Roman"/>
                      <w:szCs w:val="21"/>
                      <w:highlight w:val="none"/>
                      <w:u w:val="none"/>
                      <w:lang w:val="en-US" w:eastAsia="zh-CN"/>
                    </w:rPr>
                    <w:t>788</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50.0</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38.1</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3.25</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50</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38.1</w:t>
                  </w:r>
                </w:p>
              </w:tc>
              <w:tc>
                <w:tcPr>
                  <w:tcW w:w="28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55</w:t>
                  </w:r>
                </w:p>
              </w:tc>
              <w:tc>
                <w:tcPr>
                  <w:tcW w:w="267"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45</w:t>
                  </w:r>
                </w:p>
              </w:tc>
              <w:tc>
                <w:tcPr>
                  <w:tcW w:w="788" w:type="pct"/>
                  <w:tcBorders>
                    <w:top w:val="single" w:color="000000" w:sz="4" w:space="0"/>
                    <w:left w:val="single" w:color="000000" w:sz="4" w:space="0"/>
                    <w:bottom w:val="single" w:color="000000" w:sz="4" w:space="0"/>
                    <w:right w:val="nil"/>
                  </w:tcBorders>
                  <w:noWrap w:val="0"/>
                  <w:vAlign w:val="top"/>
                </w:tcPr>
                <w:p>
                  <w:pPr>
                    <w:jc w:val="center"/>
                    <w:rPr>
                      <w:rFonts w:ascii="宋体" w:hAnsi="宋体"/>
                      <w:szCs w:val="21"/>
                      <w:highlight w:val="none"/>
                      <w:u w:val="none"/>
                    </w:rPr>
                  </w:pPr>
                  <w:r>
                    <w:rPr>
                      <w:rFonts w:hint="eastAsia" w:ascii="宋体" w:hAnsi="宋体"/>
                      <w:szCs w:val="21"/>
                      <w:highlight w:val="none"/>
                      <w:u w:val="none"/>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jc w:val="center"/>
              </w:trPr>
              <w:tc>
                <w:tcPr>
                  <w:tcW w:w="865" w:type="pct"/>
                  <w:tcBorders>
                    <w:top w:val="single" w:color="000000" w:sz="4" w:space="0"/>
                    <w:left w:val="nil"/>
                    <w:bottom w:val="single" w:color="000000" w:sz="4" w:space="0"/>
                    <w:right w:val="single" w:color="000000" w:sz="4" w:space="0"/>
                  </w:tcBorders>
                  <w:noWrap w:val="0"/>
                  <w:vAlign w:val="top"/>
                </w:tcPr>
                <w:p>
                  <w:pPr>
                    <w:jc w:val="center"/>
                    <w:rPr>
                      <w:rFonts w:ascii="宋体" w:hAnsi="宋体"/>
                      <w:szCs w:val="21"/>
                      <w:highlight w:val="none"/>
                      <w:u w:val="none"/>
                    </w:rPr>
                  </w:pPr>
                  <w:r>
                    <w:rPr>
                      <w:rFonts w:ascii="宋体" w:hAnsi="宋体"/>
                      <w:szCs w:val="21"/>
                      <w:highlight w:val="none"/>
                      <w:u w:val="none"/>
                    </w:rPr>
                    <w:t xml:space="preserve">3# </w:t>
                  </w:r>
                  <w:r>
                    <w:rPr>
                      <w:rFonts w:hint="eastAsia" w:ascii="宋体" w:hAnsi="宋体"/>
                      <w:szCs w:val="21"/>
                      <w:highlight w:val="none"/>
                      <w:u w:val="none"/>
                    </w:rPr>
                    <w:t>西厂界</w:t>
                  </w:r>
                </w:p>
              </w:tc>
              <w:tc>
                <w:tcPr>
                  <w:tcW w:w="61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宋体" w:hAnsi="宋体" w:eastAsia="宋体" w:cs="Times New Roman"/>
                      <w:szCs w:val="21"/>
                      <w:highlight w:val="none"/>
                      <w:u w:val="none"/>
                      <w:lang w:val="en-US" w:eastAsia="zh-CN"/>
                    </w:rPr>
                  </w:pPr>
                  <w:r>
                    <w:rPr>
                      <w:rFonts w:hint="eastAsia" w:ascii="宋体" w:hAnsi="宋体" w:eastAsia="宋体" w:cs="Times New Roman"/>
                      <w:szCs w:val="21"/>
                      <w:highlight w:val="none"/>
                      <w:u w:val="none"/>
                      <w:lang w:val="en-US" w:eastAsia="zh-CN"/>
                    </w:rPr>
                    <w:t>150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54.0</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39.3</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17.6</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54</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39.33</w:t>
                  </w:r>
                </w:p>
              </w:tc>
              <w:tc>
                <w:tcPr>
                  <w:tcW w:w="28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55</w:t>
                  </w:r>
                </w:p>
              </w:tc>
              <w:tc>
                <w:tcPr>
                  <w:tcW w:w="267"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45</w:t>
                  </w:r>
                </w:p>
              </w:tc>
              <w:tc>
                <w:tcPr>
                  <w:tcW w:w="788" w:type="pct"/>
                  <w:tcBorders>
                    <w:top w:val="single" w:color="000000" w:sz="4" w:space="0"/>
                    <w:left w:val="single" w:color="000000" w:sz="4" w:space="0"/>
                    <w:bottom w:val="single" w:color="000000" w:sz="4" w:space="0"/>
                    <w:right w:val="nil"/>
                  </w:tcBorders>
                  <w:noWrap w:val="0"/>
                  <w:vAlign w:val="top"/>
                </w:tcPr>
                <w:p>
                  <w:pPr>
                    <w:jc w:val="center"/>
                    <w:rPr>
                      <w:rFonts w:ascii="宋体" w:hAnsi="宋体"/>
                      <w:szCs w:val="21"/>
                      <w:highlight w:val="none"/>
                      <w:u w:val="none"/>
                    </w:rPr>
                  </w:pPr>
                  <w:r>
                    <w:rPr>
                      <w:rFonts w:hint="eastAsia" w:ascii="宋体" w:hAnsi="宋体"/>
                      <w:szCs w:val="21"/>
                      <w:highlight w:val="none"/>
                      <w:u w:val="none"/>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jc w:val="center"/>
              </w:trPr>
              <w:tc>
                <w:tcPr>
                  <w:tcW w:w="865" w:type="pct"/>
                  <w:tcBorders>
                    <w:top w:val="single" w:color="000000" w:sz="4" w:space="0"/>
                    <w:left w:val="nil"/>
                    <w:bottom w:val="single" w:color="000000" w:sz="4" w:space="0"/>
                    <w:right w:val="single" w:color="000000" w:sz="4" w:space="0"/>
                  </w:tcBorders>
                  <w:noWrap w:val="0"/>
                  <w:vAlign w:val="top"/>
                </w:tcPr>
                <w:p>
                  <w:pPr>
                    <w:jc w:val="center"/>
                    <w:rPr>
                      <w:rFonts w:ascii="宋体" w:hAnsi="宋体"/>
                      <w:szCs w:val="21"/>
                      <w:highlight w:val="none"/>
                      <w:u w:val="none"/>
                    </w:rPr>
                  </w:pPr>
                  <w:r>
                    <w:rPr>
                      <w:rFonts w:ascii="宋体" w:hAnsi="宋体"/>
                      <w:szCs w:val="21"/>
                      <w:highlight w:val="none"/>
                      <w:u w:val="none"/>
                    </w:rPr>
                    <w:t xml:space="preserve">4# </w:t>
                  </w:r>
                  <w:r>
                    <w:rPr>
                      <w:rFonts w:hint="eastAsia" w:ascii="宋体" w:hAnsi="宋体"/>
                      <w:szCs w:val="21"/>
                      <w:highlight w:val="none"/>
                      <w:u w:val="none"/>
                    </w:rPr>
                    <w:t>北厂界</w:t>
                  </w:r>
                </w:p>
              </w:tc>
              <w:tc>
                <w:tcPr>
                  <w:tcW w:w="61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宋体" w:hAnsi="宋体" w:eastAsia="宋体" w:cs="Times New Roman"/>
                      <w:szCs w:val="21"/>
                      <w:highlight w:val="none"/>
                      <w:u w:val="none"/>
                      <w:lang w:val="en-US" w:eastAsia="zh-CN"/>
                    </w:rPr>
                  </w:pPr>
                  <w:r>
                    <w:rPr>
                      <w:rFonts w:hint="eastAsia" w:ascii="宋体" w:hAnsi="宋体" w:eastAsia="宋体" w:cs="Times New Roman"/>
                      <w:szCs w:val="21"/>
                      <w:highlight w:val="none"/>
                      <w:u w:val="none"/>
                      <w:lang w:val="en-US" w:eastAsia="zh-CN"/>
                    </w:rPr>
                    <w:t>150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53.8</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Cs/>
                      <w:sz w:val="18"/>
                      <w:szCs w:val="18"/>
                      <w:highlight w:val="yellow"/>
                      <w:u w:val="single"/>
                    </w:rPr>
                  </w:pPr>
                  <w:r>
                    <w:rPr>
                      <w:rFonts w:hint="eastAsia" w:ascii="宋体" w:hAnsi="宋体" w:eastAsia="宋体"/>
                      <w:szCs w:val="21"/>
                      <w:lang w:val="en-US" w:eastAsia="zh-CN"/>
                    </w:rPr>
                    <w:t>40.0</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17.6</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53.8</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宋体" w:hAnsi="宋体" w:eastAsia="宋体" w:cs="宋体"/>
                      <w:bCs/>
                      <w:sz w:val="18"/>
                      <w:szCs w:val="18"/>
                      <w:highlight w:val="none"/>
                      <w:u w:val="none"/>
                      <w:lang w:val="en-US" w:eastAsia="zh-CN"/>
                    </w:rPr>
                  </w:pPr>
                  <w:r>
                    <w:rPr>
                      <w:rFonts w:hint="eastAsia" w:ascii="宋体" w:hAnsi="宋体" w:cs="宋体"/>
                      <w:bCs/>
                      <w:sz w:val="18"/>
                      <w:szCs w:val="18"/>
                      <w:highlight w:val="none"/>
                      <w:u w:val="none"/>
                      <w:lang w:val="en-US" w:eastAsia="zh-CN"/>
                    </w:rPr>
                    <w:t>40.02</w:t>
                  </w:r>
                </w:p>
              </w:tc>
              <w:tc>
                <w:tcPr>
                  <w:tcW w:w="285"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55</w:t>
                  </w:r>
                </w:p>
              </w:tc>
              <w:tc>
                <w:tcPr>
                  <w:tcW w:w="267" w:type="pct"/>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szCs w:val="21"/>
                      <w:highlight w:val="none"/>
                      <w:u w:val="none"/>
                    </w:rPr>
                  </w:pPr>
                  <w:r>
                    <w:rPr>
                      <w:rFonts w:hint="eastAsia" w:ascii="宋体" w:hAnsi="宋体"/>
                      <w:szCs w:val="21"/>
                      <w:highlight w:val="none"/>
                      <w:u w:val="none"/>
                    </w:rPr>
                    <w:t>45</w:t>
                  </w:r>
                </w:p>
              </w:tc>
              <w:tc>
                <w:tcPr>
                  <w:tcW w:w="788" w:type="pct"/>
                  <w:tcBorders>
                    <w:top w:val="single" w:color="000000" w:sz="4" w:space="0"/>
                    <w:left w:val="single" w:color="000000" w:sz="4" w:space="0"/>
                    <w:bottom w:val="single" w:color="000000" w:sz="4" w:space="0"/>
                    <w:right w:val="nil"/>
                  </w:tcBorders>
                  <w:noWrap w:val="0"/>
                  <w:vAlign w:val="top"/>
                </w:tcPr>
                <w:p>
                  <w:pPr>
                    <w:jc w:val="center"/>
                    <w:rPr>
                      <w:rFonts w:ascii="宋体" w:hAnsi="宋体"/>
                      <w:szCs w:val="21"/>
                      <w:highlight w:val="none"/>
                      <w:u w:val="none"/>
                    </w:rPr>
                  </w:pPr>
                  <w:r>
                    <w:rPr>
                      <w:rFonts w:hint="eastAsia" w:ascii="宋体" w:hAnsi="宋体"/>
                      <w:szCs w:val="21"/>
                      <w:highlight w:val="none"/>
                      <w:u w:val="none"/>
                    </w:rPr>
                    <w:t>达标</w:t>
                  </w:r>
                </w:p>
              </w:tc>
            </w:tr>
          </w:tbl>
          <w:p>
            <w:pPr>
              <w:pStyle w:val="72"/>
              <w:ind w:firstLine="422"/>
              <w:jc w:val="center"/>
              <w:rPr>
                <w:rFonts w:ascii="宋体" w:hAnsi="宋体" w:cs="宋体"/>
                <w:b/>
                <w:bCs/>
                <w:szCs w:val="21"/>
                <w:highlight w:val="yellow"/>
                <w:u w:val="single"/>
              </w:rPr>
            </w:pPr>
          </w:p>
          <w:p>
            <w:pPr>
              <w:adjustRightInd w:val="0"/>
              <w:snapToGrid w:val="0"/>
              <w:spacing w:line="360" w:lineRule="auto"/>
              <w:ind w:firstLine="480" w:firstLineChars="200"/>
              <w:rPr>
                <w:rFonts w:hint="eastAsia" w:ascii="宋体" w:hAnsi="宋体" w:cs="宋体"/>
                <w:bCs/>
                <w:sz w:val="24"/>
                <w:highlight w:val="none"/>
                <w:u w:val="none"/>
              </w:rPr>
            </w:pPr>
            <w:r>
              <w:rPr>
                <w:rFonts w:hint="eastAsia" w:ascii="宋体" w:hAnsi="宋体" w:cs="宋体"/>
                <w:iCs/>
                <w:sz w:val="24"/>
                <w:highlight w:val="none"/>
                <w:u w:val="none"/>
              </w:rPr>
              <w:t>由上表可见，本项目运营期厂界处昼间、夜间噪声贡献值均满足《工业企业厂界环境噪声排放标准》（GB12348-2008）中1类标准值。</w:t>
            </w:r>
          </w:p>
          <w:p>
            <w:pPr>
              <w:adjustRightInd w:val="0"/>
              <w:snapToGrid w:val="0"/>
              <w:spacing w:line="360" w:lineRule="auto"/>
              <w:ind w:firstLine="480" w:firstLineChars="200"/>
              <w:rPr>
                <w:rFonts w:hint="eastAsia" w:ascii="宋体" w:hAnsi="宋体" w:cs="宋体"/>
                <w:iCs/>
                <w:sz w:val="24"/>
                <w:highlight w:val="none"/>
              </w:rPr>
            </w:pPr>
            <w:r>
              <w:rPr>
                <w:rFonts w:hint="eastAsia" w:ascii="宋体" w:hAnsi="宋体" w:cs="宋体"/>
                <w:iCs/>
                <w:sz w:val="24"/>
                <w:highlight w:val="none"/>
              </w:rPr>
              <w:t>针对本项目的实际情况，项目采取了以下措施：</w:t>
            </w:r>
          </w:p>
          <w:p>
            <w:pPr>
              <w:adjustRightInd w:val="0"/>
              <w:snapToGrid w:val="0"/>
              <w:spacing w:line="360" w:lineRule="auto"/>
              <w:ind w:firstLine="480" w:firstLineChars="200"/>
              <w:rPr>
                <w:rFonts w:hint="eastAsia" w:ascii="宋体" w:hAnsi="宋体" w:cs="宋体"/>
                <w:iCs/>
                <w:sz w:val="24"/>
                <w:highlight w:val="none"/>
              </w:rPr>
            </w:pPr>
            <w:r>
              <w:rPr>
                <w:rFonts w:hint="eastAsia" w:ascii="宋体" w:hAnsi="宋体" w:cs="宋体"/>
                <w:iCs/>
                <w:sz w:val="24"/>
                <w:highlight w:val="none"/>
              </w:rPr>
              <w:t>（1）在设备选型时选购低噪声设备；</w:t>
            </w:r>
          </w:p>
          <w:p>
            <w:pPr>
              <w:adjustRightInd w:val="0"/>
              <w:snapToGrid w:val="0"/>
              <w:spacing w:line="360" w:lineRule="auto"/>
              <w:ind w:firstLine="480" w:firstLineChars="200"/>
              <w:rPr>
                <w:rFonts w:hint="eastAsia" w:ascii="宋体" w:hAnsi="宋体" w:cs="宋体"/>
                <w:iCs/>
                <w:sz w:val="24"/>
                <w:highlight w:val="none"/>
              </w:rPr>
            </w:pPr>
            <w:r>
              <w:rPr>
                <w:rFonts w:hint="eastAsia" w:ascii="宋体" w:hAnsi="宋体" w:cs="宋体"/>
                <w:iCs/>
                <w:sz w:val="24"/>
                <w:highlight w:val="none"/>
              </w:rPr>
              <w:t xml:space="preserve">（2）加强设备维护管理，有异常情况时及时检修，避免因不正常运行而产生较大噪声； </w:t>
            </w:r>
          </w:p>
          <w:p>
            <w:pPr>
              <w:adjustRightInd w:val="0"/>
              <w:snapToGrid w:val="0"/>
              <w:spacing w:line="360" w:lineRule="auto"/>
              <w:ind w:firstLine="480" w:firstLineChars="200"/>
              <w:rPr>
                <w:rFonts w:ascii="宋体" w:hAnsi="宋体" w:cs="宋体"/>
                <w:iCs/>
                <w:sz w:val="24"/>
                <w:highlight w:val="none"/>
              </w:rPr>
            </w:pPr>
            <w:r>
              <w:rPr>
                <w:rFonts w:hint="eastAsia" w:ascii="宋体" w:hAnsi="宋体" w:cs="宋体"/>
                <w:iCs/>
                <w:sz w:val="24"/>
                <w:highlight w:val="none"/>
              </w:rPr>
              <w:t>（3）在风机的风管进出口处采用柔性接头；风机的基础采用的橡胶减振垫或减振台座。</w:t>
            </w:r>
          </w:p>
          <w:p>
            <w:pPr>
              <w:pStyle w:val="72"/>
              <w:ind w:firstLine="422"/>
              <w:jc w:val="center"/>
              <w:rPr>
                <w:rFonts w:ascii="宋体" w:hAnsi="宋体" w:cs="宋体"/>
                <w:b/>
                <w:bCs/>
                <w:szCs w:val="21"/>
                <w:highlight w:val="none"/>
                <w:u w:val="single"/>
              </w:rPr>
            </w:pPr>
            <w:r>
              <w:rPr>
                <w:rFonts w:hint="eastAsia" w:ascii="宋体" w:hAnsi="宋体" w:cs="宋体"/>
                <w:b/>
                <w:bCs/>
                <w:szCs w:val="21"/>
                <w:highlight w:val="none"/>
                <w:u w:val="single"/>
              </w:rPr>
              <w:t>表4-1</w:t>
            </w:r>
            <w:r>
              <w:rPr>
                <w:rFonts w:hint="eastAsia" w:ascii="宋体" w:hAnsi="宋体" w:cs="宋体"/>
                <w:b/>
                <w:bCs/>
                <w:szCs w:val="21"/>
                <w:highlight w:val="none"/>
                <w:u w:val="single"/>
                <w:lang w:val="en-US" w:eastAsia="zh-CN"/>
              </w:rPr>
              <w:t>4</w:t>
            </w:r>
            <w:r>
              <w:rPr>
                <w:rFonts w:hint="eastAsia" w:ascii="宋体" w:hAnsi="宋体" w:cs="宋体"/>
                <w:b/>
                <w:bCs/>
                <w:szCs w:val="21"/>
                <w:highlight w:val="none"/>
                <w:u w:val="single"/>
              </w:rPr>
              <w:t xml:space="preserve">  运营期污染源监测内容及计划</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359"/>
              <w:gridCol w:w="1359"/>
              <w:gridCol w:w="1359"/>
              <w:gridCol w:w="1359"/>
              <w:gridCol w:w="1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监测要素</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阶段</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监测点位</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监测项目</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监测频率</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噪声</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运营期</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四周场界</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等效连续 A 声级</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1 次/季度</w:t>
                  </w:r>
                </w:p>
              </w:tc>
              <w:tc>
                <w:tcPr>
                  <w:tcW w:w="1359" w:type="dxa"/>
                  <w:noWrap w:val="0"/>
                  <w:vAlign w:val="center"/>
                </w:tcPr>
                <w:p>
                  <w:pPr>
                    <w:spacing w:line="360" w:lineRule="auto"/>
                    <w:jc w:val="center"/>
                    <w:rPr>
                      <w:rFonts w:hint="eastAsia" w:ascii="宋体" w:hAnsi="宋体" w:cs="宋体"/>
                      <w:iCs/>
                      <w:szCs w:val="21"/>
                      <w:highlight w:val="none"/>
                    </w:rPr>
                  </w:pPr>
                  <w:r>
                    <w:rPr>
                      <w:rFonts w:hint="eastAsia" w:ascii="宋体" w:hAnsi="宋体" w:cs="宋体"/>
                      <w:iCs/>
                      <w:szCs w:val="21"/>
                      <w:highlight w:val="none"/>
                    </w:rPr>
                    <w:t>有资质的环境监测单位</w:t>
                  </w:r>
                </w:p>
              </w:tc>
            </w:tr>
          </w:tbl>
          <w:p>
            <w:pPr>
              <w:spacing w:line="360" w:lineRule="auto"/>
              <w:ind w:firstLine="480"/>
              <w:rPr>
                <w:rFonts w:hint="eastAsia" w:ascii="宋体" w:hAnsi="宋体" w:cs="宋体"/>
                <w:b/>
                <w:bCs/>
                <w:sz w:val="24"/>
                <w:highlight w:val="none"/>
              </w:rPr>
            </w:pPr>
            <w:r>
              <w:rPr>
                <w:rFonts w:hint="eastAsia" w:ascii="宋体" w:hAnsi="宋体" w:cs="宋体"/>
                <w:b/>
                <w:bCs/>
                <w:sz w:val="24"/>
                <w:highlight w:val="none"/>
              </w:rPr>
              <w:t>4、固体废物</w:t>
            </w:r>
          </w:p>
          <w:p>
            <w:pPr>
              <w:adjustRightInd w:val="0"/>
              <w:snapToGrid w:val="0"/>
              <w:spacing w:line="360" w:lineRule="auto"/>
              <w:ind w:firstLine="480" w:firstLineChars="200"/>
              <w:rPr>
                <w:rFonts w:hint="eastAsia" w:ascii="宋体" w:hAnsi="宋体" w:cs="宋体"/>
                <w:iCs/>
                <w:sz w:val="24"/>
                <w:highlight w:val="none"/>
              </w:rPr>
            </w:pPr>
            <w:r>
              <w:rPr>
                <w:rFonts w:hint="eastAsia" w:ascii="宋体" w:hAnsi="宋体" w:cs="宋体"/>
                <w:iCs/>
                <w:sz w:val="24"/>
                <w:highlight w:val="none"/>
              </w:rPr>
              <w:t>本项目无新增员工，因此无生活垃圾产生。固体废物主要为布袋除尘器收集的除尘灰、生物质锅炉灰渣及废弃布袋。</w:t>
            </w:r>
          </w:p>
          <w:p>
            <w:pPr>
              <w:adjustRightInd w:val="0"/>
              <w:snapToGrid w:val="0"/>
              <w:spacing w:line="360" w:lineRule="auto"/>
              <w:ind w:firstLine="480" w:firstLineChars="200"/>
              <w:rPr>
                <w:rFonts w:hint="eastAsia"/>
                <w:sz w:val="24"/>
                <w:highlight w:val="none"/>
                <w:u w:val="none"/>
              </w:rPr>
            </w:pPr>
            <w:r>
              <w:rPr>
                <w:rFonts w:hint="eastAsia"/>
                <w:sz w:val="24"/>
                <w:highlight w:val="none"/>
                <w:u w:val="none"/>
              </w:rPr>
              <w:t>（1）除尘灰：布袋除尘器收尘灰产生量为</w:t>
            </w:r>
            <w:r>
              <w:rPr>
                <w:rFonts w:hint="eastAsia"/>
                <w:sz w:val="24"/>
                <w:highlight w:val="none"/>
                <w:u w:val="none"/>
                <w:lang w:val="en-US" w:eastAsia="zh-CN"/>
              </w:rPr>
              <w:t>59.23</w:t>
            </w:r>
            <w:r>
              <w:rPr>
                <w:rFonts w:hint="eastAsia"/>
                <w:sz w:val="24"/>
                <w:highlight w:val="none"/>
                <w:u w:val="none"/>
              </w:rPr>
              <w:t>t/a，</w:t>
            </w:r>
            <w:r>
              <w:rPr>
                <w:rFonts w:hint="eastAsia" w:ascii="宋体" w:hAnsi="宋体"/>
                <w:sz w:val="24"/>
                <w:highlight w:val="none"/>
                <w:u w:val="none"/>
              </w:rPr>
              <w:t>除尘灰暂存锅炉房内，</w:t>
            </w:r>
            <w:r>
              <w:rPr>
                <w:rFonts w:hint="eastAsia" w:ascii="Times New Roman" w:hAnsi="Times New Roman" w:eastAsia="宋体" w:cs="Times New Roman"/>
                <w:sz w:val="24"/>
                <w:highlight w:val="none"/>
                <w:u w:val="single"/>
                <w:lang w:val="zh-CN"/>
              </w:rPr>
              <w:t>外售附近村民做肥料</w:t>
            </w:r>
            <w:r>
              <w:rPr>
                <w:rFonts w:hint="eastAsia" w:ascii="Times New Roman" w:hAnsi="Times New Roman" w:eastAsia="宋体" w:cs="Times New Roman"/>
                <w:sz w:val="24"/>
                <w:highlight w:val="none"/>
                <w:u w:val="single"/>
              </w:rPr>
              <w:t>。</w:t>
            </w:r>
            <w:r>
              <w:rPr>
                <w:rFonts w:hint="eastAsia"/>
                <w:sz w:val="24"/>
                <w:highlight w:val="none"/>
                <w:u w:val="single"/>
              </w:rPr>
              <w:t xml:space="preserve"> </w:t>
            </w:r>
          </w:p>
          <w:p>
            <w:pPr>
              <w:adjustRightInd w:val="0"/>
              <w:snapToGrid w:val="0"/>
              <w:spacing w:line="360" w:lineRule="auto"/>
              <w:ind w:firstLine="480" w:firstLineChars="200"/>
              <w:rPr>
                <w:rFonts w:hint="eastAsia"/>
                <w:vanish/>
                <w:sz w:val="24"/>
                <w:highlight w:val="none"/>
              </w:rPr>
            </w:pPr>
            <w:r>
              <w:rPr>
                <w:rFonts w:hint="eastAsia"/>
                <w:sz w:val="24"/>
                <w:highlight w:val="none"/>
              </w:rPr>
              <w:t>（2）灰渣：《根据污染源强核算技术指南 锅炉》（HJ991-2018）灰渣产生量按如下公式计算：</w:t>
            </w:r>
          </w:p>
          <w:p>
            <w:pPr>
              <w:pStyle w:val="40"/>
              <w:rPr>
                <w:rFonts w:hint="eastAsia"/>
                <w:color w:val="auto"/>
                <w:highlight w:val="none"/>
              </w:rPr>
            </w:pPr>
          </w:p>
          <w:p>
            <w:pPr>
              <w:pStyle w:val="40"/>
              <w:rPr>
                <w:rFonts w:hint="eastAsia"/>
                <w:color w:val="auto"/>
                <w:highlight w:val="none"/>
              </w:rPr>
            </w:pPr>
            <w:r>
              <w:rPr>
                <w:color w:val="auto"/>
                <w:highlight w:val="none"/>
              </w:rPr>
              <w:drawing>
                <wp:inline distT="0" distB="0" distL="114300" distR="114300">
                  <wp:extent cx="3362960" cy="514350"/>
                  <wp:effectExtent l="0" t="0" r="8890" b="0"/>
                  <wp:docPr id="96" name="图片 23" descr="166079249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 descr="1660792494125"/>
                          <pic:cNvPicPr>
                            <a:picLocks noChangeAspect="1"/>
                          </pic:cNvPicPr>
                        </pic:nvPicPr>
                        <pic:blipFill>
                          <a:blip r:embed="rId37"/>
                          <a:stretch>
                            <a:fillRect/>
                          </a:stretch>
                        </pic:blipFill>
                        <pic:spPr>
                          <a:xfrm>
                            <a:off x="0" y="0"/>
                            <a:ext cx="3362960" cy="514350"/>
                          </a:xfrm>
                          <a:prstGeom prst="rect">
                            <a:avLst/>
                          </a:prstGeom>
                          <a:noFill/>
                          <a:ln>
                            <a:noFill/>
                          </a:ln>
                        </pic:spPr>
                      </pic:pic>
                    </a:graphicData>
                  </a:graphic>
                </wp:inline>
              </w:drawing>
            </w:r>
          </w:p>
          <w:p>
            <w:pPr>
              <w:adjustRightInd w:val="0"/>
              <w:snapToGrid w:val="0"/>
              <w:spacing w:line="360" w:lineRule="auto"/>
              <w:ind w:firstLine="480" w:firstLineChars="200"/>
              <w:rPr>
                <w:rFonts w:hint="eastAsia"/>
                <w:sz w:val="24"/>
                <w:highlight w:val="none"/>
              </w:rPr>
            </w:pPr>
            <w:r>
              <w:rPr>
                <w:rFonts w:hint="eastAsia"/>
                <w:sz w:val="24"/>
                <w:highlight w:val="none"/>
              </w:rPr>
              <w:t>式中： E</w:t>
            </w:r>
            <w:r>
              <w:rPr>
                <w:rFonts w:hint="eastAsia"/>
                <w:sz w:val="24"/>
                <w:highlight w:val="none"/>
                <w:vertAlign w:val="subscript"/>
              </w:rPr>
              <w:t>hc</w:t>
            </w:r>
            <w:r>
              <w:rPr>
                <w:rFonts w:hint="eastAsia"/>
                <w:sz w:val="24"/>
                <w:highlight w:val="none"/>
              </w:rPr>
              <w:t xml:space="preserve">—炉渣（灰渣）产生量， t </w:t>
            </w:r>
          </w:p>
          <w:p>
            <w:pPr>
              <w:adjustRightInd w:val="0"/>
              <w:snapToGrid w:val="0"/>
              <w:spacing w:line="360" w:lineRule="auto"/>
              <w:ind w:firstLine="480" w:firstLineChars="200"/>
              <w:rPr>
                <w:rFonts w:hint="eastAsia"/>
                <w:sz w:val="24"/>
                <w:highlight w:val="none"/>
              </w:rPr>
            </w:pPr>
            <w:r>
              <w:rPr>
                <w:rFonts w:hint="eastAsia"/>
                <w:sz w:val="24"/>
                <w:highlight w:val="none"/>
              </w:rPr>
              <w:t xml:space="preserve">R—核算时段内锅炉燃料消耗量， t </w:t>
            </w:r>
          </w:p>
          <w:p>
            <w:pPr>
              <w:adjustRightInd w:val="0"/>
              <w:snapToGrid w:val="0"/>
              <w:spacing w:line="360" w:lineRule="auto"/>
              <w:ind w:firstLine="480" w:firstLineChars="200"/>
              <w:rPr>
                <w:rFonts w:hint="eastAsia"/>
                <w:sz w:val="24"/>
                <w:highlight w:val="none"/>
              </w:rPr>
            </w:pPr>
            <w:r>
              <w:rPr>
                <w:rFonts w:hint="eastAsia"/>
                <w:sz w:val="24"/>
                <w:highlight w:val="none"/>
              </w:rPr>
              <w:t>Aar—收到基灰分的质量分数，%本项目取11.43</w:t>
            </w:r>
          </w:p>
          <w:p>
            <w:pPr>
              <w:adjustRightInd w:val="0"/>
              <w:snapToGrid w:val="0"/>
              <w:spacing w:line="360" w:lineRule="auto"/>
              <w:ind w:firstLine="480" w:firstLineChars="200"/>
              <w:rPr>
                <w:rFonts w:hint="eastAsia" w:eastAsia="宋体"/>
                <w:sz w:val="24"/>
                <w:highlight w:val="none"/>
                <w:lang w:eastAsia="zh-CN"/>
              </w:rPr>
            </w:pPr>
            <w:r>
              <w:rPr>
                <w:rFonts w:hint="eastAsia"/>
                <w:sz w:val="24"/>
                <w:highlight w:val="none"/>
              </w:rPr>
              <w:t xml:space="preserve">q4—锅炉机械不完全燃烧热损失，%，本项目参考《污染源强核算技术指南 锅炉》（HJ991-2018）附录 B 中表 B. 1 锅炉机械不完全燃烧热损失的一般取值，故取值2 </w:t>
            </w:r>
            <w:r>
              <w:rPr>
                <w:rFonts w:hint="eastAsia"/>
                <w:sz w:val="24"/>
                <w:highlight w:val="none"/>
                <w:lang w:eastAsia="zh-CN"/>
              </w:rPr>
              <w:t>。</w:t>
            </w:r>
          </w:p>
          <w:p>
            <w:pPr>
              <w:adjustRightInd w:val="0"/>
              <w:snapToGrid w:val="0"/>
              <w:spacing w:line="360" w:lineRule="auto"/>
              <w:ind w:firstLine="480" w:firstLineChars="200"/>
              <w:rPr>
                <w:rFonts w:hint="eastAsia"/>
                <w:sz w:val="24"/>
                <w:highlight w:val="none"/>
              </w:rPr>
            </w:pPr>
            <w:r>
              <w:rPr>
                <w:rFonts w:hint="eastAsia"/>
                <w:sz w:val="24"/>
                <w:highlight w:val="none"/>
              </w:rPr>
              <w:t xml:space="preserve">Qnet, et—收到基低位发热值，15788kJ/kg。 </w:t>
            </w:r>
          </w:p>
          <w:p>
            <w:pPr>
              <w:adjustRightInd w:val="0"/>
              <w:snapToGrid w:val="0"/>
              <w:spacing w:line="360" w:lineRule="auto"/>
              <w:ind w:firstLine="480" w:firstLineChars="200"/>
              <w:rPr>
                <w:rFonts w:hint="eastAsia" w:ascii="宋体" w:hAnsi="宋体"/>
                <w:sz w:val="24"/>
                <w:highlight w:val="yellow"/>
              </w:rPr>
            </w:pPr>
            <w:r>
              <w:rPr>
                <w:rFonts w:hint="eastAsia"/>
                <w:sz w:val="24"/>
                <w:highlight w:val="none"/>
              </w:rPr>
              <w:t>本项目生物质成型颗粒总用量为</w:t>
            </w:r>
            <w:r>
              <w:rPr>
                <w:rFonts w:hint="eastAsia"/>
                <w:sz w:val="24"/>
                <w:highlight w:val="none"/>
                <w:lang w:val="en-US" w:eastAsia="zh-CN"/>
              </w:rPr>
              <w:t>880</w:t>
            </w:r>
            <w:r>
              <w:rPr>
                <w:rFonts w:hint="eastAsia"/>
                <w:sz w:val="24"/>
                <w:highlight w:val="none"/>
              </w:rPr>
              <w:t>t/a，经计算，本项目锅炉灰渣产生量为</w:t>
            </w:r>
            <w:r>
              <w:rPr>
                <w:rFonts w:hint="eastAsia"/>
                <w:sz w:val="24"/>
                <w:highlight w:val="none"/>
                <w:lang w:val="en-US" w:eastAsia="zh-CN"/>
              </w:rPr>
              <w:t>109</w:t>
            </w:r>
            <w:r>
              <w:rPr>
                <w:rFonts w:hint="eastAsia"/>
                <w:sz w:val="24"/>
                <w:highlight w:val="none"/>
              </w:rPr>
              <w:t>t/a，收集后</w:t>
            </w:r>
            <w:r>
              <w:rPr>
                <w:rFonts w:hint="eastAsia" w:ascii="宋体" w:hAnsi="宋体"/>
                <w:sz w:val="24"/>
                <w:highlight w:val="none"/>
              </w:rPr>
              <w:t>暂存锅炉房</w:t>
            </w:r>
            <w:r>
              <w:rPr>
                <w:rFonts w:hint="eastAsia" w:ascii="Times New Roman" w:hAnsi="Times New Roman" w:eastAsia="宋体" w:cs="Times New Roman"/>
                <w:sz w:val="24"/>
                <w:highlight w:val="none"/>
              </w:rPr>
              <w:t>内，</w:t>
            </w:r>
            <w:r>
              <w:rPr>
                <w:rFonts w:hint="eastAsia" w:ascii="Times New Roman" w:hAnsi="Times New Roman" w:eastAsia="宋体" w:cs="Times New Roman"/>
                <w:sz w:val="24"/>
                <w:highlight w:val="none"/>
                <w:u w:val="single"/>
                <w:lang w:val="zh-CN"/>
              </w:rPr>
              <w:t>外售附近村民做肥料</w:t>
            </w:r>
            <w:r>
              <w:rPr>
                <w:rFonts w:hint="eastAsia" w:ascii="Times New Roman" w:hAnsi="Times New Roman" w:eastAsia="宋体" w:cs="Times New Roman"/>
                <w:sz w:val="24"/>
                <w:highlight w:val="none"/>
              </w:rPr>
              <w:t>。</w:t>
            </w:r>
          </w:p>
          <w:p>
            <w:pPr>
              <w:adjustRightInd w:val="0"/>
              <w:snapToGrid w:val="0"/>
              <w:spacing w:line="360" w:lineRule="auto"/>
              <w:ind w:firstLine="480" w:firstLineChars="200"/>
              <w:rPr>
                <w:rFonts w:hint="eastAsia" w:ascii="宋体" w:hAnsi="宋体"/>
                <w:sz w:val="24"/>
                <w:highlight w:val="none"/>
              </w:rPr>
            </w:pPr>
            <w:r>
              <w:rPr>
                <w:rFonts w:hint="eastAsia"/>
                <w:sz w:val="24"/>
                <w:highlight w:val="none"/>
              </w:rPr>
              <w:t>（3）</w:t>
            </w:r>
            <w:r>
              <w:rPr>
                <w:rFonts w:hint="eastAsia" w:ascii="宋体" w:hAnsi="宋体"/>
                <w:sz w:val="24"/>
                <w:highlight w:val="none"/>
              </w:rPr>
              <w:t>废弃布袋</w:t>
            </w:r>
          </w:p>
          <w:p>
            <w:pPr>
              <w:adjustRightInd w:val="0"/>
              <w:snapToGrid w:val="0"/>
              <w:spacing w:line="360" w:lineRule="auto"/>
              <w:ind w:firstLine="480" w:firstLineChars="200"/>
              <w:rPr>
                <w:rFonts w:hint="eastAsia"/>
                <w:sz w:val="24"/>
                <w:highlight w:val="none"/>
              </w:rPr>
            </w:pPr>
            <w:r>
              <w:rPr>
                <w:rFonts w:hint="eastAsia"/>
                <w:sz w:val="24"/>
                <w:highlight w:val="none"/>
              </w:rPr>
              <w:t>产生量约为0.</w:t>
            </w:r>
            <w:r>
              <w:rPr>
                <w:rFonts w:hint="eastAsia"/>
                <w:sz w:val="24"/>
                <w:highlight w:val="none"/>
                <w:lang w:val="en-US" w:eastAsia="zh-CN"/>
              </w:rPr>
              <w:t>01</w:t>
            </w:r>
            <w:r>
              <w:rPr>
                <w:rFonts w:hint="eastAsia"/>
                <w:sz w:val="24"/>
                <w:highlight w:val="none"/>
              </w:rPr>
              <w:t>t/a，外售专业回收公司。</w:t>
            </w:r>
          </w:p>
          <w:p>
            <w:pPr>
              <w:pStyle w:val="8"/>
              <w:widowControl w:val="0"/>
              <w:autoSpaceDE w:val="0"/>
              <w:autoSpaceDN w:val="0"/>
              <w:snapToGrid/>
              <w:spacing w:before="0" w:after="0" w:line="240" w:lineRule="auto"/>
              <w:ind w:right="0"/>
              <w:jc w:val="center"/>
              <w:rPr>
                <w:rFonts w:hint="eastAsia" w:ascii="宋体" w:hAnsi="宋体" w:cs="宋体"/>
                <w:b/>
                <w:bCs/>
                <w:sz w:val="21"/>
                <w:szCs w:val="21"/>
                <w:highlight w:val="none"/>
                <w:u w:val="single"/>
              </w:rPr>
            </w:pPr>
            <w:r>
              <w:rPr>
                <w:rFonts w:hint="eastAsia" w:ascii="宋体" w:hAnsi="宋体" w:cs="宋体"/>
                <w:b/>
                <w:bCs/>
                <w:sz w:val="21"/>
                <w:szCs w:val="21"/>
                <w:highlight w:val="none"/>
                <w:u w:val="single"/>
              </w:rPr>
              <w:t>表4-1</w:t>
            </w:r>
            <w:r>
              <w:rPr>
                <w:rFonts w:hint="eastAsia" w:ascii="宋体" w:hAnsi="宋体" w:cs="宋体"/>
                <w:b/>
                <w:bCs/>
                <w:sz w:val="21"/>
                <w:szCs w:val="21"/>
                <w:highlight w:val="none"/>
                <w:u w:val="single"/>
                <w:lang w:val="en-US" w:eastAsia="zh-CN"/>
              </w:rPr>
              <w:t>5</w:t>
            </w:r>
            <w:r>
              <w:rPr>
                <w:rFonts w:hint="eastAsia" w:ascii="宋体" w:hAnsi="宋体" w:cs="宋体"/>
                <w:b/>
                <w:bCs/>
                <w:sz w:val="21"/>
                <w:szCs w:val="21"/>
                <w:highlight w:val="none"/>
                <w:u w:val="single"/>
              </w:rPr>
              <w:t xml:space="preserve">  固体废物污染源源强核算结果及相关参数一览表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901"/>
              <w:gridCol w:w="910"/>
              <w:gridCol w:w="1196"/>
              <w:gridCol w:w="951"/>
              <w:gridCol w:w="884"/>
              <w:gridCol w:w="175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9"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产生环节</w:t>
                  </w:r>
                </w:p>
              </w:tc>
              <w:tc>
                <w:tcPr>
                  <w:tcW w:w="55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固体废物名称</w:t>
                  </w:r>
                </w:p>
              </w:tc>
              <w:tc>
                <w:tcPr>
                  <w:tcW w:w="557"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属性</w:t>
                  </w:r>
                </w:p>
              </w:tc>
              <w:tc>
                <w:tcPr>
                  <w:tcW w:w="73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代码</w:t>
                  </w:r>
                </w:p>
              </w:tc>
              <w:tc>
                <w:tcPr>
                  <w:tcW w:w="58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年产生量（t/a）</w:t>
                  </w:r>
                </w:p>
              </w:tc>
              <w:tc>
                <w:tcPr>
                  <w:tcW w:w="541"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贮存方式</w:t>
                  </w:r>
                </w:p>
              </w:tc>
              <w:tc>
                <w:tcPr>
                  <w:tcW w:w="1073"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处理与处置措施</w:t>
                  </w:r>
                </w:p>
              </w:tc>
              <w:tc>
                <w:tcPr>
                  <w:tcW w:w="424"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9"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布袋除尘器</w:t>
                  </w:r>
                </w:p>
              </w:tc>
              <w:tc>
                <w:tcPr>
                  <w:tcW w:w="55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除尘灰</w:t>
                  </w:r>
                </w:p>
              </w:tc>
              <w:tc>
                <w:tcPr>
                  <w:tcW w:w="557"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一般固废</w:t>
                  </w:r>
                </w:p>
              </w:tc>
              <w:tc>
                <w:tcPr>
                  <w:tcW w:w="732" w:type="pct"/>
                  <w:noWrap w:val="0"/>
                  <w:vAlign w:val="center"/>
                </w:tcPr>
                <w:p>
                  <w:pPr>
                    <w:pStyle w:val="72"/>
                    <w:ind w:firstLine="0" w:firstLineChars="0"/>
                    <w:jc w:val="center"/>
                    <w:rPr>
                      <w:rFonts w:hint="eastAsia" w:ascii="宋体" w:hAnsi="宋体" w:cs="宋体"/>
                      <w:szCs w:val="21"/>
                      <w:highlight w:val="none"/>
                    </w:rPr>
                  </w:pPr>
                  <w:r>
                    <w:rPr>
                      <w:rFonts w:hint="eastAsia"/>
                      <w:szCs w:val="21"/>
                      <w:highlight w:val="none"/>
                    </w:rPr>
                    <w:t>900-999-66</w:t>
                  </w:r>
                </w:p>
              </w:tc>
              <w:tc>
                <w:tcPr>
                  <w:tcW w:w="582" w:type="pct"/>
                  <w:noWrap w:val="0"/>
                  <w:vAlign w:val="center"/>
                </w:tcPr>
                <w:p>
                  <w:pPr>
                    <w:pStyle w:val="72"/>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59.23</w:t>
                  </w:r>
                </w:p>
              </w:tc>
              <w:tc>
                <w:tcPr>
                  <w:tcW w:w="541"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袋装</w:t>
                  </w:r>
                </w:p>
              </w:tc>
              <w:tc>
                <w:tcPr>
                  <w:tcW w:w="1073" w:type="pct"/>
                  <w:vMerge w:val="restart"/>
                  <w:noWrap w:val="0"/>
                  <w:vAlign w:val="center"/>
                </w:tcPr>
                <w:p>
                  <w:pPr>
                    <w:pStyle w:val="72"/>
                    <w:ind w:firstLine="0" w:firstLineChars="0"/>
                    <w:jc w:val="center"/>
                    <w:rPr>
                      <w:rFonts w:hint="default" w:ascii="宋体" w:hAnsi="宋体" w:eastAsia="宋体" w:cs="宋体"/>
                      <w:szCs w:val="21"/>
                      <w:highlight w:val="none"/>
                      <w:u w:val="single"/>
                      <w:lang w:val="en-US" w:eastAsia="zh-CN"/>
                    </w:rPr>
                  </w:pPr>
                  <w:r>
                    <w:rPr>
                      <w:rFonts w:hint="eastAsia" w:ascii="宋体" w:hAnsi="宋体"/>
                      <w:szCs w:val="21"/>
                      <w:highlight w:val="none"/>
                      <w:u w:val="none"/>
                    </w:rPr>
                    <w:t>暂存锅炉房内，</w:t>
                  </w:r>
                  <w:r>
                    <w:rPr>
                      <w:rFonts w:hint="eastAsia" w:ascii="宋体" w:hAnsi="宋体" w:eastAsia="宋体" w:cs="宋体"/>
                      <w:bCs/>
                      <w:sz w:val="21"/>
                      <w:szCs w:val="21"/>
                      <w:highlight w:val="none"/>
                      <w:u w:val="single"/>
                      <w:lang w:val="zh-CN"/>
                    </w:rPr>
                    <w:t>外售附近村民做肥料</w:t>
                  </w:r>
                </w:p>
              </w:tc>
              <w:tc>
                <w:tcPr>
                  <w:tcW w:w="424" w:type="pct"/>
                  <w:vMerge w:val="restar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9"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锅炉</w:t>
                  </w:r>
                </w:p>
              </w:tc>
              <w:tc>
                <w:tcPr>
                  <w:tcW w:w="55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灰渣</w:t>
                  </w:r>
                </w:p>
              </w:tc>
              <w:tc>
                <w:tcPr>
                  <w:tcW w:w="557"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一般固废</w:t>
                  </w:r>
                </w:p>
              </w:tc>
              <w:tc>
                <w:tcPr>
                  <w:tcW w:w="732" w:type="pct"/>
                  <w:noWrap w:val="0"/>
                  <w:vAlign w:val="center"/>
                </w:tcPr>
                <w:p>
                  <w:pPr>
                    <w:pStyle w:val="72"/>
                    <w:ind w:firstLine="0" w:firstLineChars="0"/>
                    <w:jc w:val="center"/>
                    <w:rPr>
                      <w:rFonts w:hint="eastAsia" w:ascii="宋体" w:hAnsi="宋体" w:cs="宋体"/>
                      <w:szCs w:val="21"/>
                      <w:highlight w:val="none"/>
                    </w:rPr>
                  </w:pPr>
                  <w:r>
                    <w:rPr>
                      <w:rFonts w:hint="eastAsia"/>
                      <w:szCs w:val="21"/>
                      <w:highlight w:val="none"/>
                    </w:rPr>
                    <w:t>900-996-64</w:t>
                  </w:r>
                </w:p>
              </w:tc>
              <w:tc>
                <w:tcPr>
                  <w:tcW w:w="582" w:type="pct"/>
                  <w:noWrap w:val="0"/>
                  <w:vAlign w:val="center"/>
                </w:tcPr>
                <w:p>
                  <w:pPr>
                    <w:pStyle w:val="72"/>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109</w:t>
                  </w:r>
                </w:p>
              </w:tc>
              <w:tc>
                <w:tcPr>
                  <w:tcW w:w="541"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袋装</w:t>
                  </w:r>
                </w:p>
              </w:tc>
              <w:tc>
                <w:tcPr>
                  <w:tcW w:w="1073" w:type="pct"/>
                  <w:vMerge w:val="continue"/>
                  <w:noWrap w:val="0"/>
                  <w:vAlign w:val="center"/>
                </w:tcPr>
                <w:p>
                  <w:pPr>
                    <w:pStyle w:val="72"/>
                    <w:ind w:firstLine="0" w:firstLineChars="0"/>
                    <w:jc w:val="center"/>
                    <w:rPr>
                      <w:rFonts w:hint="eastAsia" w:ascii="宋体" w:hAnsi="宋体" w:cs="宋体"/>
                      <w:szCs w:val="21"/>
                      <w:highlight w:val="none"/>
                    </w:rPr>
                  </w:pPr>
                </w:p>
              </w:tc>
              <w:tc>
                <w:tcPr>
                  <w:tcW w:w="424" w:type="pct"/>
                  <w:vMerge w:val="continue"/>
                  <w:noWrap w:val="0"/>
                  <w:vAlign w:val="center"/>
                </w:tcPr>
                <w:p>
                  <w:pPr>
                    <w:pStyle w:val="72"/>
                    <w:ind w:firstLine="0" w:firstLineChars="0"/>
                    <w:jc w:val="center"/>
                    <w:rPr>
                      <w:rFonts w:hint="eastAsia" w:ascii="宋体" w:hAnsi="宋体" w:cs="宋体"/>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9"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布袋除尘器</w:t>
                  </w:r>
                </w:p>
              </w:tc>
              <w:tc>
                <w:tcPr>
                  <w:tcW w:w="55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废弃布袋</w:t>
                  </w:r>
                </w:p>
              </w:tc>
              <w:tc>
                <w:tcPr>
                  <w:tcW w:w="557"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一般固废</w:t>
                  </w:r>
                </w:p>
              </w:tc>
              <w:tc>
                <w:tcPr>
                  <w:tcW w:w="732"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w:t>
                  </w:r>
                </w:p>
              </w:tc>
              <w:tc>
                <w:tcPr>
                  <w:tcW w:w="582" w:type="pct"/>
                  <w:noWrap w:val="0"/>
                  <w:vAlign w:val="center"/>
                </w:tcPr>
                <w:p>
                  <w:pPr>
                    <w:pStyle w:val="72"/>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0.01</w:t>
                  </w:r>
                </w:p>
              </w:tc>
              <w:tc>
                <w:tcPr>
                  <w:tcW w:w="541"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袋装</w:t>
                  </w:r>
                </w:p>
              </w:tc>
              <w:tc>
                <w:tcPr>
                  <w:tcW w:w="1073"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szCs w:val="21"/>
                      <w:highlight w:val="none"/>
                    </w:rPr>
                    <w:t>外售专业回收公司</w:t>
                  </w:r>
                </w:p>
              </w:tc>
              <w:tc>
                <w:tcPr>
                  <w:tcW w:w="424" w:type="pct"/>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综合利用</w:t>
                  </w:r>
                </w:p>
              </w:tc>
            </w:tr>
          </w:tbl>
          <w:p>
            <w:pPr>
              <w:adjustRightInd w:val="0"/>
              <w:snapToGrid w:val="0"/>
              <w:spacing w:line="360" w:lineRule="auto"/>
              <w:ind w:firstLine="420" w:firstLineChars="200"/>
              <w:rPr>
                <w:szCs w:val="21"/>
                <w:highlight w:val="yellow"/>
              </w:rPr>
            </w:pPr>
          </w:p>
          <w:p>
            <w:pPr>
              <w:spacing w:line="360" w:lineRule="auto"/>
              <w:ind w:firstLine="480"/>
              <w:rPr>
                <w:rFonts w:hint="eastAsia"/>
                <w:sz w:val="24"/>
                <w:highlight w:val="none"/>
                <w:u w:val="single"/>
              </w:rPr>
            </w:pPr>
            <w:r>
              <w:rPr>
                <w:rFonts w:hint="eastAsia"/>
                <w:sz w:val="24"/>
                <w:highlight w:val="none"/>
                <w:u w:val="single"/>
              </w:rPr>
              <w:t xml:space="preserve">固体废物管理要求： </w:t>
            </w:r>
          </w:p>
          <w:p>
            <w:pPr>
              <w:spacing w:line="360" w:lineRule="auto"/>
              <w:ind w:firstLine="480"/>
              <w:rPr>
                <w:rFonts w:hint="eastAsia" w:ascii="Times New Roman" w:hAnsi="Times New Roman" w:eastAsia="宋体" w:cs="Times New Roman"/>
                <w:sz w:val="24"/>
                <w:highlight w:val="none"/>
                <w:u w:val="single"/>
              </w:rPr>
            </w:pPr>
            <w:r>
              <w:rPr>
                <w:rFonts w:hint="eastAsia" w:ascii="Times New Roman" w:hAnsi="Times New Roman" w:eastAsia="宋体" w:cs="Times New Roman"/>
                <w:sz w:val="24"/>
                <w:highlight w:val="none"/>
                <w:u w:val="single"/>
                <w:lang w:val="en-US" w:eastAsia="zh-CN"/>
              </w:rPr>
              <w:t>（</w:t>
            </w:r>
            <w:r>
              <w:rPr>
                <w:rFonts w:hint="default" w:ascii="Times New Roman" w:hAnsi="Times New Roman" w:eastAsia="宋体" w:cs="Times New Roman"/>
                <w:sz w:val="24"/>
                <w:highlight w:val="none"/>
                <w:u w:val="single"/>
                <w:lang w:val="en-US" w:eastAsia="zh-CN"/>
              </w:rPr>
              <w:t>1</w:t>
            </w:r>
            <w:r>
              <w:rPr>
                <w:rFonts w:hint="eastAsia" w:ascii="Times New Roman" w:hAnsi="Times New Roman" w:eastAsia="宋体" w:cs="Times New Roman"/>
                <w:sz w:val="24"/>
                <w:highlight w:val="none"/>
                <w:u w:val="single"/>
                <w:lang w:val="en-US" w:eastAsia="zh-CN"/>
              </w:rPr>
              <w:t xml:space="preserve">）一般固废的收集和贮存 </w:t>
            </w:r>
          </w:p>
          <w:p>
            <w:pPr>
              <w:spacing w:line="360" w:lineRule="auto"/>
              <w:ind w:firstLine="480"/>
              <w:rPr>
                <w:rFonts w:hint="eastAsia" w:ascii="Times New Roman" w:hAnsi="Times New Roman" w:eastAsia="宋体" w:cs="Times New Roman"/>
                <w:sz w:val="24"/>
                <w:highlight w:val="none"/>
                <w:u w:val="single"/>
              </w:rPr>
            </w:pPr>
            <w:r>
              <w:rPr>
                <w:rFonts w:hint="eastAsia" w:ascii="Times New Roman" w:hAnsi="Times New Roman" w:eastAsia="宋体" w:cs="Times New Roman"/>
                <w:sz w:val="24"/>
                <w:highlight w:val="none"/>
                <w:u w:val="single"/>
                <w:lang w:val="en-US" w:eastAsia="zh-CN"/>
              </w:rPr>
              <w:t xml:space="preserve">一般固废的收集、储存、管理严格按照《一般工业固体废物贮存和填埋污 </w:t>
            </w:r>
          </w:p>
          <w:p>
            <w:pPr>
              <w:spacing w:line="360" w:lineRule="auto"/>
              <w:rPr>
                <w:rFonts w:hint="eastAsia" w:ascii="Times New Roman" w:hAnsi="Times New Roman" w:eastAsia="宋体" w:cs="Times New Roman"/>
                <w:sz w:val="24"/>
                <w:highlight w:val="none"/>
                <w:u w:val="single"/>
              </w:rPr>
            </w:pPr>
            <w:r>
              <w:rPr>
                <w:rFonts w:hint="eastAsia" w:ascii="Times New Roman" w:hAnsi="Times New Roman" w:eastAsia="宋体" w:cs="Times New Roman"/>
                <w:sz w:val="24"/>
                <w:highlight w:val="none"/>
                <w:u w:val="single"/>
                <w:lang w:val="en-US" w:eastAsia="zh-CN"/>
              </w:rPr>
              <w:t>染控制标准》</w:t>
            </w:r>
            <w:r>
              <w:rPr>
                <w:rFonts w:hint="default" w:ascii="Times New Roman" w:hAnsi="Times New Roman" w:eastAsia="宋体" w:cs="Times New Roman"/>
                <w:sz w:val="24"/>
                <w:highlight w:val="none"/>
                <w:u w:val="single"/>
                <w:lang w:val="en-US" w:eastAsia="zh-CN"/>
              </w:rPr>
              <w:t>(GB18599-2020)</w:t>
            </w:r>
            <w:r>
              <w:rPr>
                <w:rFonts w:hint="eastAsia" w:ascii="Times New Roman" w:hAnsi="Times New Roman" w:eastAsia="宋体" w:cs="Times New Roman"/>
                <w:sz w:val="24"/>
                <w:highlight w:val="none"/>
                <w:u w:val="single"/>
                <w:lang w:val="en-US" w:eastAsia="zh-CN"/>
              </w:rPr>
              <w:t>相关规定和要求执行，建立产生、收集、贮存、 运输、利用、处置全过程的污染环境防治责任制度，建立管理台账。由专人负责一般固废的收集和管理工作。</w:t>
            </w:r>
          </w:p>
          <w:p>
            <w:pPr>
              <w:spacing w:line="360" w:lineRule="auto"/>
              <w:ind w:firstLine="480"/>
              <w:rPr>
                <w:rFonts w:hint="eastAsia" w:ascii="Times New Roman" w:hAnsi="Times New Roman" w:eastAsia="宋体" w:cs="Times New Roman"/>
                <w:sz w:val="24"/>
                <w:highlight w:val="none"/>
                <w:u w:val="single"/>
              </w:rPr>
            </w:pPr>
            <w:r>
              <w:rPr>
                <w:rFonts w:hint="eastAsia" w:ascii="Times New Roman" w:hAnsi="Times New Roman" w:eastAsia="宋体" w:cs="Times New Roman"/>
                <w:sz w:val="24"/>
                <w:highlight w:val="none"/>
                <w:u w:val="single"/>
                <w:lang w:val="en-US" w:eastAsia="zh-CN"/>
              </w:rPr>
              <w:t>本项目炉渣、废布袋及炉灰暂存于锅炉房内单独区域，设置的一般固废暂存场所可满足贮存需求，满足《一般工业固体废物贮存和填埋污染控制标准》（</w:t>
            </w:r>
            <w:r>
              <w:rPr>
                <w:rFonts w:hint="default" w:ascii="Times New Roman" w:hAnsi="Times New Roman" w:eastAsia="宋体" w:cs="Times New Roman"/>
                <w:sz w:val="24"/>
                <w:highlight w:val="none"/>
                <w:u w:val="single"/>
                <w:lang w:val="en-US" w:eastAsia="zh-CN"/>
              </w:rPr>
              <w:t>GB18599 -2020</w:t>
            </w:r>
            <w:r>
              <w:rPr>
                <w:rFonts w:hint="eastAsia" w:ascii="Times New Roman" w:hAnsi="Times New Roman" w:eastAsia="宋体" w:cs="Times New Roman"/>
                <w:sz w:val="24"/>
                <w:highlight w:val="none"/>
                <w:u w:val="single"/>
                <w:lang w:val="en-US" w:eastAsia="zh-CN"/>
              </w:rPr>
              <w:t>）中“防渗漏、防雨淋、防扬尘等环境保护要求”。</w:t>
            </w:r>
          </w:p>
          <w:p>
            <w:pPr>
              <w:spacing w:line="360" w:lineRule="auto"/>
              <w:ind w:firstLine="480"/>
              <w:rPr>
                <w:rFonts w:hint="eastAsia" w:ascii="Times New Roman" w:hAnsi="Times New Roman" w:eastAsia="宋体" w:cs="Times New Roman"/>
                <w:sz w:val="24"/>
                <w:highlight w:val="none"/>
                <w:u w:val="single"/>
                <w:lang w:val="en-US" w:eastAsia="zh-CN"/>
              </w:rPr>
            </w:pPr>
            <w:r>
              <w:rPr>
                <w:rFonts w:hint="eastAsia" w:ascii="Times New Roman" w:hAnsi="Times New Roman" w:eastAsia="宋体" w:cs="Times New Roman"/>
                <w:sz w:val="24"/>
                <w:highlight w:val="none"/>
                <w:u w:val="single"/>
                <w:lang w:val="en-US" w:eastAsia="zh-CN"/>
              </w:rPr>
              <w:t>（</w:t>
            </w:r>
            <w:r>
              <w:rPr>
                <w:rFonts w:hint="default" w:ascii="Times New Roman" w:hAnsi="Times New Roman" w:eastAsia="宋体" w:cs="Times New Roman"/>
                <w:sz w:val="24"/>
                <w:highlight w:val="none"/>
                <w:u w:val="single"/>
                <w:lang w:val="en-US" w:eastAsia="zh-CN"/>
              </w:rPr>
              <w:t>2</w:t>
            </w:r>
            <w:r>
              <w:rPr>
                <w:rFonts w:hint="eastAsia" w:ascii="Times New Roman" w:hAnsi="Times New Roman" w:eastAsia="宋体" w:cs="Times New Roman"/>
                <w:sz w:val="24"/>
                <w:highlight w:val="none"/>
                <w:u w:val="single"/>
                <w:lang w:val="en-US" w:eastAsia="zh-CN"/>
              </w:rPr>
              <w:t xml:space="preserve">）一般固废的转移及运输 </w:t>
            </w:r>
          </w:p>
          <w:p>
            <w:pPr>
              <w:spacing w:line="360" w:lineRule="auto"/>
              <w:ind w:firstLine="480"/>
              <w:rPr>
                <w:rFonts w:hint="eastAsia" w:ascii="Times New Roman" w:hAnsi="Times New Roman" w:eastAsia="宋体" w:cs="Times New Roman"/>
                <w:sz w:val="24"/>
                <w:highlight w:val="none"/>
                <w:u w:val="single"/>
                <w:lang w:val="en-US" w:eastAsia="zh-CN"/>
              </w:rPr>
            </w:pPr>
            <w:r>
              <w:rPr>
                <w:rFonts w:hint="eastAsia" w:ascii="Times New Roman" w:hAnsi="Times New Roman" w:eastAsia="宋体" w:cs="Times New Roman"/>
                <w:sz w:val="24"/>
                <w:highlight w:val="none"/>
                <w:u w:val="single"/>
                <w:lang w:val="en-US" w:eastAsia="zh-CN"/>
              </w:rPr>
              <w:t xml:space="preserve">委托他人运输、安全处置固体废物，需对受托方的主体资格和技术能力进 行核实，依法签订书面合同，在合同中约定污染防治要求。禁止将一般固废混入生活垃圾。本项目炉渣、除尘器收集的炉灰以及除尘器更换的废布袋等集中收集后定期外售综合利用。 </w:t>
            </w:r>
          </w:p>
          <w:p>
            <w:pPr>
              <w:spacing w:line="360" w:lineRule="auto"/>
              <w:ind w:firstLine="480"/>
              <w:rPr>
                <w:rFonts w:hint="eastAsia" w:ascii="Times New Roman" w:hAnsi="Times New Roman" w:eastAsia="宋体" w:cs="Times New Roman"/>
                <w:sz w:val="24"/>
                <w:highlight w:val="none"/>
                <w:u w:val="single"/>
                <w:lang w:val="en-US" w:eastAsia="zh-CN"/>
              </w:rPr>
            </w:pPr>
            <w:r>
              <w:rPr>
                <w:rFonts w:hint="eastAsia" w:ascii="Times New Roman" w:hAnsi="Times New Roman" w:eastAsia="宋体" w:cs="Times New Roman"/>
                <w:sz w:val="24"/>
                <w:highlight w:val="none"/>
                <w:u w:val="single"/>
                <w:lang w:val="en-US" w:eastAsia="zh-CN"/>
              </w:rPr>
              <w:t>通过采取以上措施，项目产生的固废均能够得到妥善的处理和处置，达到 零排放，不会对周围环境产生影响。</w:t>
            </w:r>
          </w:p>
          <w:p>
            <w:pPr>
              <w:spacing w:line="360" w:lineRule="auto"/>
              <w:ind w:firstLine="480"/>
              <w:rPr>
                <w:rFonts w:hint="eastAsia" w:ascii="宋体" w:hAnsi="宋体" w:cs="宋体"/>
                <w:b/>
                <w:bCs/>
                <w:sz w:val="24"/>
                <w:highlight w:val="none"/>
              </w:rPr>
            </w:pPr>
            <w:r>
              <w:rPr>
                <w:rFonts w:hint="eastAsia" w:ascii="宋体" w:hAnsi="宋体" w:cs="宋体"/>
                <w:b/>
                <w:bCs/>
                <w:sz w:val="24"/>
                <w:highlight w:val="none"/>
              </w:rPr>
              <w:t>5、环境风险评价</w:t>
            </w:r>
          </w:p>
          <w:p>
            <w:pPr>
              <w:spacing w:line="360" w:lineRule="auto"/>
              <w:ind w:firstLine="480"/>
              <w:rPr>
                <w:rFonts w:hint="eastAsia"/>
                <w:sz w:val="24"/>
                <w:highlight w:val="none"/>
              </w:rPr>
            </w:pPr>
            <w:r>
              <w:rPr>
                <w:rFonts w:hint="eastAsia"/>
                <w:sz w:val="24"/>
                <w:highlight w:val="none"/>
              </w:rPr>
              <w:t xml:space="preserve">（1）评价依据 </w:t>
            </w:r>
          </w:p>
          <w:p>
            <w:pPr>
              <w:spacing w:line="360" w:lineRule="auto"/>
              <w:ind w:firstLine="480"/>
              <w:rPr>
                <w:rFonts w:hint="eastAsia"/>
                <w:sz w:val="24"/>
                <w:highlight w:val="none"/>
              </w:rPr>
            </w:pPr>
            <w:r>
              <w:rPr>
                <w:rFonts w:hint="eastAsia"/>
                <w:sz w:val="24"/>
                <w:highlight w:val="none"/>
              </w:rPr>
              <w:t xml:space="preserve">1）风险源识别 </w:t>
            </w:r>
          </w:p>
          <w:p>
            <w:pPr>
              <w:spacing w:line="360" w:lineRule="auto"/>
              <w:ind w:firstLine="480"/>
              <w:rPr>
                <w:rFonts w:hint="eastAsia"/>
                <w:sz w:val="24"/>
                <w:highlight w:val="none"/>
              </w:rPr>
            </w:pPr>
            <w:r>
              <w:rPr>
                <w:rFonts w:hint="eastAsia"/>
                <w:sz w:val="24"/>
                <w:highlight w:val="none"/>
              </w:rPr>
              <w:t xml:space="preserve">根据《建设项目环境风险评价技术导则》（HJ169-2018）附录 B 和《危险化学品重大危险源辨识》（GB18218-2018）规定，在具有环境风险的生产单元内达到和超过规定的临界量时，将作为事故重大危险源。本项目主要为锅炉供热，项目原料、生产过程中、成品，都不涉及危险物质，即本项目不涉及重大危险源。 </w:t>
            </w:r>
          </w:p>
          <w:p>
            <w:pPr>
              <w:spacing w:line="360" w:lineRule="auto"/>
              <w:ind w:firstLine="480"/>
              <w:rPr>
                <w:rFonts w:hint="eastAsia"/>
                <w:sz w:val="24"/>
                <w:highlight w:val="none"/>
              </w:rPr>
            </w:pPr>
            <w:r>
              <w:rPr>
                <w:rFonts w:hint="eastAsia"/>
                <w:sz w:val="24"/>
                <w:highlight w:val="none"/>
              </w:rPr>
              <w:t xml:space="preserve">2）环境风险潜势划分 </w:t>
            </w:r>
          </w:p>
          <w:p>
            <w:pPr>
              <w:spacing w:line="360" w:lineRule="auto"/>
              <w:ind w:firstLine="480"/>
              <w:rPr>
                <w:sz w:val="24"/>
                <w:highlight w:val="none"/>
              </w:rPr>
            </w:pPr>
            <w:r>
              <w:rPr>
                <w:rFonts w:hint="eastAsia"/>
                <w:sz w:val="24"/>
                <w:highlight w:val="none"/>
              </w:rPr>
              <w:t>本项目生产过程中不涉及风险物质，按照风险物质的实际存在量和临界 量，确定风险物质的 Q 值，当存在多种危险物质时，按下式进行计算物质总量与其临界量比值 Q：</w:t>
            </w:r>
          </w:p>
          <w:p>
            <w:pPr>
              <w:adjustRightInd w:val="0"/>
              <w:snapToGrid w:val="0"/>
              <w:spacing w:line="360" w:lineRule="auto"/>
              <w:ind w:firstLine="440" w:firstLineChars="200"/>
              <w:jc w:val="center"/>
              <w:rPr>
                <w:bCs/>
                <w:spacing w:val="-10"/>
                <w:sz w:val="24"/>
                <w:highlight w:val="none"/>
              </w:rPr>
            </w:pPr>
            <w:r>
              <w:rPr>
                <w:bCs/>
                <w:spacing w:val="-10"/>
                <w:sz w:val="24"/>
                <w:highlight w:val="none"/>
              </w:rPr>
              <w:drawing>
                <wp:inline distT="0" distB="0" distL="114300" distR="114300">
                  <wp:extent cx="2305685" cy="381000"/>
                  <wp:effectExtent l="0" t="0" r="18415" b="0"/>
                  <wp:docPr id="97" name="图片 24" descr="166080266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descr="1660802669688"/>
                          <pic:cNvPicPr>
                            <a:picLocks noChangeAspect="1"/>
                          </pic:cNvPicPr>
                        </pic:nvPicPr>
                        <pic:blipFill>
                          <a:blip r:embed="rId38"/>
                          <a:stretch>
                            <a:fillRect/>
                          </a:stretch>
                        </pic:blipFill>
                        <pic:spPr>
                          <a:xfrm>
                            <a:off x="0" y="0"/>
                            <a:ext cx="2305685" cy="381000"/>
                          </a:xfrm>
                          <a:prstGeom prst="rect">
                            <a:avLst/>
                          </a:prstGeom>
                          <a:noFill/>
                          <a:ln>
                            <a:noFill/>
                          </a:ln>
                        </pic:spPr>
                      </pic:pic>
                    </a:graphicData>
                  </a:graphic>
                </wp:inline>
              </w:drawing>
            </w:r>
          </w:p>
          <w:p>
            <w:pPr>
              <w:adjustRightInd w:val="0"/>
              <w:snapToGrid w:val="0"/>
              <w:spacing w:line="360" w:lineRule="auto"/>
              <w:ind w:firstLine="480" w:firstLineChars="200"/>
              <w:rPr>
                <w:rFonts w:hint="eastAsia"/>
                <w:sz w:val="24"/>
                <w:highlight w:val="none"/>
              </w:rPr>
            </w:pPr>
            <w:r>
              <w:rPr>
                <w:rFonts w:hint="eastAsia"/>
                <w:sz w:val="24"/>
                <w:highlight w:val="none"/>
              </w:rPr>
              <w:t xml:space="preserve">式中 q1、 q2、…qn—每种危险物质的最大存在量， t； </w:t>
            </w:r>
          </w:p>
          <w:p>
            <w:pPr>
              <w:adjustRightInd w:val="0"/>
              <w:snapToGrid w:val="0"/>
              <w:spacing w:line="360" w:lineRule="auto"/>
              <w:ind w:firstLine="480" w:firstLineChars="200"/>
              <w:rPr>
                <w:rFonts w:hint="eastAsia"/>
                <w:sz w:val="24"/>
                <w:highlight w:val="none"/>
              </w:rPr>
            </w:pPr>
            <w:r>
              <w:rPr>
                <w:rFonts w:hint="eastAsia"/>
                <w:sz w:val="24"/>
                <w:highlight w:val="none"/>
              </w:rPr>
              <w:t xml:space="preserve">Q1、 Q2、…Qn—每种危险物质的临界值， t； </w:t>
            </w:r>
          </w:p>
          <w:p>
            <w:pPr>
              <w:adjustRightInd w:val="0"/>
              <w:snapToGrid w:val="0"/>
              <w:spacing w:line="360" w:lineRule="auto"/>
              <w:ind w:firstLine="480" w:firstLineChars="200"/>
              <w:rPr>
                <w:rFonts w:hint="eastAsia"/>
                <w:sz w:val="24"/>
                <w:highlight w:val="none"/>
              </w:rPr>
            </w:pPr>
            <w:r>
              <w:rPr>
                <w:rFonts w:hint="eastAsia"/>
                <w:sz w:val="24"/>
                <w:highlight w:val="none"/>
              </w:rPr>
              <w:t xml:space="preserve">当 Q＜ 1 时，该项目环境风险潜势为Ⅰ。 </w:t>
            </w:r>
          </w:p>
          <w:p>
            <w:pPr>
              <w:spacing w:line="360" w:lineRule="auto"/>
              <w:ind w:firstLine="480"/>
              <w:rPr>
                <w:rFonts w:hint="eastAsia"/>
                <w:sz w:val="24"/>
                <w:highlight w:val="none"/>
              </w:rPr>
            </w:pPr>
            <w:r>
              <w:rPr>
                <w:rFonts w:hint="eastAsia"/>
                <w:sz w:val="24"/>
                <w:highlight w:val="none"/>
              </w:rPr>
              <w:t>当 Q≥ 1 时，将 Q 值划分为： (1) 1≤Q＜ 10； (2) 10≤Q＜ 100； (3) Q≥ 100；</w:t>
            </w:r>
          </w:p>
          <w:p>
            <w:pPr>
              <w:spacing w:line="360" w:lineRule="auto"/>
              <w:ind w:firstLine="480"/>
              <w:rPr>
                <w:rFonts w:hint="eastAsia" w:ascii="宋体" w:hAnsi="宋体"/>
                <w:sz w:val="24"/>
                <w:highlight w:val="none"/>
              </w:rPr>
            </w:pPr>
            <w:r>
              <w:rPr>
                <w:rFonts w:hint="eastAsia" w:ascii="宋体" w:hAnsi="宋体"/>
                <w:sz w:val="24"/>
                <w:highlight w:val="none"/>
              </w:rPr>
              <w:t>通过对比，本项目不存在《建设项目环境风险评价技术导则》 （ HJ169-2018）附录 B 确定的危险物质和《危险化学品重大危险源辨识》 （GB18218-2018）中确定的危险化学品，故不存在临界量。根据《建设项目 环境风险评价技术导则》（HJ169-2018）中评价级别评定要求，当 Q﹤1 时，该项目环境风险潜势为Ⅰ。</w:t>
            </w:r>
          </w:p>
          <w:p>
            <w:pPr>
              <w:spacing w:line="360" w:lineRule="auto"/>
              <w:ind w:firstLine="480"/>
              <w:rPr>
                <w:rFonts w:hint="eastAsia"/>
                <w:sz w:val="24"/>
                <w:highlight w:val="none"/>
              </w:rPr>
            </w:pPr>
            <w:r>
              <w:rPr>
                <w:rFonts w:hint="eastAsia"/>
                <w:sz w:val="24"/>
                <w:highlight w:val="none"/>
              </w:rPr>
              <w:t>本项目 Q＜ 1，因此本项目风险潜势为 I 级。仅对风险评价做简单分析。</w:t>
            </w:r>
          </w:p>
          <w:p>
            <w:pPr>
              <w:spacing w:line="360" w:lineRule="auto"/>
              <w:ind w:firstLine="480"/>
              <w:rPr>
                <w:rFonts w:hint="eastAsia" w:ascii="宋体" w:hAnsi="宋体"/>
                <w:sz w:val="24"/>
                <w:highlight w:val="none"/>
              </w:rPr>
            </w:pPr>
            <w:r>
              <w:rPr>
                <w:rFonts w:hint="eastAsia" w:ascii="宋体" w:hAnsi="宋体"/>
                <w:sz w:val="24"/>
                <w:highlight w:val="none"/>
              </w:rPr>
              <w:t xml:space="preserve">(2）环境风险分析 </w:t>
            </w:r>
          </w:p>
          <w:p>
            <w:pPr>
              <w:spacing w:line="360" w:lineRule="auto"/>
              <w:ind w:firstLine="480"/>
              <w:rPr>
                <w:rFonts w:hint="eastAsia" w:ascii="宋体" w:hAnsi="宋体"/>
                <w:sz w:val="24"/>
                <w:highlight w:val="none"/>
              </w:rPr>
            </w:pPr>
            <w:r>
              <w:rPr>
                <w:rFonts w:hint="eastAsia" w:ascii="宋体" w:hAnsi="宋体"/>
                <w:sz w:val="24"/>
                <w:highlight w:val="none"/>
              </w:rPr>
              <w:t xml:space="preserve">本项目的环境风险来源主要为在环保设施失效的情况下，粉尘会发生不经处理直接经由排气筒排放的情况，以及燃料遇明火引发火灾事故。 </w:t>
            </w:r>
          </w:p>
          <w:p>
            <w:pPr>
              <w:spacing w:line="360" w:lineRule="auto"/>
              <w:ind w:firstLine="480"/>
              <w:rPr>
                <w:rFonts w:hint="eastAsia" w:ascii="宋体" w:hAnsi="宋体"/>
                <w:sz w:val="24"/>
                <w:highlight w:val="none"/>
              </w:rPr>
            </w:pPr>
            <w:r>
              <w:rPr>
                <w:rFonts w:hint="eastAsia" w:ascii="宋体" w:hAnsi="宋体"/>
                <w:sz w:val="24"/>
                <w:highlight w:val="none"/>
              </w:rPr>
              <w:t xml:space="preserve">(3）环境风险防范措施 </w:t>
            </w:r>
          </w:p>
          <w:p>
            <w:pPr>
              <w:spacing w:line="360" w:lineRule="auto"/>
              <w:ind w:firstLine="480"/>
              <w:rPr>
                <w:rFonts w:hint="eastAsia" w:ascii="宋体" w:hAnsi="宋体"/>
                <w:sz w:val="24"/>
                <w:highlight w:val="none"/>
              </w:rPr>
            </w:pPr>
            <w:r>
              <w:rPr>
                <w:rFonts w:hint="eastAsia" w:ascii="宋体" w:hAnsi="宋体"/>
                <w:sz w:val="24"/>
                <w:highlight w:val="none"/>
              </w:rPr>
              <w:t>为使环境风险减少到最低，企业应加强劳动、安全、卫生和环境等方面管理，制定完备、有效的环境风险防范措施。针对本项目特点，建议环境风 险防范措施如下:</w:t>
            </w:r>
          </w:p>
          <w:p>
            <w:pPr>
              <w:spacing w:line="360" w:lineRule="auto"/>
              <w:ind w:firstLine="480"/>
              <w:rPr>
                <w:rFonts w:hint="eastAsia" w:ascii="宋体" w:hAnsi="宋体"/>
                <w:sz w:val="24"/>
                <w:highlight w:val="none"/>
              </w:rPr>
            </w:pPr>
            <w:r>
              <w:rPr>
                <w:rFonts w:hint="eastAsia" w:ascii="宋体" w:hAnsi="宋体"/>
                <w:sz w:val="24"/>
                <w:highlight w:val="none"/>
              </w:rPr>
              <w:t xml:space="preserve"> 1）制定严格操作规程和环境管理规章制度。加强员工培训和安全生产教 育，规范流程操作，减少人为失误造成环境风险物质泄漏的可能性；</w:t>
            </w:r>
          </w:p>
          <w:p>
            <w:pPr>
              <w:spacing w:line="360" w:lineRule="auto"/>
              <w:ind w:firstLine="480"/>
              <w:rPr>
                <w:rFonts w:hint="eastAsia" w:ascii="宋体" w:hAnsi="宋体"/>
                <w:sz w:val="24"/>
                <w:highlight w:val="none"/>
              </w:rPr>
            </w:pPr>
            <w:r>
              <w:rPr>
                <w:rFonts w:hint="eastAsia" w:ascii="宋体" w:hAnsi="宋体"/>
                <w:sz w:val="24"/>
                <w:highlight w:val="none"/>
              </w:rPr>
              <w:t xml:space="preserve"> 2)严禁烟火，加强管理，严格操作规范，制定一系列的防火规章制度；</w:t>
            </w:r>
          </w:p>
          <w:p>
            <w:pPr>
              <w:spacing w:line="360" w:lineRule="auto"/>
              <w:ind w:left="479" w:leftChars="228"/>
              <w:rPr>
                <w:rFonts w:hint="eastAsia" w:ascii="宋体" w:hAnsi="宋体"/>
                <w:sz w:val="24"/>
                <w:highlight w:val="none"/>
              </w:rPr>
            </w:pPr>
            <w:r>
              <w:rPr>
                <w:rFonts w:hint="eastAsia" w:ascii="宋体" w:hAnsi="宋体"/>
                <w:sz w:val="24"/>
                <w:highlight w:val="none"/>
              </w:rPr>
              <w:t xml:space="preserve">3)要密切注意事故易发部位，做好运行监督检查与维修保养，防患于未然。 4)环境风险物质管理、储存等应设置专人管理，并做好台账记录。 </w:t>
            </w:r>
          </w:p>
          <w:p>
            <w:pPr>
              <w:spacing w:line="360" w:lineRule="auto"/>
              <w:ind w:firstLine="480"/>
              <w:rPr>
                <w:rFonts w:hint="eastAsia" w:ascii="宋体" w:hAnsi="宋体"/>
                <w:sz w:val="24"/>
                <w:highlight w:val="none"/>
              </w:rPr>
            </w:pPr>
            <w:r>
              <w:rPr>
                <w:rFonts w:hint="eastAsia" w:ascii="宋体" w:hAnsi="宋体"/>
                <w:sz w:val="24"/>
                <w:highlight w:val="none"/>
              </w:rPr>
              <w:t>5)发现后应立刻停止生产，产生的废气经过扩散、空气稀释等过程后，本项目非正常工况污染物排放对环境的影响可以得到有效控制。</w:t>
            </w:r>
          </w:p>
          <w:p>
            <w:pPr>
              <w:pStyle w:val="4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表4-1</w:t>
            </w:r>
            <w:r>
              <w:rPr>
                <w:rFonts w:hint="eastAsia" w:ascii="宋体" w:hAnsi="宋体" w:eastAsia="宋体" w:cs="宋体"/>
                <w:b/>
                <w:bCs/>
                <w:color w:val="auto"/>
                <w:sz w:val="21"/>
                <w:szCs w:val="21"/>
                <w:highlight w:val="none"/>
                <w:u w:val="single"/>
                <w:lang w:val="en-US" w:eastAsia="zh-CN"/>
              </w:rPr>
              <w:t>6</w:t>
            </w:r>
            <w:r>
              <w:rPr>
                <w:rFonts w:hint="eastAsia" w:ascii="宋体" w:hAnsi="宋体" w:eastAsia="宋体" w:cs="宋体"/>
                <w:b/>
                <w:bCs/>
                <w:color w:val="auto"/>
                <w:sz w:val="21"/>
                <w:szCs w:val="21"/>
                <w:highlight w:val="none"/>
                <w:u w:val="single"/>
              </w:rPr>
              <w:t xml:space="preserve">  建设项目环境风险简单分析内容表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6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建设项目名称</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中铁上海工程局集团有限公司肖家堡制梁场锅炉建设项目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建设地点</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吉林省白山市江源区大华村四社中铁上海工程局集团有限公司肖家堡制梁场内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地理坐标</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东经：</w:t>
                  </w:r>
                  <w:r>
                    <w:rPr>
                      <w:rFonts w:hint="eastAsia" w:ascii="宋体" w:hAnsi="宋体" w:eastAsia="宋体" w:cs="宋体"/>
                      <w:bCs/>
                      <w:color w:val="auto"/>
                      <w:sz w:val="21"/>
                      <w:szCs w:val="21"/>
                      <w:highlight w:val="none"/>
                      <w:lang w:val="en-US" w:eastAsia="zh-CN"/>
                    </w:rPr>
                    <w:t>126度32分11秒</w:t>
                  </w:r>
                  <w:r>
                    <w:rPr>
                      <w:rFonts w:hint="eastAsia" w:ascii="宋体" w:hAnsi="宋体" w:eastAsia="宋体" w:cs="宋体"/>
                      <w:bCs/>
                      <w:color w:val="auto"/>
                      <w:sz w:val="21"/>
                      <w:szCs w:val="21"/>
                      <w:highlight w:val="none"/>
                    </w:rPr>
                    <w:t>，北纬：</w:t>
                  </w:r>
                  <w:r>
                    <w:rPr>
                      <w:rFonts w:hint="eastAsia" w:ascii="宋体" w:hAnsi="宋体" w:eastAsia="宋体" w:cs="宋体"/>
                      <w:bCs/>
                      <w:color w:val="auto"/>
                      <w:sz w:val="21"/>
                      <w:szCs w:val="21"/>
                      <w:highlight w:val="none"/>
                      <w:lang w:val="en-US" w:eastAsia="zh-CN"/>
                    </w:rPr>
                    <w:t>42度1分42秒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主要危险物质及分布</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锅炉房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环境影响途径及危害后果 （大气、地表水、地下水等）</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火灾风险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bCs/>
                      <w:color w:val="auto"/>
                      <w:sz w:val="21"/>
                      <w:szCs w:val="21"/>
                      <w:highlight w:val="none"/>
                    </w:rPr>
                    <w:t>风险防范措施要求</w:t>
                  </w:r>
                </w:p>
              </w:tc>
              <w:tc>
                <w:tcPr>
                  <w:tcW w:w="6668" w:type="dxa"/>
                  <w:noWrap w:val="0"/>
                  <w:vAlign w:val="center"/>
                </w:tcPr>
                <w:p>
                  <w:pPr>
                    <w:pStyle w:val="40"/>
                    <w:rPr>
                      <w:rFonts w:hint="eastAsia" w:ascii="宋体" w:hAnsi="宋体" w:eastAsia="宋体" w:cs="宋体"/>
                      <w:bCs/>
                      <w:color w:val="auto"/>
                      <w:sz w:val="21"/>
                      <w:szCs w:val="21"/>
                      <w:highlight w:val="none"/>
                    </w:rPr>
                  </w:pPr>
                  <w:r>
                    <w:rPr>
                      <w:rFonts w:hint="eastAsia" w:ascii="宋体" w:hAnsi="宋体" w:eastAsia="宋体"/>
                      <w:color w:val="auto"/>
                      <w:sz w:val="21"/>
                      <w:szCs w:val="21"/>
                      <w:highlight w:val="none"/>
                    </w:rPr>
                    <w:t>各种事故无论是人为因素引起的，还是自然因素 导致的，都可以采取必要的预防措施，避免事故的发 生或使事故造成的危害降低到最低限度，为进一步降 低风险事故的发生几率，提出如下控制措施： （1）对锅炉房设备做好防腐工作，严格按规范进行日 常维修，定期对管线 腐蚀程度进行监测和检漏； （2）区域要有禁火标志和防火防爆技术措施，禁止使 用易产生火花的机械和工具，企业要重视安全防火工 作，成立以主要领导为首的安全防火组织，在 上级消防安全部门的监督下开展工作，对消防设施要 定期进行检查维护，场站设立对外的直通电话，发现 异常立即报警； （3）建立健全各项规章制度，加强日常对职工的安全 培训工作，制定严密 的管理制度，强化环境管理，对设备、管道等合理使 用，强制保养、计划检修等，保证系统稳定安全运行； （4）加强职工技能培训和安全教育，提高风险防范的 意识，定期进行模拟 事故演习，定期组织安全技术考试考核，严格按操作规程办事，杜绝因责任心不强而造成事故发生； （5）保证自动控制系统正常、安全可靠的工作。 （6）严格遵守国家和行业安全管理的有关规定，接受 上级有关部门的安全监督检查，发现问题应立即整改； （7）定期进行消防演习，制订紧急状态下的事故应急 预案； （8）严格按规范进行日常维修； （9）注意人员培训，定期进行模拟事故演习，定期组 织安全技术考试考核； （10）注意自然灾害预报，及时采取防范措施； （11）建构筑物间距须满足安全防火距离。</w:t>
                  </w:r>
                </w:p>
              </w:tc>
            </w:tr>
          </w:tbl>
          <w:p>
            <w:pPr>
              <w:pStyle w:val="40"/>
              <w:jc w:val="both"/>
              <w:rPr>
                <w:rFonts w:hint="eastAsia"/>
                <w:color w:val="auto"/>
                <w:highlight w:val="yellow"/>
              </w:rPr>
            </w:pPr>
          </w:p>
        </w:tc>
      </w:tr>
    </w:tbl>
    <w:p>
      <w:pPr>
        <w:adjustRightInd w:val="0"/>
        <w:snapToGrid w:val="0"/>
        <w:spacing w:line="360" w:lineRule="auto"/>
        <w:rPr>
          <w:b/>
          <w:kern w:val="0"/>
          <w:sz w:val="28"/>
          <w:szCs w:val="28"/>
          <w:highlight w:val="yellow"/>
        </w:rPr>
        <w:sectPr>
          <w:pgSz w:w="11907" w:h="16840"/>
          <w:pgMar w:top="1701" w:right="1531" w:bottom="2127" w:left="1531" w:header="851" w:footer="851" w:gutter="0"/>
          <w:cols w:space="720" w:num="1"/>
          <w:docGrid w:linePitch="312" w:charSpace="0"/>
        </w:sectPr>
      </w:pPr>
    </w:p>
    <w:p>
      <w:pPr>
        <w:pStyle w:val="20"/>
        <w:numPr>
          <w:ilvl w:val="0"/>
          <w:numId w:val="10"/>
        </w:numPr>
        <w:jc w:val="center"/>
        <w:outlineLvl w:val="0"/>
        <w:rPr>
          <w:rFonts w:ascii="Times New Roman" w:hAnsi="Times New Roman"/>
          <w:snapToGrid w:val="0"/>
          <w:sz w:val="30"/>
          <w:szCs w:val="30"/>
          <w:highlight w:val="none"/>
        </w:rPr>
      </w:pPr>
      <w:bookmarkStart w:id="11" w:name="_Hlk54167917"/>
      <w:r>
        <w:rPr>
          <w:rFonts w:ascii="Times New Roman" w:hAnsi="Times New Roman"/>
          <w:snapToGrid w:val="0"/>
          <w:sz w:val="30"/>
          <w:szCs w:val="30"/>
          <w:highlight w:val="none"/>
        </w:rPr>
        <w:t>环境保护措施监督检查清单</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637"/>
        <w:gridCol w:w="1197"/>
        <w:gridCol w:w="1871"/>
        <w:gridCol w:w="25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6" w:type="dxa"/>
            <w:tcBorders>
              <w:tl2br w:val="single" w:color="auto" w:sz="4" w:space="0"/>
            </w:tcBorders>
            <w:noWrap w:val="0"/>
            <w:vAlign w:val="top"/>
          </w:tcPr>
          <w:p>
            <w:pPr>
              <w:adjustRightInd w:val="0"/>
              <w:snapToGrid w:val="0"/>
              <w:ind w:firstLine="630" w:firstLineChars="300"/>
              <w:rPr>
                <w:rFonts w:hint="eastAsia" w:ascii="宋体" w:hAnsi="宋体" w:cs="宋体"/>
                <w:szCs w:val="21"/>
                <w:highlight w:val="none"/>
              </w:rPr>
            </w:pPr>
            <w:r>
              <w:rPr>
                <w:rFonts w:hint="eastAsia" w:ascii="宋体" w:hAnsi="宋体" w:cs="宋体"/>
                <w:szCs w:val="21"/>
                <w:highlight w:val="none"/>
              </w:rPr>
              <w:t>内容</w:t>
            </w:r>
          </w:p>
          <w:p>
            <w:pPr>
              <w:adjustRightInd w:val="0"/>
              <w:snapToGrid w:val="0"/>
              <w:rPr>
                <w:rFonts w:hint="eastAsia" w:ascii="宋体" w:hAnsi="宋体" w:cs="宋体"/>
                <w:szCs w:val="21"/>
                <w:highlight w:val="none"/>
              </w:rPr>
            </w:pPr>
            <w:r>
              <w:rPr>
                <w:rFonts w:hint="eastAsia" w:ascii="宋体" w:hAnsi="宋体" w:cs="宋体"/>
                <w:szCs w:val="21"/>
                <w:highlight w:val="none"/>
              </w:rPr>
              <w:t>要素</w:t>
            </w:r>
          </w:p>
        </w:tc>
        <w:tc>
          <w:tcPr>
            <w:tcW w:w="1637"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排放口(编号、</w:t>
            </w:r>
          </w:p>
          <w:p>
            <w:pPr>
              <w:adjustRightInd w:val="0"/>
              <w:snapToGrid w:val="0"/>
              <w:jc w:val="center"/>
              <w:rPr>
                <w:rFonts w:hint="eastAsia" w:ascii="宋体" w:hAnsi="宋体" w:cs="宋体"/>
                <w:szCs w:val="21"/>
                <w:highlight w:val="none"/>
              </w:rPr>
            </w:pPr>
            <w:r>
              <w:rPr>
                <w:rFonts w:hint="eastAsia" w:ascii="宋体" w:hAnsi="宋体" w:cs="宋体"/>
                <w:szCs w:val="21"/>
                <w:highlight w:val="none"/>
              </w:rPr>
              <w:t>名称)/污染源</w:t>
            </w:r>
          </w:p>
        </w:tc>
        <w:tc>
          <w:tcPr>
            <w:tcW w:w="1197"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污染物项目</w:t>
            </w:r>
          </w:p>
        </w:tc>
        <w:tc>
          <w:tcPr>
            <w:tcW w:w="1871"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环境保护措施</w:t>
            </w:r>
          </w:p>
        </w:tc>
        <w:tc>
          <w:tcPr>
            <w:tcW w:w="2510"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6"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废气</w:t>
            </w:r>
          </w:p>
        </w:tc>
        <w:tc>
          <w:tcPr>
            <w:tcW w:w="1637"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DA001锅炉废气</w:t>
            </w:r>
          </w:p>
        </w:tc>
        <w:tc>
          <w:tcPr>
            <w:tcW w:w="1197"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颗粒物、SO</w:t>
            </w:r>
            <w:r>
              <w:rPr>
                <w:rFonts w:hint="eastAsia" w:ascii="宋体" w:hAnsi="宋体" w:cs="宋体"/>
                <w:szCs w:val="21"/>
                <w:highlight w:val="none"/>
                <w:vertAlign w:val="subscript"/>
              </w:rPr>
              <w:t>2</w:t>
            </w:r>
            <w:r>
              <w:rPr>
                <w:rFonts w:hint="eastAsia" w:ascii="宋体" w:hAnsi="宋体" w:cs="宋体"/>
                <w:szCs w:val="21"/>
                <w:highlight w:val="none"/>
              </w:rPr>
              <w:t>、NO</w:t>
            </w:r>
            <w:r>
              <w:rPr>
                <w:rFonts w:hint="eastAsia" w:ascii="宋体" w:hAnsi="宋体" w:cs="宋体"/>
                <w:szCs w:val="21"/>
                <w:highlight w:val="none"/>
                <w:vertAlign w:val="subscript"/>
              </w:rPr>
              <w:t>X</w:t>
            </w:r>
          </w:p>
        </w:tc>
        <w:tc>
          <w:tcPr>
            <w:tcW w:w="1871" w:type="dxa"/>
            <w:noWrap w:val="0"/>
            <w:vAlign w:val="center"/>
          </w:tcPr>
          <w:p>
            <w:pPr>
              <w:adjustRightInd w:val="0"/>
              <w:snapToGrid w:val="0"/>
              <w:jc w:val="center"/>
              <w:rPr>
                <w:rFonts w:hint="eastAsia" w:ascii="宋体" w:hAnsi="宋体" w:cs="宋体"/>
                <w:szCs w:val="21"/>
                <w:highlight w:val="none"/>
              </w:rPr>
            </w:pPr>
            <w:r>
              <w:rPr>
                <w:rFonts w:hint="eastAsia"/>
                <w:szCs w:val="21"/>
                <w:highlight w:val="none"/>
              </w:rPr>
              <w:t>布袋除尘器+不 低于</w:t>
            </w:r>
            <w:r>
              <w:rPr>
                <w:rFonts w:hint="eastAsia"/>
                <w:szCs w:val="21"/>
                <w:highlight w:val="none"/>
                <w:lang w:val="en-US" w:eastAsia="zh-CN"/>
              </w:rPr>
              <w:t>35</w:t>
            </w:r>
            <w:r>
              <w:rPr>
                <w:rFonts w:hint="eastAsia"/>
                <w:szCs w:val="21"/>
                <w:highlight w:val="none"/>
              </w:rPr>
              <w:t>m 排气筒 （DA001）排放</w:t>
            </w:r>
          </w:p>
        </w:tc>
        <w:tc>
          <w:tcPr>
            <w:tcW w:w="2510" w:type="dxa"/>
            <w:noWrap w:val="0"/>
            <w:vAlign w:val="center"/>
          </w:tcPr>
          <w:p>
            <w:pPr>
              <w:jc w:val="center"/>
              <w:rPr>
                <w:rFonts w:hint="eastAsia" w:ascii="宋体" w:hAnsi="宋体" w:cs="宋体"/>
                <w:szCs w:val="21"/>
                <w:highlight w:val="none"/>
              </w:rPr>
            </w:pPr>
            <w:r>
              <w:rPr>
                <w:rFonts w:hint="eastAsia"/>
                <w:szCs w:val="21"/>
                <w:highlight w:val="none"/>
              </w:rPr>
              <w:t>《锅炉大气污染 物排放标准》 （GB13271-2014 ）表2标准限值要求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586" w:type="dxa"/>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地表水环境</w:t>
            </w:r>
          </w:p>
        </w:tc>
        <w:tc>
          <w:tcPr>
            <w:tcW w:w="1637" w:type="dxa"/>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锅炉废水、反冲洗废水</w:t>
            </w:r>
          </w:p>
        </w:tc>
        <w:tc>
          <w:tcPr>
            <w:tcW w:w="1197" w:type="dxa"/>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COD</w:t>
            </w:r>
          </w:p>
        </w:tc>
        <w:tc>
          <w:tcPr>
            <w:tcW w:w="1871" w:type="dxa"/>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排入</w:t>
            </w:r>
            <w:r>
              <w:rPr>
                <w:rFonts w:hint="eastAsia" w:ascii="宋体" w:hAnsi="宋体" w:eastAsia="宋体" w:cs="宋体"/>
                <w:szCs w:val="21"/>
                <w:highlight w:val="none"/>
                <w:lang w:val="en-US" w:eastAsia="zh-CN"/>
              </w:rPr>
              <w:t>现有化粪池</w:t>
            </w:r>
          </w:p>
        </w:tc>
        <w:tc>
          <w:tcPr>
            <w:tcW w:w="2510" w:type="dxa"/>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定期清掏作用于附近农田施肥，不排入地表水体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6"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声环境</w:t>
            </w:r>
          </w:p>
        </w:tc>
        <w:tc>
          <w:tcPr>
            <w:tcW w:w="1637" w:type="dxa"/>
            <w:noWrap w:val="0"/>
            <w:vAlign w:val="center"/>
          </w:tcPr>
          <w:p>
            <w:pPr>
              <w:adjustRightInd w:val="0"/>
              <w:snapToGrid w:val="0"/>
              <w:jc w:val="center"/>
              <w:rPr>
                <w:rFonts w:hint="eastAsia" w:ascii="宋体" w:hAnsi="宋体" w:cs="宋体"/>
                <w:szCs w:val="21"/>
                <w:highlight w:val="none"/>
              </w:rPr>
            </w:pPr>
            <w:r>
              <w:rPr>
                <w:rFonts w:hint="eastAsia"/>
                <w:szCs w:val="21"/>
                <w:highlight w:val="none"/>
              </w:rPr>
              <w:t>设备运行产噪</w:t>
            </w:r>
          </w:p>
        </w:tc>
        <w:tc>
          <w:tcPr>
            <w:tcW w:w="1197"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噪声</w:t>
            </w:r>
          </w:p>
        </w:tc>
        <w:tc>
          <w:tcPr>
            <w:tcW w:w="1871" w:type="dxa"/>
            <w:noWrap w:val="0"/>
            <w:vAlign w:val="center"/>
          </w:tcPr>
          <w:p>
            <w:pPr>
              <w:jc w:val="center"/>
              <w:rPr>
                <w:rFonts w:hint="eastAsia" w:ascii="宋体" w:hAnsi="宋体" w:cs="宋体"/>
                <w:szCs w:val="21"/>
                <w:highlight w:val="none"/>
              </w:rPr>
            </w:pPr>
            <w:r>
              <w:rPr>
                <w:rFonts w:hint="eastAsia" w:ascii="宋体" w:hAnsi="宋体"/>
                <w:szCs w:val="21"/>
                <w:highlight w:val="none"/>
              </w:rPr>
              <w:t>选取低噪声设备、对设备采取减震、设置隔音操作、加强设备的管理和维护等措施</w:t>
            </w:r>
          </w:p>
        </w:tc>
        <w:tc>
          <w:tcPr>
            <w:tcW w:w="2510"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《工业企业厂界环境噪声排放标准》(GB12348-2008)中1类区标准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86"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电磁辐射</w:t>
            </w:r>
          </w:p>
        </w:tc>
        <w:tc>
          <w:tcPr>
            <w:tcW w:w="7215" w:type="dxa"/>
            <w:gridSpan w:val="4"/>
            <w:noWrap w:val="0"/>
            <w:vAlign w:val="center"/>
          </w:tcPr>
          <w:p>
            <w:pPr>
              <w:adjustRightInd w:val="0"/>
              <w:snapToGrid w:val="0"/>
              <w:jc w:val="center"/>
              <w:rPr>
                <w:rFonts w:hint="eastAsia" w:ascii="宋体" w:hAnsi="宋体" w:cs="宋体"/>
                <w:szCs w:val="21"/>
                <w:highlight w:val="none"/>
              </w:rPr>
            </w:pPr>
            <w:r>
              <w:rPr>
                <w:rFonts w:hint="eastAsia"/>
                <w:szCs w:val="21"/>
                <w:highlight w:val="none"/>
              </w:rPr>
              <w:t>本项目不涉及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586" w:type="dxa"/>
            <w:vMerge w:val="restar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固体废物</w:t>
            </w:r>
          </w:p>
        </w:tc>
        <w:tc>
          <w:tcPr>
            <w:tcW w:w="1637" w:type="dxa"/>
            <w:vMerge w:val="restart"/>
            <w:noWrap w:val="0"/>
            <w:vAlign w:val="center"/>
          </w:tcPr>
          <w:p>
            <w:pPr>
              <w:jc w:val="center"/>
              <w:rPr>
                <w:rFonts w:hint="eastAsia" w:ascii="宋体" w:hAnsi="宋体" w:cs="宋体"/>
                <w:szCs w:val="21"/>
                <w:highlight w:val="none"/>
              </w:rPr>
            </w:pPr>
            <w:r>
              <w:rPr>
                <w:rFonts w:hint="eastAsia" w:ascii="宋体" w:hAnsi="宋体" w:cs="宋体"/>
                <w:szCs w:val="21"/>
                <w:highlight w:val="none"/>
              </w:rPr>
              <w:t>生产过程</w:t>
            </w:r>
          </w:p>
        </w:tc>
        <w:tc>
          <w:tcPr>
            <w:tcW w:w="1197"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灰渣</w:t>
            </w:r>
          </w:p>
        </w:tc>
        <w:tc>
          <w:tcPr>
            <w:tcW w:w="1871" w:type="dxa"/>
            <w:vMerge w:val="restart"/>
            <w:noWrap w:val="0"/>
            <w:vAlign w:val="center"/>
          </w:tcPr>
          <w:p>
            <w:pPr>
              <w:jc w:val="center"/>
              <w:rPr>
                <w:rFonts w:hint="default" w:ascii="宋体" w:hAnsi="宋体" w:eastAsia="宋体" w:cs="宋体"/>
                <w:szCs w:val="21"/>
                <w:highlight w:val="none"/>
                <w:u w:val="none"/>
                <w:lang w:val="en-US" w:eastAsia="zh-CN"/>
              </w:rPr>
            </w:pPr>
            <w:r>
              <w:rPr>
                <w:rFonts w:hint="eastAsia" w:ascii="宋体" w:hAnsi="宋体"/>
                <w:szCs w:val="21"/>
                <w:highlight w:val="none"/>
                <w:u w:val="none"/>
              </w:rPr>
              <w:t>暂存锅炉房内</w:t>
            </w:r>
            <w:r>
              <w:rPr>
                <w:rFonts w:hint="eastAsia" w:ascii="宋体" w:hAnsi="宋体"/>
                <w:szCs w:val="21"/>
                <w:highlight w:val="none"/>
                <w:u w:val="single"/>
              </w:rPr>
              <w:t>，</w:t>
            </w:r>
            <w:r>
              <w:rPr>
                <w:rFonts w:hint="eastAsia" w:ascii="宋体" w:hAnsi="宋体" w:eastAsia="宋体" w:cs="宋体"/>
                <w:bCs/>
                <w:sz w:val="21"/>
                <w:szCs w:val="21"/>
                <w:highlight w:val="none"/>
                <w:u w:val="single"/>
                <w:lang w:val="zh-CN"/>
              </w:rPr>
              <w:t>外售附近村民做肥料</w:t>
            </w:r>
          </w:p>
        </w:tc>
        <w:tc>
          <w:tcPr>
            <w:tcW w:w="2510" w:type="dxa"/>
            <w:vMerge w:val="restar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妥善处置，不会产生二次污染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86" w:type="dxa"/>
            <w:vMerge w:val="continue"/>
            <w:noWrap w:val="0"/>
            <w:vAlign w:val="center"/>
          </w:tcPr>
          <w:p>
            <w:pPr>
              <w:adjustRightInd w:val="0"/>
              <w:snapToGrid w:val="0"/>
              <w:jc w:val="center"/>
              <w:rPr>
                <w:rFonts w:hint="eastAsia" w:ascii="宋体" w:hAnsi="宋体" w:cs="宋体"/>
                <w:szCs w:val="21"/>
                <w:highlight w:val="yellow"/>
              </w:rPr>
            </w:pPr>
          </w:p>
        </w:tc>
        <w:tc>
          <w:tcPr>
            <w:tcW w:w="1637" w:type="dxa"/>
            <w:vMerge w:val="continue"/>
            <w:noWrap w:val="0"/>
            <w:vAlign w:val="center"/>
          </w:tcPr>
          <w:p>
            <w:pPr>
              <w:jc w:val="center"/>
              <w:rPr>
                <w:rFonts w:hint="eastAsia" w:ascii="宋体" w:hAnsi="宋体" w:cs="宋体"/>
                <w:szCs w:val="21"/>
                <w:highlight w:val="yellow"/>
              </w:rPr>
            </w:pPr>
          </w:p>
        </w:tc>
        <w:tc>
          <w:tcPr>
            <w:tcW w:w="1197" w:type="dxa"/>
            <w:noWrap w:val="0"/>
            <w:vAlign w:val="center"/>
          </w:tcPr>
          <w:p>
            <w:pPr>
              <w:jc w:val="center"/>
              <w:rPr>
                <w:rFonts w:hint="eastAsia" w:ascii="宋体" w:hAnsi="宋体" w:cs="宋体"/>
                <w:szCs w:val="21"/>
                <w:highlight w:val="none"/>
              </w:rPr>
            </w:pPr>
            <w:r>
              <w:rPr>
                <w:rFonts w:hint="eastAsia" w:ascii="宋体" w:hAnsi="宋体" w:cs="宋体"/>
                <w:szCs w:val="21"/>
                <w:highlight w:val="none"/>
              </w:rPr>
              <w:t>除尘灰</w:t>
            </w:r>
          </w:p>
        </w:tc>
        <w:tc>
          <w:tcPr>
            <w:tcW w:w="1871" w:type="dxa"/>
            <w:vMerge w:val="continue"/>
            <w:noWrap w:val="0"/>
            <w:vAlign w:val="center"/>
          </w:tcPr>
          <w:p>
            <w:pPr>
              <w:jc w:val="center"/>
              <w:rPr>
                <w:rFonts w:hint="eastAsia" w:ascii="宋体" w:hAnsi="宋体" w:cs="宋体"/>
                <w:szCs w:val="21"/>
                <w:highlight w:val="none"/>
              </w:rPr>
            </w:pPr>
          </w:p>
        </w:tc>
        <w:tc>
          <w:tcPr>
            <w:tcW w:w="2510" w:type="dxa"/>
            <w:vMerge w:val="continue"/>
            <w:noWrap w:val="0"/>
            <w:vAlign w:val="center"/>
          </w:tcPr>
          <w:p>
            <w:pPr>
              <w:adjustRightInd w:val="0"/>
              <w:snapToGrid w:val="0"/>
              <w:jc w:val="center"/>
              <w:rPr>
                <w:rFonts w:hint="eastAsia" w:ascii="宋体" w:hAnsi="宋体" w:cs="宋体"/>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86" w:type="dxa"/>
            <w:vMerge w:val="continue"/>
            <w:noWrap w:val="0"/>
            <w:vAlign w:val="center"/>
          </w:tcPr>
          <w:p>
            <w:pPr>
              <w:adjustRightInd w:val="0"/>
              <w:snapToGrid w:val="0"/>
              <w:jc w:val="center"/>
              <w:rPr>
                <w:rFonts w:hint="eastAsia" w:ascii="宋体" w:hAnsi="宋体" w:cs="宋体"/>
                <w:szCs w:val="21"/>
                <w:highlight w:val="yellow"/>
              </w:rPr>
            </w:pPr>
          </w:p>
        </w:tc>
        <w:tc>
          <w:tcPr>
            <w:tcW w:w="1637" w:type="dxa"/>
            <w:vMerge w:val="continue"/>
            <w:noWrap w:val="0"/>
            <w:vAlign w:val="center"/>
          </w:tcPr>
          <w:p>
            <w:pPr>
              <w:jc w:val="center"/>
              <w:rPr>
                <w:rFonts w:hint="eastAsia" w:ascii="宋体" w:hAnsi="宋体" w:cs="宋体"/>
                <w:szCs w:val="21"/>
                <w:highlight w:val="yellow"/>
              </w:rPr>
            </w:pPr>
          </w:p>
        </w:tc>
        <w:tc>
          <w:tcPr>
            <w:tcW w:w="1197" w:type="dxa"/>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Cs w:val="21"/>
                <w:highlight w:val="none"/>
              </w:rPr>
              <w:t>废弃布袋</w:t>
            </w:r>
          </w:p>
        </w:tc>
        <w:tc>
          <w:tcPr>
            <w:tcW w:w="1871" w:type="dxa"/>
            <w:noWrap w:val="0"/>
            <w:vAlign w:val="center"/>
          </w:tcPr>
          <w:p>
            <w:pPr>
              <w:jc w:val="center"/>
              <w:rPr>
                <w:rFonts w:hint="eastAsia" w:ascii="宋体" w:hAnsi="宋体" w:cs="宋体"/>
                <w:szCs w:val="21"/>
                <w:highlight w:val="none"/>
              </w:rPr>
            </w:pPr>
            <w:r>
              <w:rPr>
                <w:rFonts w:hint="eastAsia" w:ascii="宋体" w:hAnsi="宋体"/>
                <w:szCs w:val="21"/>
                <w:highlight w:val="none"/>
              </w:rPr>
              <w:t>外售专业回收公司</w:t>
            </w:r>
          </w:p>
        </w:tc>
        <w:tc>
          <w:tcPr>
            <w:tcW w:w="2510" w:type="dxa"/>
            <w:vMerge w:val="continue"/>
            <w:noWrap w:val="0"/>
            <w:vAlign w:val="center"/>
          </w:tcPr>
          <w:p>
            <w:pPr>
              <w:adjustRightInd w:val="0"/>
              <w:snapToGrid w:val="0"/>
              <w:jc w:val="center"/>
              <w:rPr>
                <w:rFonts w:hint="eastAsia" w:ascii="宋体" w:hAnsi="宋体" w:cs="宋体"/>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86"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土壤及地下水</w:t>
            </w:r>
          </w:p>
          <w:p>
            <w:pPr>
              <w:adjustRightInd w:val="0"/>
              <w:snapToGrid w:val="0"/>
              <w:jc w:val="center"/>
              <w:rPr>
                <w:rFonts w:hint="eastAsia" w:ascii="宋体" w:hAnsi="宋体" w:cs="宋体"/>
                <w:szCs w:val="21"/>
                <w:highlight w:val="none"/>
              </w:rPr>
            </w:pPr>
            <w:r>
              <w:rPr>
                <w:rFonts w:hint="eastAsia" w:ascii="宋体" w:hAnsi="宋体" w:cs="宋体"/>
                <w:szCs w:val="21"/>
                <w:highlight w:val="none"/>
              </w:rPr>
              <w:t>污染防治措施</w:t>
            </w:r>
          </w:p>
        </w:tc>
        <w:tc>
          <w:tcPr>
            <w:tcW w:w="7215" w:type="dxa"/>
            <w:gridSpan w:val="4"/>
            <w:noWrap w:val="0"/>
            <w:vAlign w:val="center"/>
          </w:tcPr>
          <w:p>
            <w:pPr>
              <w:adjustRightInd w:val="0"/>
              <w:snapToGrid w:val="0"/>
              <w:jc w:val="center"/>
              <w:rPr>
                <w:rFonts w:hint="eastAsia" w:ascii="宋体" w:hAnsi="宋体" w:cs="宋体"/>
                <w:kern w:val="0"/>
                <w:szCs w:val="21"/>
                <w:highlight w:val="none"/>
                <w:lang w:bidi="ar"/>
              </w:rPr>
            </w:pPr>
            <w:r>
              <w:rPr>
                <w:rFonts w:hint="eastAsia" w:ascii="宋体" w:hAnsi="宋体" w:cs="宋体"/>
                <w:kern w:val="0"/>
                <w:szCs w:val="21"/>
                <w:highlight w:val="none"/>
                <w:lang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586" w:type="dxa"/>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生态保护措施</w:t>
            </w:r>
          </w:p>
        </w:tc>
        <w:tc>
          <w:tcPr>
            <w:tcW w:w="7215" w:type="dxa"/>
            <w:gridSpan w:val="4"/>
            <w:noWrap w:val="0"/>
            <w:vAlign w:val="center"/>
          </w:tcPr>
          <w:p>
            <w:pPr>
              <w:adjustRightInd w:val="0"/>
              <w:snapToGrid w:val="0"/>
              <w:jc w:val="center"/>
              <w:rPr>
                <w:rFonts w:hint="eastAsia" w:ascii="宋体" w:hAnsi="宋体" w:cs="宋体"/>
                <w:szCs w:val="21"/>
                <w:highlight w:val="none"/>
              </w:rPr>
            </w:pPr>
            <w:r>
              <w:rPr>
                <w:rFonts w:hint="eastAsia"/>
                <w:szCs w:val="21"/>
                <w:highlight w:val="none"/>
              </w:rPr>
              <w:t>本项目不涉及。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86" w:type="dxa"/>
            <w:noWrap w:val="0"/>
            <w:vAlign w:val="center"/>
          </w:tcPr>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环境风险</w:t>
            </w: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防范措施</w:t>
            </w:r>
          </w:p>
        </w:tc>
        <w:tc>
          <w:tcPr>
            <w:tcW w:w="7215" w:type="dxa"/>
            <w:gridSpan w:val="4"/>
            <w:noWrap w:val="0"/>
            <w:vAlign w:val="center"/>
          </w:tcPr>
          <w:p>
            <w:pPr>
              <w:adjustRightInd w:val="0"/>
              <w:snapToGrid w:val="0"/>
              <w:jc w:val="center"/>
              <w:rPr>
                <w:rFonts w:hint="eastAsia" w:ascii="宋体" w:hAnsi="宋体" w:cs="宋体"/>
                <w:szCs w:val="21"/>
                <w:highlight w:val="none"/>
              </w:rPr>
            </w:pPr>
            <w:r>
              <w:rPr>
                <w:rFonts w:hint="eastAsia" w:ascii="宋体" w:hAnsi="宋体" w:cs="宋体"/>
                <w:spacing w:val="-8"/>
                <w:szCs w:val="21"/>
                <w:highlight w:val="none"/>
              </w:rPr>
              <w:t>①规范厂区内燃料暂存管理。 ②厂区内设置严禁烟火的标示，并配置灭火器，同时要求不准携带火柴、打火机或其它火种进入生产厂房，不得随意丢弃烟头等。 ③定期检查厂区电路，防止电路老化引起火灾事故。 ④加强管理，进行必要的安全消防教育，并做好个人防护，加强职工培训，提高应急处理能力。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86" w:type="dxa"/>
            <w:noWrap w:val="0"/>
            <w:vAlign w:val="center"/>
          </w:tcPr>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其他环境</w:t>
            </w: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管理要求</w:t>
            </w: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pStyle w:val="22"/>
              <w:rPr>
                <w:rFonts w:hint="eastAsia" w:ascii="宋体" w:hAnsi="宋体" w:cs="宋体"/>
                <w:spacing w:val="-8"/>
                <w:sz w:val="21"/>
                <w:szCs w:val="21"/>
                <w:highlight w:val="none"/>
              </w:rPr>
            </w:pPr>
          </w:p>
          <w:p>
            <w:pPr>
              <w:pStyle w:val="40"/>
              <w:rPr>
                <w:rFonts w:hint="eastAsia" w:ascii="宋体" w:hAnsi="宋体" w:eastAsia="宋体" w:cs="宋体"/>
                <w:color w:val="auto"/>
                <w:spacing w:val="-8"/>
                <w:sz w:val="21"/>
                <w:szCs w:val="21"/>
                <w:highlight w:val="none"/>
              </w:rPr>
            </w:pPr>
          </w:p>
          <w:p>
            <w:pPr>
              <w:pStyle w:val="40"/>
              <w:rPr>
                <w:rFonts w:hint="eastAsia" w:ascii="宋体" w:hAnsi="宋体" w:eastAsia="宋体" w:cs="宋体"/>
                <w:color w:val="auto"/>
                <w:spacing w:val="-8"/>
                <w:sz w:val="21"/>
                <w:szCs w:val="21"/>
                <w:highlight w:val="none"/>
              </w:rPr>
            </w:pPr>
          </w:p>
          <w:p>
            <w:pPr>
              <w:pStyle w:val="40"/>
              <w:rPr>
                <w:rFonts w:hint="eastAsia" w:ascii="宋体" w:hAnsi="宋体" w:eastAsia="宋体" w:cs="宋体"/>
                <w:color w:val="auto"/>
                <w:spacing w:val="-8"/>
                <w:sz w:val="21"/>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其他环境</w:t>
            </w: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管理要求</w:t>
            </w: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其他环境</w:t>
            </w:r>
          </w:p>
          <w:p>
            <w:pPr>
              <w:adjustRightInd w:val="0"/>
              <w:snapToGrid w:val="0"/>
              <w:jc w:val="center"/>
              <w:rPr>
                <w:rFonts w:hint="eastAsia" w:ascii="宋体" w:hAnsi="宋体" w:cs="宋体"/>
                <w:spacing w:val="-8"/>
                <w:szCs w:val="21"/>
                <w:highlight w:val="none"/>
              </w:rPr>
            </w:pPr>
            <w:r>
              <w:rPr>
                <w:rFonts w:hint="eastAsia" w:ascii="宋体" w:hAnsi="宋体" w:cs="宋体"/>
                <w:spacing w:val="-8"/>
                <w:szCs w:val="21"/>
                <w:highlight w:val="none"/>
              </w:rPr>
              <w:t>管理要求</w:t>
            </w:r>
          </w:p>
        </w:tc>
        <w:tc>
          <w:tcPr>
            <w:tcW w:w="7215" w:type="dxa"/>
            <w:gridSpan w:val="4"/>
            <w:noWrap w:val="0"/>
            <w:vAlign w:val="center"/>
          </w:tcPr>
          <w:p>
            <w:pPr>
              <w:adjustRightInd w:val="0"/>
              <w:snapToGrid w:val="0"/>
              <w:jc w:val="center"/>
              <w:rPr>
                <w:rFonts w:hint="eastAsia"/>
                <w:highlight w:val="none"/>
              </w:rPr>
            </w:pPr>
          </w:p>
          <w:p>
            <w:pPr>
              <w:pStyle w:val="22"/>
              <w:spacing w:after="0"/>
              <w:ind w:left="0" w:leftChars="0" w:firstLine="0"/>
              <w:rPr>
                <w:rFonts w:hint="eastAsia"/>
                <w:highlight w:val="none"/>
              </w:rPr>
            </w:pPr>
          </w:p>
          <w:p>
            <w:pPr>
              <w:spacing w:line="360" w:lineRule="auto"/>
              <w:ind w:firstLine="482" w:firstLineChars="200"/>
              <w:rPr>
                <w:rFonts w:hint="eastAsia"/>
                <w:sz w:val="24"/>
                <w:highlight w:val="none"/>
              </w:rPr>
            </w:pPr>
            <w:bookmarkStart w:id="12" w:name="_Toc17703"/>
            <w:bookmarkStart w:id="13" w:name="_Toc21777"/>
            <w:bookmarkStart w:id="14" w:name="_Toc870"/>
            <w:bookmarkStart w:id="15" w:name="_Toc21244"/>
            <w:r>
              <w:rPr>
                <w:rFonts w:hint="eastAsia"/>
                <w:b/>
                <w:bCs/>
                <w:sz w:val="24"/>
                <w:highlight w:val="none"/>
              </w:rPr>
              <w:t>1、验收管理</w:t>
            </w:r>
          </w:p>
          <w:p>
            <w:pPr>
              <w:spacing w:line="360" w:lineRule="auto"/>
              <w:ind w:firstLine="480" w:firstLineChars="200"/>
              <w:rPr>
                <w:rFonts w:hint="eastAsia"/>
                <w:sz w:val="24"/>
                <w:highlight w:val="none"/>
              </w:rPr>
            </w:pPr>
            <w:r>
              <w:rPr>
                <w:rFonts w:hint="eastAsia"/>
                <w:sz w:val="24"/>
                <w:highlight w:val="none"/>
              </w:rPr>
              <w:t>依据《建设项目环境保护管理条例》（国务院第682号令）及国环规环评【2017】4号《建设项目竣工环境保护验收暂行办法》的有关规定，企业建设完成后，需按照相关标准及条例，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bookmarkEnd w:id="12"/>
            <w:bookmarkEnd w:id="13"/>
            <w:bookmarkEnd w:id="14"/>
            <w:bookmarkEnd w:id="15"/>
          </w:p>
          <w:p>
            <w:pPr>
              <w:spacing w:line="348" w:lineRule="auto"/>
              <w:ind w:firstLine="480" w:firstLineChars="200"/>
              <w:rPr>
                <w:rFonts w:hint="eastAsia" w:ascii="宋体" w:hAnsi="宋体" w:cs="宋体"/>
                <w:sz w:val="24"/>
                <w:highlight w:val="none"/>
                <w:u w:val="single"/>
              </w:rPr>
            </w:pPr>
            <w:r>
              <w:rPr>
                <w:rFonts w:hint="eastAsia" w:ascii="宋体" w:hAnsi="宋体" w:cs="宋体"/>
                <w:sz w:val="24"/>
                <w:highlight w:val="none"/>
                <w:lang w:val="zh-CN"/>
              </w:rPr>
              <w:t>本项目“三同时”验收内容详见表</w:t>
            </w:r>
            <w:r>
              <w:rPr>
                <w:rFonts w:hint="eastAsia" w:ascii="宋体" w:hAnsi="宋体" w:cs="宋体"/>
                <w:sz w:val="24"/>
                <w:highlight w:val="none"/>
              </w:rPr>
              <w:t>5-1</w:t>
            </w:r>
            <w:r>
              <w:rPr>
                <w:rFonts w:hint="eastAsia" w:ascii="宋体" w:hAnsi="宋体" w:cs="宋体"/>
                <w:sz w:val="24"/>
                <w:highlight w:val="none"/>
                <w:lang w:val="zh-CN"/>
              </w:rPr>
              <w:t>。</w:t>
            </w:r>
          </w:p>
          <w:p>
            <w:pPr>
              <w:adjustRightInd w:val="0"/>
              <w:snapToGrid w:val="0"/>
              <w:jc w:val="center"/>
              <w:rPr>
                <w:rFonts w:hint="eastAsia" w:ascii="宋体" w:hAnsi="宋体" w:cs="宋体"/>
                <w:b/>
                <w:bCs/>
                <w:szCs w:val="21"/>
                <w:highlight w:val="none"/>
                <w:u w:val="single"/>
              </w:rPr>
            </w:pPr>
          </w:p>
          <w:p>
            <w:pPr>
              <w:adjustRightInd w:val="0"/>
              <w:snapToGrid w:val="0"/>
              <w:jc w:val="center"/>
              <w:rPr>
                <w:rFonts w:hint="eastAsia" w:ascii="宋体" w:hAnsi="宋体" w:cs="宋体"/>
                <w:b/>
                <w:bCs/>
                <w:szCs w:val="21"/>
                <w:highlight w:val="none"/>
                <w:u w:val="single"/>
              </w:rPr>
            </w:pPr>
          </w:p>
          <w:p>
            <w:pPr>
              <w:adjustRightInd w:val="0"/>
              <w:snapToGrid w:val="0"/>
              <w:jc w:val="center"/>
              <w:rPr>
                <w:rFonts w:hint="eastAsia" w:ascii="宋体" w:hAnsi="宋体" w:cs="宋体"/>
                <w:szCs w:val="21"/>
                <w:highlight w:val="none"/>
                <w:u w:val="single"/>
              </w:rPr>
            </w:pPr>
            <w:r>
              <w:rPr>
                <w:rFonts w:hint="eastAsia" w:ascii="宋体" w:hAnsi="宋体" w:cs="宋体"/>
                <w:b/>
                <w:bCs/>
                <w:szCs w:val="21"/>
                <w:highlight w:val="none"/>
                <w:u w:val="single"/>
              </w:rPr>
              <w:t>表5-1    项目 “三同时”验收一览表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20"/>
              <w:gridCol w:w="1301"/>
              <w:gridCol w:w="1360"/>
              <w:gridCol w:w="1586"/>
              <w:gridCol w:w="1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30" w:type="pct"/>
                  <w:gridSpan w:val="3"/>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污染源分类</w:t>
                  </w:r>
                </w:p>
              </w:tc>
              <w:tc>
                <w:tcPr>
                  <w:tcW w:w="972"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污染物项目</w:t>
                  </w:r>
                </w:p>
              </w:tc>
              <w:tc>
                <w:tcPr>
                  <w:tcW w:w="1133"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环保措施</w:t>
                  </w:r>
                </w:p>
              </w:tc>
              <w:tc>
                <w:tcPr>
                  <w:tcW w:w="1363"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00" w:type="pct"/>
                  <w:vMerge w:val="restart"/>
                  <w:noWrap w:val="0"/>
                  <w:vAlign w:val="center"/>
                </w:tcPr>
                <w:p>
                  <w:pPr>
                    <w:adjustRightInd w:val="0"/>
                    <w:snapToGrid w:val="0"/>
                    <w:jc w:val="center"/>
                    <w:rPr>
                      <w:rFonts w:hint="eastAsia" w:ascii="宋体" w:hAnsi="宋体" w:cs="宋体"/>
                      <w:szCs w:val="21"/>
                      <w:highlight w:val="none"/>
                    </w:rPr>
                  </w:pPr>
                </w:p>
              </w:tc>
              <w:tc>
                <w:tcPr>
                  <w:tcW w:w="300"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废水</w:t>
                  </w:r>
                </w:p>
              </w:tc>
              <w:tc>
                <w:tcPr>
                  <w:tcW w:w="929" w:type="pct"/>
                  <w:noWrap w:val="0"/>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锅炉排水</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反冲洗废水</w:t>
                  </w:r>
                </w:p>
              </w:tc>
              <w:tc>
                <w:tcPr>
                  <w:tcW w:w="972" w:type="pct"/>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COD、SS</w:t>
                  </w:r>
                </w:p>
              </w:tc>
              <w:tc>
                <w:tcPr>
                  <w:tcW w:w="1133" w:type="pct"/>
                  <w:noWrap w:val="0"/>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排入</w:t>
                  </w:r>
                  <w:r>
                    <w:rPr>
                      <w:rFonts w:hint="eastAsia" w:ascii="宋体" w:hAnsi="宋体" w:eastAsia="宋体" w:cs="宋体"/>
                      <w:szCs w:val="21"/>
                      <w:highlight w:val="none"/>
                      <w:lang w:val="en-US" w:eastAsia="zh-CN"/>
                    </w:rPr>
                    <w:t>现有化粪池，定期清掏作用于附近农田施肥，不排入地表水体</w:t>
                  </w:r>
                </w:p>
              </w:tc>
              <w:tc>
                <w:tcPr>
                  <w:tcW w:w="1363"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300"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废气</w:t>
                  </w:r>
                </w:p>
              </w:tc>
              <w:tc>
                <w:tcPr>
                  <w:tcW w:w="929"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锅炉废气</w:t>
                  </w:r>
                </w:p>
              </w:tc>
              <w:tc>
                <w:tcPr>
                  <w:tcW w:w="972" w:type="pct"/>
                  <w:noWrap w:val="0"/>
                  <w:vAlign w:val="center"/>
                </w:tcPr>
                <w:p>
                  <w:pPr>
                    <w:jc w:val="center"/>
                    <w:rPr>
                      <w:rFonts w:hint="default" w:ascii="宋体" w:hAnsi="宋体" w:eastAsia="宋体" w:cs="宋体"/>
                      <w:szCs w:val="21"/>
                      <w:highlight w:val="none"/>
                      <w:lang w:val="en-US" w:eastAsia="zh-CN"/>
                    </w:rPr>
                  </w:pPr>
                  <w:r>
                    <w:rPr>
                      <w:rFonts w:hint="eastAsia" w:ascii="宋体" w:hAnsi="宋体" w:cs="宋体"/>
                      <w:szCs w:val="21"/>
                      <w:highlight w:val="none"/>
                    </w:rPr>
                    <w:t>颗粒物、SO</w:t>
                  </w:r>
                  <w:r>
                    <w:rPr>
                      <w:rFonts w:hint="eastAsia" w:ascii="宋体" w:hAnsi="宋体" w:cs="宋体"/>
                      <w:szCs w:val="21"/>
                      <w:highlight w:val="none"/>
                      <w:vertAlign w:val="subscript"/>
                    </w:rPr>
                    <w:t>2</w:t>
                  </w:r>
                  <w:r>
                    <w:rPr>
                      <w:rFonts w:hint="eastAsia" w:ascii="宋体" w:hAnsi="宋体" w:cs="宋体"/>
                      <w:szCs w:val="21"/>
                      <w:highlight w:val="none"/>
                    </w:rPr>
                    <w:t>、NOx</w:t>
                  </w:r>
                  <w:r>
                    <w:rPr>
                      <w:rFonts w:hint="eastAsia" w:ascii="宋体" w:hAnsi="宋体" w:cs="宋体"/>
                      <w:szCs w:val="21"/>
                      <w:highlight w:val="none"/>
                      <w:lang w:eastAsia="zh-CN"/>
                    </w:rPr>
                    <w:t>、</w:t>
                  </w:r>
                  <w:r>
                    <w:rPr>
                      <w:rFonts w:hint="eastAsia" w:ascii="宋体" w:hAnsi="宋体" w:cs="宋体"/>
                      <w:szCs w:val="21"/>
                      <w:highlight w:val="none"/>
                      <w:lang w:val="en-US" w:eastAsia="zh-CN"/>
                    </w:rPr>
                    <w:t>汞及其化合物</w:t>
                  </w:r>
                </w:p>
              </w:tc>
              <w:tc>
                <w:tcPr>
                  <w:tcW w:w="1133" w:type="pct"/>
                  <w:noWrap w:val="0"/>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布袋除尘器（效率不低于99.9%）+</w:t>
                  </w:r>
                  <w:r>
                    <w:rPr>
                      <w:rFonts w:hint="eastAsia" w:ascii="宋体" w:hAnsi="宋体" w:cs="宋体"/>
                      <w:szCs w:val="21"/>
                      <w:highlight w:val="none"/>
                      <w:lang w:val="en-US" w:eastAsia="zh-CN"/>
                    </w:rPr>
                    <w:t>35</w:t>
                  </w:r>
                  <w:r>
                    <w:rPr>
                      <w:rFonts w:hint="eastAsia" w:ascii="宋体" w:hAnsi="宋体" w:cs="宋体"/>
                      <w:szCs w:val="21"/>
                      <w:highlight w:val="none"/>
                    </w:rPr>
                    <w:t>m烟囱</w:t>
                  </w:r>
                </w:p>
              </w:tc>
              <w:tc>
                <w:tcPr>
                  <w:tcW w:w="1363"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满足《锅炉大气污染物排放标准》（GB13271-2014）表2排放要求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1230" w:type="pct"/>
                  <w:gridSpan w:val="2"/>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机械设备运转噪声</w:t>
                  </w:r>
                </w:p>
              </w:tc>
              <w:tc>
                <w:tcPr>
                  <w:tcW w:w="2105" w:type="pct"/>
                  <w:gridSpan w:val="2"/>
                  <w:noWrap w:val="0"/>
                  <w:vAlign w:val="center"/>
                </w:tcPr>
                <w:p>
                  <w:pPr>
                    <w:adjustRightInd w:val="0"/>
                    <w:snapToGrid w:val="0"/>
                    <w:jc w:val="center"/>
                    <w:rPr>
                      <w:rFonts w:hint="eastAsia" w:ascii="宋体" w:hAnsi="宋体" w:cs="宋体"/>
                      <w:szCs w:val="21"/>
                      <w:highlight w:val="none"/>
                    </w:rPr>
                  </w:pPr>
                  <w:r>
                    <w:rPr>
                      <w:rFonts w:hint="eastAsia" w:ascii="宋体" w:hAnsi="宋体"/>
                      <w:szCs w:val="21"/>
                      <w:highlight w:val="none"/>
                    </w:rPr>
                    <w:t>选取低噪声设备、对设备采取减震、设置隔音操作、加强设备的管理和维护等措施</w:t>
                  </w:r>
                </w:p>
              </w:tc>
              <w:tc>
                <w:tcPr>
                  <w:tcW w:w="1363" w:type="pc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满足《工业企业厂界环境噪声排放标准》（GB12348-2008）中1类区标准要求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300" w:type="pct"/>
                  <w:vMerge w:val="restar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固废</w:t>
                  </w:r>
                </w:p>
              </w:tc>
              <w:tc>
                <w:tcPr>
                  <w:tcW w:w="929"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灰渣</w:t>
                  </w:r>
                </w:p>
              </w:tc>
              <w:tc>
                <w:tcPr>
                  <w:tcW w:w="2105" w:type="pct"/>
                  <w:gridSpan w:val="2"/>
                  <w:vMerge w:val="restart"/>
                  <w:noWrap w:val="0"/>
                  <w:vAlign w:val="center"/>
                </w:tcPr>
                <w:p>
                  <w:pPr>
                    <w:jc w:val="center"/>
                    <w:rPr>
                      <w:rFonts w:hint="default" w:ascii="宋体" w:hAnsi="宋体" w:eastAsia="宋体" w:cs="宋体"/>
                      <w:szCs w:val="21"/>
                      <w:highlight w:val="none"/>
                      <w:u w:val="none"/>
                      <w:lang w:val="en-US" w:eastAsia="zh-CN"/>
                    </w:rPr>
                  </w:pPr>
                  <w:r>
                    <w:rPr>
                      <w:rFonts w:hint="eastAsia" w:ascii="宋体" w:hAnsi="宋体" w:cs="宋体"/>
                      <w:szCs w:val="21"/>
                      <w:highlight w:val="none"/>
                      <w:u w:val="none"/>
                    </w:rPr>
                    <w:t>暂存锅炉房内，</w:t>
                  </w:r>
                  <w:r>
                    <w:rPr>
                      <w:rFonts w:hint="eastAsia" w:ascii="宋体" w:hAnsi="宋体" w:eastAsia="宋体" w:cs="宋体"/>
                      <w:bCs/>
                      <w:sz w:val="21"/>
                      <w:szCs w:val="21"/>
                      <w:highlight w:val="none"/>
                      <w:u w:val="single"/>
                      <w:lang w:val="zh-CN"/>
                    </w:rPr>
                    <w:t>外售附近村民做肥料</w:t>
                  </w:r>
                </w:p>
              </w:tc>
              <w:tc>
                <w:tcPr>
                  <w:tcW w:w="1363" w:type="pct"/>
                  <w:vMerge w:val="restart"/>
                  <w:noWrap w:val="0"/>
                  <w:vAlign w:val="center"/>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929"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除尘灰</w:t>
                  </w:r>
                </w:p>
              </w:tc>
              <w:tc>
                <w:tcPr>
                  <w:tcW w:w="2105" w:type="pct"/>
                  <w:gridSpan w:val="2"/>
                  <w:vMerge w:val="continue"/>
                  <w:noWrap w:val="0"/>
                  <w:vAlign w:val="center"/>
                </w:tcPr>
                <w:p>
                  <w:pPr>
                    <w:jc w:val="center"/>
                    <w:rPr>
                      <w:rFonts w:hint="eastAsia" w:ascii="宋体" w:hAnsi="宋体" w:cs="宋体"/>
                      <w:szCs w:val="21"/>
                      <w:highlight w:val="none"/>
                      <w:u w:val="single"/>
                    </w:rPr>
                  </w:pPr>
                </w:p>
              </w:tc>
              <w:tc>
                <w:tcPr>
                  <w:tcW w:w="1363" w:type="pct"/>
                  <w:vMerge w:val="continue"/>
                  <w:noWrap w:val="0"/>
                  <w:vAlign w:val="center"/>
                </w:tcPr>
                <w:p>
                  <w:pPr>
                    <w:adjustRightInd w:val="0"/>
                    <w:snapToGrid w:val="0"/>
                    <w:jc w:val="center"/>
                    <w:rPr>
                      <w:rFonts w:hint="eastAsia" w:ascii="宋体" w:hAnsi="宋体" w:cs="宋体"/>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300" w:type="pct"/>
                  <w:vMerge w:val="continue"/>
                  <w:noWrap w:val="0"/>
                  <w:vAlign w:val="center"/>
                </w:tcPr>
                <w:p>
                  <w:pPr>
                    <w:adjustRightInd w:val="0"/>
                    <w:snapToGrid w:val="0"/>
                    <w:jc w:val="center"/>
                    <w:rPr>
                      <w:rFonts w:hint="eastAsia" w:ascii="宋体" w:hAnsi="宋体" w:cs="宋体"/>
                      <w:szCs w:val="21"/>
                      <w:highlight w:val="none"/>
                    </w:rPr>
                  </w:pPr>
                </w:p>
              </w:tc>
              <w:tc>
                <w:tcPr>
                  <w:tcW w:w="929" w:type="pct"/>
                  <w:noWrap w:val="0"/>
                  <w:vAlign w:val="center"/>
                </w:tcPr>
                <w:p>
                  <w:pPr>
                    <w:jc w:val="center"/>
                    <w:rPr>
                      <w:rFonts w:hint="eastAsia" w:ascii="宋体" w:hAnsi="宋体" w:cs="宋体"/>
                      <w:szCs w:val="21"/>
                      <w:highlight w:val="none"/>
                    </w:rPr>
                  </w:pPr>
                  <w:r>
                    <w:rPr>
                      <w:rFonts w:hint="eastAsia" w:ascii="宋体" w:hAnsi="宋体" w:cs="宋体"/>
                      <w:szCs w:val="21"/>
                      <w:highlight w:val="none"/>
                    </w:rPr>
                    <w:t>废弃布袋</w:t>
                  </w:r>
                </w:p>
              </w:tc>
              <w:tc>
                <w:tcPr>
                  <w:tcW w:w="2105" w:type="pct"/>
                  <w:gridSpan w:val="2"/>
                  <w:noWrap w:val="0"/>
                  <w:vAlign w:val="center"/>
                </w:tcPr>
                <w:p>
                  <w:pPr>
                    <w:jc w:val="center"/>
                    <w:rPr>
                      <w:rFonts w:hint="eastAsia" w:ascii="宋体" w:hAnsi="宋体" w:cs="宋体"/>
                      <w:szCs w:val="21"/>
                      <w:highlight w:val="none"/>
                    </w:rPr>
                  </w:pPr>
                  <w:r>
                    <w:rPr>
                      <w:rFonts w:hint="eastAsia" w:ascii="宋体" w:hAnsi="宋体" w:cs="宋体"/>
                      <w:szCs w:val="21"/>
                      <w:highlight w:val="none"/>
                    </w:rPr>
                    <w:t>外售专业回收公司</w:t>
                  </w:r>
                </w:p>
              </w:tc>
              <w:tc>
                <w:tcPr>
                  <w:tcW w:w="1363" w:type="pct"/>
                  <w:vMerge w:val="continue"/>
                  <w:noWrap w:val="0"/>
                  <w:vAlign w:val="center"/>
                </w:tcPr>
                <w:p>
                  <w:pPr>
                    <w:adjustRightInd w:val="0"/>
                    <w:snapToGrid w:val="0"/>
                    <w:jc w:val="center"/>
                    <w:rPr>
                      <w:rFonts w:hint="eastAsia" w:ascii="宋体" w:hAnsi="宋体" w:cs="宋体"/>
                      <w:szCs w:val="21"/>
                      <w:highlight w:val="none"/>
                    </w:rPr>
                  </w:pPr>
                </w:p>
              </w:tc>
            </w:tr>
          </w:tbl>
          <w:p>
            <w:pPr>
              <w:spacing w:line="360" w:lineRule="auto"/>
              <w:ind w:firstLine="480" w:firstLineChars="200"/>
              <w:rPr>
                <w:rFonts w:hint="eastAsia"/>
                <w:sz w:val="24"/>
                <w:highlight w:val="none"/>
              </w:rPr>
            </w:pPr>
          </w:p>
          <w:p>
            <w:pPr>
              <w:spacing w:line="360" w:lineRule="auto"/>
              <w:ind w:firstLine="482" w:firstLineChars="200"/>
              <w:rPr>
                <w:rFonts w:hint="eastAsia"/>
                <w:b/>
                <w:bCs/>
                <w:sz w:val="24"/>
                <w:highlight w:val="none"/>
                <w:u w:val="single"/>
              </w:rPr>
            </w:pPr>
            <w:r>
              <w:rPr>
                <w:rFonts w:hint="eastAsia"/>
                <w:b/>
                <w:bCs/>
                <w:sz w:val="24"/>
                <w:highlight w:val="none"/>
                <w:u w:val="single"/>
              </w:rPr>
              <w:t>2、排污许可管理</w:t>
            </w:r>
          </w:p>
          <w:p>
            <w:pPr>
              <w:spacing w:line="360" w:lineRule="auto"/>
              <w:ind w:firstLine="480" w:firstLineChars="200"/>
              <w:rPr>
                <w:rFonts w:hint="eastAsia"/>
                <w:sz w:val="24"/>
                <w:highlight w:val="none"/>
                <w:u w:val="single"/>
              </w:rPr>
            </w:pPr>
            <w:r>
              <w:rPr>
                <w:rFonts w:hint="eastAsia"/>
                <w:sz w:val="24"/>
                <w:highlight w:val="none"/>
                <w:u w:val="single"/>
              </w:rPr>
              <w:t>根据《关于强化建设项目环评事中事后监管的实施意见》（环评【2018】11号）、《排污许可</w:t>
            </w:r>
            <w:r>
              <w:rPr>
                <w:rFonts w:hint="eastAsia"/>
                <w:sz w:val="24"/>
                <w:highlight w:val="none"/>
                <w:u w:val="single"/>
                <w:lang w:eastAsia="zh-CN"/>
              </w:rPr>
              <w:t>管理条例</w:t>
            </w:r>
            <w:r>
              <w:rPr>
                <w:rFonts w:hint="eastAsia"/>
                <w:sz w:val="24"/>
                <w:highlight w:val="none"/>
                <w:u w:val="single"/>
              </w:rPr>
              <w:t>》（中华人民共和国国务院令第736号）和《固定污染源排污许可分类管理名录（2019年版）》等要求，“在名录规定的时限后建成的排污单位，应当在启动生产设施或者在实际排污之前申请排污许可证”，因此，本项目应在项目建成后排放污染物之前进行排污许可证的申请。</w:t>
            </w:r>
          </w:p>
          <w:p>
            <w:pPr>
              <w:adjustRightInd w:val="0"/>
              <w:snapToGrid w:val="0"/>
              <w:spacing w:line="360" w:lineRule="auto"/>
              <w:ind w:firstLine="482" w:firstLineChars="200"/>
              <w:jc w:val="left"/>
              <w:rPr>
                <w:rFonts w:hint="eastAsia" w:ascii="宋体" w:hAnsi="宋体" w:cs="宋体"/>
                <w:b/>
                <w:bCs/>
                <w:sz w:val="24"/>
                <w:highlight w:val="none"/>
              </w:rPr>
            </w:pPr>
            <w:r>
              <w:rPr>
                <w:rFonts w:hint="eastAsia" w:ascii="宋体" w:hAnsi="宋体" w:cs="宋体"/>
                <w:b/>
                <w:bCs/>
                <w:sz w:val="24"/>
                <w:highlight w:val="none"/>
              </w:rPr>
              <w:t>3、环境监测管理</w:t>
            </w:r>
          </w:p>
          <w:p>
            <w:pPr>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按监测计划完成废气、噪声监测。</w:t>
            </w:r>
          </w:p>
          <w:p>
            <w:pPr>
              <w:spacing w:line="360" w:lineRule="auto"/>
              <w:ind w:firstLine="482" w:firstLineChars="200"/>
              <w:rPr>
                <w:rFonts w:hint="eastAsia" w:ascii="宋体" w:hAnsi="宋体" w:cs="宋体"/>
                <w:b/>
                <w:bCs/>
                <w:sz w:val="24"/>
                <w:highlight w:val="none"/>
                <w:u w:val="single"/>
              </w:rPr>
            </w:pPr>
            <w:r>
              <w:rPr>
                <w:rFonts w:hint="eastAsia" w:ascii="宋体" w:hAnsi="宋体" w:cs="宋体"/>
                <w:b/>
                <w:bCs/>
                <w:sz w:val="24"/>
                <w:highlight w:val="none"/>
                <w:u w:val="single"/>
              </w:rPr>
              <w:t>4、环保投资</w:t>
            </w:r>
          </w:p>
          <w:p>
            <w:pPr>
              <w:adjustRightInd w:val="0"/>
              <w:snapToGrid w:val="0"/>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u w:val="single"/>
              </w:rPr>
              <w:t>本项目环保投资情况见表5-2。</w:t>
            </w:r>
          </w:p>
          <w:p>
            <w:pPr>
              <w:pStyle w:val="68"/>
              <w:spacing w:line="240" w:lineRule="auto"/>
              <w:ind w:firstLine="422"/>
              <w:jc w:val="center"/>
              <w:rPr>
                <w:rFonts w:hint="eastAsia" w:hAnsi="宋体"/>
                <w:b/>
                <w:bCs/>
                <w:color w:val="auto"/>
                <w:sz w:val="21"/>
                <w:szCs w:val="21"/>
                <w:highlight w:val="none"/>
                <w:u w:val="single"/>
              </w:rPr>
            </w:pPr>
            <w:r>
              <w:rPr>
                <w:rFonts w:hint="eastAsia" w:hAnsi="宋体"/>
                <w:b/>
                <w:bCs/>
                <w:color w:val="auto"/>
                <w:sz w:val="21"/>
                <w:szCs w:val="21"/>
                <w:highlight w:val="none"/>
                <w:u w:val="single"/>
              </w:rPr>
              <w:t>表5-2 污染治理措施及环保投资一览表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373"/>
              <w:gridCol w:w="3355"/>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430" w:type="pct"/>
                  <w:gridSpan w:val="2"/>
                  <w:tcBorders>
                    <w:top w:val="single" w:color="auto" w:sz="12" w:space="0"/>
                    <w:left w:val="nil"/>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项目</w:t>
                  </w:r>
                </w:p>
              </w:tc>
              <w:tc>
                <w:tcPr>
                  <w:tcW w:w="2397"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污染治理措施</w:t>
                  </w:r>
                </w:p>
              </w:tc>
              <w:tc>
                <w:tcPr>
                  <w:tcW w:w="1173" w:type="pct"/>
                  <w:tcBorders>
                    <w:top w:val="single" w:color="auto" w:sz="12" w:space="0"/>
                    <w:left w:val="single" w:color="auto" w:sz="4" w:space="0"/>
                    <w:bottom w:val="single" w:color="auto" w:sz="4" w:space="0"/>
                    <w:right w:val="nil"/>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50"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废气</w:t>
                  </w:r>
                </w:p>
              </w:tc>
              <w:tc>
                <w:tcPr>
                  <w:tcW w:w="98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锅炉烟气</w:t>
                  </w:r>
                </w:p>
              </w:tc>
              <w:tc>
                <w:tcPr>
                  <w:tcW w:w="23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snapToGrid w:val="0"/>
                      <w:kern w:val="0"/>
                      <w:szCs w:val="21"/>
                      <w:highlight w:val="none"/>
                      <w:u w:val="single"/>
                    </w:rPr>
                  </w:pPr>
                  <w:r>
                    <w:rPr>
                      <w:rFonts w:hint="eastAsia" w:ascii="宋体" w:hAnsi="宋体" w:cs="宋体"/>
                      <w:bCs/>
                      <w:snapToGrid w:val="0"/>
                      <w:kern w:val="0"/>
                      <w:szCs w:val="21"/>
                      <w:highlight w:val="none"/>
                      <w:u w:val="single"/>
                    </w:rPr>
                    <w:t>布袋除尘器+</w:t>
                  </w:r>
                  <w:r>
                    <w:rPr>
                      <w:rFonts w:hint="eastAsia" w:ascii="宋体" w:hAnsi="宋体" w:cs="宋体"/>
                      <w:bCs/>
                      <w:snapToGrid w:val="0"/>
                      <w:kern w:val="0"/>
                      <w:szCs w:val="21"/>
                      <w:highlight w:val="none"/>
                      <w:u w:val="single"/>
                      <w:lang w:val="en-US" w:eastAsia="zh-CN"/>
                    </w:rPr>
                    <w:t>35</w:t>
                  </w:r>
                  <w:r>
                    <w:rPr>
                      <w:rFonts w:hint="eastAsia" w:ascii="宋体" w:hAnsi="宋体" w:cs="宋体"/>
                      <w:bCs/>
                      <w:snapToGrid w:val="0"/>
                      <w:kern w:val="0"/>
                      <w:szCs w:val="21"/>
                      <w:highlight w:val="none"/>
                      <w:u w:val="single"/>
                    </w:rPr>
                    <w:t>m烟囱</w:t>
                  </w:r>
                </w:p>
              </w:tc>
              <w:tc>
                <w:tcPr>
                  <w:tcW w:w="1173" w:type="pct"/>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default" w:ascii="宋体" w:hAnsi="宋体" w:eastAsia="宋体" w:cs="宋体"/>
                      <w:bCs/>
                      <w:snapToGrid w:val="0"/>
                      <w:kern w:val="0"/>
                      <w:szCs w:val="21"/>
                      <w:highlight w:val="none"/>
                      <w:u w:val="single"/>
                      <w:lang w:val="en-US" w:eastAsia="zh-CN"/>
                    </w:rPr>
                  </w:pPr>
                  <w:r>
                    <w:rPr>
                      <w:rFonts w:hint="eastAsia" w:ascii="宋体" w:hAnsi="宋体" w:cs="宋体"/>
                      <w:bCs/>
                      <w:snapToGrid w:val="0"/>
                      <w:kern w:val="0"/>
                      <w:szCs w:val="21"/>
                      <w:highlight w:val="none"/>
                      <w:u w:val="singl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噪声</w:t>
                  </w:r>
                </w:p>
              </w:tc>
              <w:tc>
                <w:tcPr>
                  <w:tcW w:w="98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机械噪声</w:t>
                  </w:r>
                </w:p>
              </w:tc>
              <w:tc>
                <w:tcPr>
                  <w:tcW w:w="23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bCs/>
                      <w:snapToGrid w:val="0"/>
                      <w:kern w:val="0"/>
                      <w:szCs w:val="21"/>
                      <w:highlight w:val="none"/>
                      <w:u w:val="single"/>
                    </w:rPr>
                    <w:t>减振+风机消声</w:t>
                  </w:r>
                </w:p>
              </w:tc>
              <w:tc>
                <w:tcPr>
                  <w:tcW w:w="1173" w:type="pct"/>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default" w:ascii="宋体" w:hAnsi="宋体" w:eastAsia="宋体"/>
                      <w:snapToGrid w:val="0"/>
                      <w:kern w:val="0"/>
                      <w:szCs w:val="21"/>
                      <w:highlight w:val="none"/>
                      <w:u w:val="single"/>
                      <w:lang w:val="en-US" w:eastAsia="zh-CN"/>
                    </w:rPr>
                  </w:pPr>
                  <w:r>
                    <w:rPr>
                      <w:rFonts w:hint="eastAsia" w:ascii="宋体" w:hAnsi="宋体"/>
                      <w:snapToGrid w:val="0"/>
                      <w:kern w:val="0"/>
                      <w:szCs w:val="21"/>
                      <w:highlight w:val="none"/>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固废</w:t>
                  </w:r>
                </w:p>
              </w:tc>
              <w:tc>
                <w:tcPr>
                  <w:tcW w:w="98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灰渣及收集灰</w:t>
                  </w:r>
                </w:p>
              </w:tc>
              <w:tc>
                <w:tcPr>
                  <w:tcW w:w="23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bCs/>
                      <w:snapToGrid w:val="0"/>
                      <w:kern w:val="0"/>
                      <w:szCs w:val="21"/>
                      <w:highlight w:val="none"/>
                      <w:u w:val="single"/>
                    </w:rPr>
                  </w:pPr>
                  <w:r>
                    <w:rPr>
                      <w:rFonts w:hint="eastAsia" w:ascii="宋体" w:hAnsi="宋体"/>
                      <w:bCs/>
                      <w:snapToGrid w:val="0"/>
                      <w:kern w:val="0"/>
                      <w:szCs w:val="21"/>
                      <w:highlight w:val="none"/>
                      <w:u w:val="single"/>
                    </w:rPr>
                    <w:t>密封袋</w:t>
                  </w:r>
                </w:p>
              </w:tc>
              <w:tc>
                <w:tcPr>
                  <w:tcW w:w="1173" w:type="pct"/>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30" w:type="pct"/>
                  <w:gridSpan w:val="2"/>
                  <w:tcBorders>
                    <w:top w:val="single" w:color="auto" w:sz="4" w:space="0"/>
                    <w:left w:val="nil"/>
                    <w:bottom w:val="single" w:color="auto" w:sz="12"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合计</w:t>
                  </w:r>
                </w:p>
              </w:tc>
              <w:tc>
                <w:tcPr>
                  <w:tcW w:w="2397"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ascii="宋体" w:hAnsi="宋体"/>
                      <w:snapToGrid w:val="0"/>
                      <w:kern w:val="0"/>
                      <w:szCs w:val="21"/>
                      <w:highlight w:val="none"/>
                      <w:u w:val="single"/>
                    </w:rPr>
                  </w:pPr>
                  <w:r>
                    <w:rPr>
                      <w:rFonts w:hint="eastAsia" w:ascii="宋体" w:hAnsi="宋体"/>
                      <w:snapToGrid w:val="0"/>
                      <w:kern w:val="0"/>
                      <w:szCs w:val="21"/>
                      <w:highlight w:val="none"/>
                      <w:u w:val="single"/>
                    </w:rPr>
                    <w:t>--</w:t>
                  </w:r>
                </w:p>
              </w:tc>
              <w:tc>
                <w:tcPr>
                  <w:tcW w:w="1173" w:type="pct"/>
                  <w:tcBorders>
                    <w:top w:val="single" w:color="auto" w:sz="4" w:space="0"/>
                    <w:left w:val="single" w:color="auto" w:sz="4" w:space="0"/>
                    <w:bottom w:val="single" w:color="auto" w:sz="12" w:space="0"/>
                    <w:right w:val="nil"/>
                  </w:tcBorders>
                  <w:noWrap w:val="0"/>
                  <w:vAlign w:val="center"/>
                </w:tcPr>
                <w:p>
                  <w:pPr>
                    <w:adjustRightInd w:val="0"/>
                    <w:snapToGrid w:val="0"/>
                    <w:jc w:val="center"/>
                    <w:rPr>
                      <w:rFonts w:hint="default" w:ascii="宋体" w:hAnsi="宋体" w:eastAsia="宋体"/>
                      <w:snapToGrid w:val="0"/>
                      <w:kern w:val="0"/>
                      <w:szCs w:val="21"/>
                      <w:highlight w:val="none"/>
                      <w:u w:val="single"/>
                      <w:lang w:val="en-US" w:eastAsia="zh-CN"/>
                    </w:rPr>
                  </w:pPr>
                  <w:r>
                    <w:rPr>
                      <w:rFonts w:hint="eastAsia" w:ascii="宋体" w:hAnsi="宋体"/>
                      <w:snapToGrid w:val="0"/>
                      <w:kern w:val="0"/>
                      <w:szCs w:val="21"/>
                      <w:highlight w:val="none"/>
                      <w:u w:val="single"/>
                      <w:lang w:val="en-US" w:eastAsia="zh-CN"/>
                    </w:rPr>
                    <w:t>11.1</w:t>
                  </w:r>
                </w:p>
              </w:tc>
            </w:tr>
          </w:tbl>
          <w:p>
            <w:pPr>
              <w:adjustRightInd w:val="0"/>
              <w:snapToGrid w:val="0"/>
              <w:rPr>
                <w:rFonts w:hint="eastAsia" w:ascii="宋体" w:hAnsi="宋体" w:cs="宋体"/>
                <w:sz w:val="24"/>
                <w:highlight w:val="none"/>
                <w:u w:val="single"/>
              </w:rPr>
            </w:pPr>
          </w:p>
          <w:p>
            <w:pPr>
              <w:adjustRightInd w:val="0"/>
              <w:snapToGrid w:val="0"/>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u w:val="single"/>
              </w:rPr>
              <w:t>由上表可知，本项目各项环保治理措施投资总计约为</w:t>
            </w:r>
            <w:r>
              <w:rPr>
                <w:rFonts w:hint="eastAsia" w:ascii="宋体" w:hAnsi="宋体" w:cs="宋体"/>
                <w:sz w:val="24"/>
                <w:highlight w:val="none"/>
                <w:u w:val="single"/>
                <w:lang w:val="en-US" w:eastAsia="zh-CN"/>
              </w:rPr>
              <w:t>11.1</w:t>
            </w:r>
            <w:r>
              <w:rPr>
                <w:rFonts w:hint="eastAsia" w:ascii="宋体" w:hAnsi="宋体" w:cs="宋体"/>
                <w:sz w:val="24"/>
                <w:highlight w:val="none"/>
                <w:u w:val="single"/>
              </w:rPr>
              <w:t>万元，占总投资的</w:t>
            </w:r>
            <w:r>
              <w:rPr>
                <w:rFonts w:hint="eastAsia" w:ascii="宋体" w:hAnsi="宋体" w:cs="宋体"/>
                <w:sz w:val="24"/>
                <w:highlight w:val="none"/>
                <w:u w:val="single"/>
                <w:lang w:val="en-US" w:eastAsia="zh-CN"/>
              </w:rPr>
              <w:t>14</w:t>
            </w:r>
            <w:r>
              <w:rPr>
                <w:rFonts w:hint="eastAsia" w:ascii="宋体" w:hAnsi="宋体" w:cs="宋体"/>
                <w:sz w:val="24"/>
                <w:highlight w:val="none"/>
                <w:u w:val="single"/>
              </w:rPr>
              <w:t>%，上述环保投资及治理项目可使本项目各项污染物达标排放。</w:t>
            </w: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p>
            <w:pPr>
              <w:pStyle w:val="40"/>
              <w:spacing w:line="240" w:lineRule="auto"/>
              <w:rPr>
                <w:rFonts w:hint="eastAsia"/>
                <w:color w:val="auto"/>
                <w:highlight w:val="none"/>
              </w:rPr>
            </w:pPr>
          </w:p>
        </w:tc>
      </w:tr>
    </w:tbl>
    <w:p>
      <w:pPr>
        <w:pStyle w:val="20"/>
        <w:jc w:val="center"/>
        <w:outlineLvl w:val="0"/>
        <w:rPr>
          <w:rFonts w:ascii="Times New Roman" w:hAnsi="Times New Roman"/>
          <w:snapToGrid w:val="0"/>
          <w:sz w:val="30"/>
          <w:szCs w:val="30"/>
          <w:highlight w:val="none"/>
        </w:rPr>
      </w:pPr>
      <w:r>
        <w:rPr>
          <w:rFonts w:ascii="Times New Roman" w:hAnsi="Times New Roman"/>
          <w:snapToGrid w:val="0"/>
          <w:highlight w:val="yellow"/>
        </w:rPr>
        <w:br w:type="page"/>
      </w:r>
      <w:r>
        <w:rPr>
          <w:rFonts w:ascii="Times New Roman" w:hAnsi="Times New Roman"/>
          <w:snapToGrid w:val="0"/>
          <w:sz w:val="30"/>
          <w:szCs w:val="30"/>
          <w:highlight w:val="none"/>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eastAsia"/>
                <w:sz w:val="24"/>
                <w:highlight w:val="none"/>
              </w:rPr>
            </w:pPr>
            <w:r>
              <w:rPr>
                <w:rFonts w:hint="eastAsia"/>
                <w:sz w:val="24"/>
                <w:highlight w:val="none"/>
              </w:rPr>
              <w:t>本项目建设符合国家产业政策，项目选址可行，厂址周围环境质量良好，在满足环评提出各项要求和污染防治措施的基础上，项目运营期污染物可以做到“达标排放”，不会改变区域环境质量功能，对环境影响较小。</w:t>
            </w:r>
            <w:r>
              <w:rPr>
                <w:sz w:val="24"/>
                <w:highlight w:val="none"/>
              </w:rPr>
              <w:t>在全面加强监督管理，严格执行“三同时”前提下，从环保角度分析项目的建设可行</w:t>
            </w:r>
            <w:r>
              <w:rPr>
                <w:rFonts w:hint="eastAsia"/>
                <w:sz w:val="24"/>
                <w:highlight w:val="none"/>
              </w:rPr>
              <w:t>。</w:t>
            </w:r>
          </w:p>
          <w:p>
            <w:pPr>
              <w:spacing w:line="360" w:lineRule="auto"/>
              <w:ind w:firstLine="420" w:firstLineChars="200"/>
              <w:rPr>
                <w:rFonts w:hint="eastAsia"/>
                <w:szCs w:val="21"/>
                <w:highlight w:val="none"/>
              </w:rPr>
            </w:pPr>
          </w:p>
          <w:p>
            <w:pPr>
              <w:spacing w:line="360" w:lineRule="auto"/>
              <w:ind w:firstLine="420" w:firstLineChars="200"/>
              <w:rPr>
                <w:rFonts w:hint="eastAsia"/>
                <w:szCs w:val="21"/>
                <w:highlight w:val="none"/>
              </w:rPr>
            </w:pPr>
          </w:p>
          <w:p>
            <w:pPr>
              <w:spacing w:line="360" w:lineRule="auto"/>
              <w:rPr>
                <w:rFonts w:hint="eastAsia"/>
                <w:sz w:val="24"/>
                <w:highlight w:val="none"/>
              </w:rPr>
            </w:pPr>
            <w:r>
              <w:rPr>
                <w:rFonts w:hint="eastAsia"/>
                <w:szCs w:val="21"/>
                <w:highlight w:val="none"/>
              </w:rPr>
              <w:t xml:space="preserve"> </w:t>
            </w:r>
          </w:p>
        </w:tc>
      </w:tr>
    </w:tbl>
    <w:p>
      <w:pPr>
        <w:rPr>
          <w:highlight w:val="yellow"/>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360" w:lineRule="auto"/>
        <w:outlineLvl w:val="0"/>
        <w:rPr>
          <w:rFonts w:ascii="Times New Roman" w:hAnsi="Times New Roman"/>
          <w:snapToGrid w:val="0"/>
          <w:sz w:val="32"/>
          <w:szCs w:val="32"/>
          <w:highlight w:val="none"/>
        </w:rPr>
      </w:pPr>
      <w:r>
        <w:rPr>
          <w:rFonts w:ascii="Times New Roman" w:hAnsi="Times New Roman"/>
          <w:snapToGrid w:val="0"/>
          <w:sz w:val="32"/>
          <w:szCs w:val="32"/>
          <w:highlight w:val="none"/>
        </w:rPr>
        <w:t>附表</w:t>
      </w:r>
    </w:p>
    <w:p>
      <w:pPr>
        <w:pStyle w:val="20"/>
        <w:adjustRightInd w:val="0"/>
        <w:snapToGrid w:val="0"/>
        <w:spacing w:before="0" w:beforeAutospacing="0" w:after="0" w:afterAutospacing="0" w:line="360" w:lineRule="auto"/>
        <w:jc w:val="center"/>
        <w:outlineLvl w:val="0"/>
        <w:rPr>
          <w:rFonts w:ascii="Times New Roman" w:hAnsi="Times New Roman"/>
          <w:snapToGrid w:val="0"/>
          <w:sz w:val="38"/>
          <w:szCs w:val="38"/>
          <w:highlight w:val="none"/>
        </w:rPr>
      </w:pPr>
      <w:r>
        <w:rPr>
          <w:rFonts w:ascii="Times New Roman" w:hAnsi="Times New Roman"/>
          <w:snapToGrid w:val="0"/>
          <w:sz w:val="38"/>
          <w:szCs w:val="38"/>
          <w:highlight w:val="none"/>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704"/>
        <w:gridCol w:w="1590"/>
        <w:gridCol w:w="1276"/>
        <w:gridCol w:w="1701"/>
        <w:gridCol w:w="1559"/>
        <w:gridCol w:w="1761"/>
        <w:gridCol w:w="1587"/>
        <w:gridCol w:w="1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tcBorders>
              <w:tl2br w:val="single" w:color="auto" w:sz="4" w:space="0"/>
            </w:tcBorders>
            <w:noWrap w:val="0"/>
            <w:tcMar>
              <w:left w:w="28" w:type="dxa"/>
              <w:right w:w="28" w:type="dxa"/>
            </w:tcMar>
            <w:vAlign w:val="center"/>
          </w:tcPr>
          <w:p>
            <w:pPr>
              <w:pStyle w:val="44"/>
              <w:spacing w:beforeLines="0" w:afterLines="0" w:line="288" w:lineRule="auto"/>
              <w:jc w:val="right"/>
              <w:rPr>
                <w:rFonts w:hint="eastAsia" w:hAnsi="宋体" w:cs="宋体"/>
                <w:snapToGrid w:val="0"/>
                <w:spacing w:val="-6"/>
                <w:kern w:val="21"/>
                <w:szCs w:val="21"/>
                <w:highlight w:val="none"/>
              </w:rPr>
            </w:pPr>
            <w:r>
              <w:rPr>
                <w:rFonts w:hint="eastAsia" w:hAnsi="宋体" w:cs="宋体"/>
                <w:snapToGrid w:val="0"/>
                <w:spacing w:val="-6"/>
                <w:kern w:val="21"/>
                <w:szCs w:val="21"/>
                <w:highlight w:val="none"/>
              </w:rPr>
              <w:t>项目</w:t>
            </w:r>
          </w:p>
          <w:p>
            <w:pPr>
              <w:pStyle w:val="44"/>
              <w:spacing w:beforeLines="0" w:afterLines="0" w:line="288" w:lineRule="auto"/>
              <w:jc w:val="left"/>
              <w:rPr>
                <w:rFonts w:hint="eastAsia" w:hAnsi="宋体" w:cs="宋体"/>
                <w:snapToGrid w:val="0"/>
                <w:spacing w:val="-6"/>
                <w:kern w:val="21"/>
                <w:szCs w:val="21"/>
                <w:highlight w:val="none"/>
              </w:rPr>
            </w:pPr>
            <w:r>
              <w:rPr>
                <w:rFonts w:hint="eastAsia" w:hAnsi="宋体" w:cs="宋体"/>
                <w:snapToGrid w:val="0"/>
                <w:spacing w:val="-6"/>
                <w:kern w:val="21"/>
                <w:szCs w:val="21"/>
                <w:highlight w:val="none"/>
              </w:rPr>
              <w:t>分类</w:t>
            </w:r>
          </w:p>
        </w:tc>
        <w:tc>
          <w:tcPr>
            <w:tcW w:w="1704"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污染物名称</w:t>
            </w:r>
          </w:p>
        </w:tc>
        <w:tc>
          <w:tcPr>
            <w:tcW w:w="1590"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现有工程</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排放量（固体废物产生量）</w:t>
            </w:r>
            <w:r>
              <w:rPr>
                <w:rFonts w:hint="eastAsia" w:hAnsi="宋体" w:cs="宋体"/>
                <w:snapToGrid w:val="0"/>
                <w:spacing w:val="-6"/>
                <w:kern w:val="21"/>
                <w:szCs w:val="21"/>
                <w:highlight w:val="none"/>
              </w:rPr>
              <w:fldChar w:fldCharType="begin"/>
            </w:r>
            <w:r>
              <w:rPr>
                <w:rFonts w:hint="eastAsia" w:hAnsi="宋体" w:cs="宋体"/>
                <w:snapToGrid w:val="0"/>
                <w:spacing w:val="-6"/>
                <w:kern w:val="21"/>
                <w:szCs w:val="21"/>
                <w:highlight w:val="none"/>
              </w:rPr>
              <w:instrText xml:space="preserve"> = 1 \* GB3 \* MERGEFORMAT </w:instrText>
            </w:r>
            <w:r>
              <w:rPr>
                <w:rFonts w:hint="eastAsia" w:hAnsi="宋体" w:cs="宋体"/>
                <w:snapToGrid w:val="0"/>
                <w:spacing w:val="-6"/>
                <w:kern w:val="21"/>
                <w:szCs w:val="21"/>
                <w:highlight w:val="none"/>
              </w:rPr>
              <w:fldChar w:fldCharType="separate"/>
            </w:r>
            <w:r>
              <w:rPr>
                <w:rFonts w:hint="eastAsia" w:hAnsi="宋体" w:cs="宋体"/>
                <w:kern w:val="2"/>
                <w:szCs w:val="21"/>
                <w:highlight w:val="none"/>
              </w:rPr>
              <w:t>①</w:t>
            </w:r>
            <w:r>
              <w:rPr>
                <w:rFonts w:hint="eastAsia" w:hAnsi="宋体" w:cs="宋体"/>
                <w:snapToGrid w:val="0"/>
                <w:spacing w:val="-6"/>
                <w:kern w:val="21"/>
                <w:szCs w:val="21"/>
                <w:highlight w:val="none"/>
              </w:rPr>
              <w:fldChar w:fldCharType="end"/>
            </w:r>
          </w:p>
        </w:tc>
        <w:tc>
          <w:tcPr>
            <w:tcW w:w="1276"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现有工程</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许可排放量</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fldChar w:fldCharType="begin"/>
            </w:r>
            <w:r>
              <w:rPr>
                <w:rFonts w:hint="eastAsia" w:hAnsi="宋体" w:cs="宋体"/>
                <w:snapToGrid w:val="0"/>
                <w:spacing w:val="-6"/>
                <w:kern w:val="21"/>
                <w:szCs w:val="21"/>
                <w:highlight w:val="none"/>
              </w:rPr>
              <w:instrText xml:space="preserve"> = 2 \* GB3 \* MERGEFORMAT </w:instrText>
            </w:r>
            <w:r>
              <w:rPr>
                <w:rFonts w:hint="eastAsia" w:hAnsi="宋体" w:cs="宋体"/>
                <w:snapToGrid w:val="0"/>
                <w:spacing w:val="-6"/>
                <w:kern w:val="21"/>
                <w:szCs w:val="21"/>
                <w:highlight w:val="none"/>
              </w:rPr>
              <w:fldChar w:fldCharType="separate"/>
            </w:r>
            <w:r>
              <w:rPr>
                <w:rFonts w:hint="eastAsia" w:hAnsi="宋体" w:cs="宋体"/>
                <w:snapToGrid w:val="0"/>
                <w:spacing w:val="-6"/>
                <w:kern w:val="21"/>
                <w:szCs w:val="21"/>
                <w:highlight w:val="none"/>
              </w:rPr>
              <w:t>②</w:t>
            </w:r>
            <w:r>
              <w:rPr>
                <w:rFonts w:hint="eastAsia" w:hAnsi="宋体" w:cs="宋体"/>
                <w:snapToGrid w:val="0"/>
                <w:spacing w:val="-6"/>
                <w:kern w:val="21"/>
                <w:szCs w:val="21"/>
                <w:highlight w:val="none"/>
              </w:rPr>
              <w:fldChar w:fldCharType="end"/>
            </w:r>
          </w:p>
        </w:tc>
        <w:tc>
          <w:tcPr>
            <w:tcW w:w="1701"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在建工程</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排放量（固体废物产生量）</w:t>
            </w:r>
            <w:r>
              <w:rPr>
                <w:rFonts w:hint="eastAsia" w:hAnsi="宋体" w:cs="宋体"/>
                <w:snapToGrid w:val="0"/>
                <w:spacing w:val="-6"/>
                <w:kern w:val="21"/>
                <w:szCs w:val="21"/>
                <w:highlight w:val="none"/>
              </w:rPr>
              <w:fldChar w:fldCharType="begin"/>
            </w:r>
            <w:r>
              <w:rPr>
                <w:rFonts w:hint="eastAsia" w:hAnsi="宋体" w:cs="宋体"/>
                <w:snapToGrid w:val="0"/>
                <w:spacing w:val="-6"/>
                <w:kern w:val="21"/>
                <w:szCs w:val="21"/>
                <w:highlight w:val="none"/>
              </w:rPr>
              <w:instrText xml:space="preserve"> = 3 \* GB3 \* MERGEFORMAT </w:instrText>
            </w:r>
            <w:r>
              <w:rPr>
                <w:rFonts w:hint="eastAsia" w:hAnsi="宋体" w:cs="宋体"/>
                <w:snapToGrid w:val="0"/>
                <w:spacing w:val="-6"/>
                <w:kern w:val="21"/>
                <w:szCs w:val="21"/>
                <w:highlight w:val="none"/>
              </w:rPr>
              <w:fldChar w:fldCharType="separate"/>
            </w:r>
            <w:r>
              <w:rPr>
                <w:rFonts w:hint="eastAsia" w:hAnsi="宋体" w:cs="宋体"/>
                <w:kern w:val="2"/>
                <w:szCs w:val="21"/>
                <w:highlight w:val="none"/>
              </w:rPr>
              <w:t>③</w:t>
            </w:r>
            <w:r>
              <w:rPr>
                <w:rFonts w:hint="eastAsia" w:hAnsi="宋体" w:cs="宋体"/>
                <w:snapToGrid w:val="0"/>
                <w:spacing w:val="-6"/>
                <w:kern w:val="21"/>
                <w:szCs w:val="21"/>
                <w:highlight w:val="none"/>
              </w:rPr>
              <w:fldChar w:fldCharType="end"/>
            </w:r>
          </w:p>
        </w:tc>
        <w:tc>
          <w:tcPr>
            <w:tcW w:w="1559"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本项目</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排放量（固体废物产生量）</w:t>
            </w:r>
            <w:r>
              <w:rPr>
                <w:rFonts w:hint="eastAsia" w:hAnsi="宋体" w:cs="宋体"/>
                <w:snapToGrid w:val="0"/>
                <w:spacing w:val="-6"/>
                <w:kern w:val="21"/>
                <w:szCs w:val="21"/>
                <w:highlight w:val="none"/>
              </w:rPr>
              <w:fldChar w:fldCharType="begin"/>
            </w:r>
            <w:r>
              <w:rPr>
                <w:rFonts w:hint="eastAsia" w:hAnsi="宋体" w:cs="宋体"/>
                <w:snapToGrid w:val="0"/>
                <w:spacing w:val="-6"/>
                <w:kern w:val="21"/>
                <w:szCs w:val="21"/>
                <w:highlight w:val="none"/>
              </w:rPr>
              <w:instrText xml:space="preserve"> = 4 \* GB3 \* MERGEFORMAT </w:instrText>
            </w:r>
            <w:r>
              <w:rPr>
                <w:rFonts w:hint="eastAsia" w:hAnsi="宋体" w:cs="宋体"/>
                <w:snapToGrid w:val="0"/>
                <w:spacing w:val="-6"/>
                <w:kern w:val="21"/>
                <w:szCs w:val="21"/>
                <w:highlight w:val="none"/>
              </w:rPr>
              <w:fldChar w:fldCharType="separate"/>
            </w:r>
            <w:r>
              <w:rPr>
                <w:rFonts w:hint="eastAsia" w:hAnsi="宋体" w:cs="宋体"/>
                <w:kern w:val="2"/>
                <w:szCs w:val="21"/>
                <w:highlight w:val="none"/>
              </w:rPr>
              <w:t>④</w:t>
            </w:r>
            <w:r>
              <w:rPr>
                <w:rFonts w:hint="eastAsia" w:hAnsi="宋体" w:cs="宋体"/>
                <w:snapToGrid w:val="0"/>
                <w:spacing w:val="-6"/>
                <w:kern w:val="21"/>
                <w:szCs w:val="21"/>
                <w:highlight w:val="none"/>
              </w:rPr>
              <w:fldChar w:fldCharType="end"/>
            </w:r>
          </w:p>
        </w:tc>
        <w:tc>
          <w:tcPr>
            <w:tcW w:w="1761" w:type="dxa"/>
            <w:noWrap w:val="0"/>
            <w:tcMar>
              <w:left w:w="28" w:type="dxa"/>
              <w:right w:w="28" w:type="dxa"/>
            </w:tcMar>
            <w:vAlign w:val="center"/>
          </w:tcPr>
          <w:p>
            <w:pPr>
              <w:pStyle w:val="44"/>
              <w:spacing w:beforeLines="0" w:afterLines="0" w:line="288" w:lineRule="auto"/>
              <w:rPr>
                <w:rFonts w:hint="eastAsia" w:hAnsi="宋体" w:cs="宋体"/>
                <w:snapToGrid w:val="0"/>
                <w:spacing w:val="-16"/>
                <w:kern w:val="21"/>
                <w:szCs w:val="21"/>
                <w:highlight w:val="none"/>
              </w:rPr>
            </w:pPr>
            <w:r>
              <w:rPr>
                <w:rFonts w:hint="eastAsia" w:hAnsi="宋体" w:cs="宋体"/>
                <w:snapToGrid w:val="0"/>
                <w:spacing w:val="-16"/>
                <w:kern w:val="21"/>
                <w:szCs w:val="21"/>
                <w:highlight w:val="none"/>
              </w:rPr>
              <w:t>以新带老削减量</w:t>
            </w:r>
          </w:p>
          <w:p>
            <w:pPr>
              <w:pStyle w:val="44"/>
              <w:spacing w:beforeLines="0" w:afterLines="0" w:line="288" w:lineRule="auto"/>
              <w:rPr>
                <w:rFonts w:hint="eastAsia" w:hAnsi="宋体" w:cs="宋体"/>
                <w:snapToGrid w:val="0"/>
                <w:spacing w:val="-16"/>
                <w:kern w:val="21"/>
                <w:szCs w:val="21"/>
                <w:highlight w:val="none"/>
              </w:rPr>
            </w:pPr>
            <w:r>
              <w:rPr>
                <w:rFonts w:hint="eastAsia" w:hAnsi="宋体" w:cs="宋体"/>
                <w:snapToGrid w:val="0"/>
                <w:spacing w:val="-16"/>
                <w:kern w:val="21"/>
                <w:szCs w:val="21"/>
                <w:highlight w:val="none"/>
              </w:rPr>
              <w:t>（新建项目不填）</w:t>
            </w:r>
            <w:r>
              <w:rPr>
                <w:rFonts w:hint="eastAsia" w:hAnsi="宋体" w:cs="宋体"/>
                <w:snapToGrid w:val="0"/>
                <w:spacing w:val="-16"/>
                <w:kern w:val="21"/>
                <w:szCs w:val="21"/>
                <w:highlight w:val="none"/>
              </w:rPr>
              <w:fldChar w:fldCharType="begin"/>
            </w:r>
            <w:r>
              <w:rPr>
                <w:rFonts w:hint="eastAsia" w:hAnsi="宋体" w:cs="宋体"/>
                <w:snapToGrid w:val="0"/>
                <w:spacing w:val="-16"/>
                <w:kern w:val="21"/>
                <w:szCs w:val="21"/>
                <w:highlight w:val="none"/>
              </w:rPr>
              <w:instrText xml:space="preserve"> = 5 \* GB3 \* MERGEFORMAT </w:instrText>
            </w:r>
            <w:r>
              <w:rPr>
                <w:rFonts w:hint="eastAsia" w:hAnsi="宋体" w:cs="宋体"/>
                <w:snapToGrid w:val="0"/>
                <w:spacing w:val="-16"/>
                <w:kern w:val="21"/>
                <w:szCs w:val="21"/>
                <w:highlight w:val="none"/>
              </w:rPr>
              <w:fldChar w:fldCharType="separate"/>
            </w:r>
            <w:r>
              <w:rPr>
                <w:rFonts w:hint="eastAsia" w:hAnsi="宋体" w:cs="宋体"/>
                <w:kern w:val="2"/>
                <w:szCs w:val="21"/>
                <w:highlight w:val="none"/>
              </w:rPr>
              <w:t>⑤</w:t>
            </w:r>
            <w:r>
              <w:rPr>
                <w:rFonts w:hint="eastAsia" w:hAnsi="宋体" w:cs="宋体"/>
                <w:snapToGrid w:val="0"/>
                <w:spacing w:val="-16"/>
                <w:kern w:val="21"/>
                <w:szCs w:val="21"/>
                <w:highlight w:val="none"/>
              </w:rPr>
              <w:fldChar w:fldCharType="end"/>
            </w:r>
          </w:p>
        </w:tc>
        <w:tc>
          <w:tcPr>
            <w:tcW w:w="1587" w:type="dxa"/>
            <w:noWrap w:val="0"/>
            <w:tcMar>
              <w:left w:w="28" w:type="dxa"/>
              <w:right w:w="28" w:type="dxa"/>
            </w:tcMar>
            <w:vAlign w:val="center"/>
          </w:tcPr>
          <w:p>
            <w:pPr>
              <w:pStyle w:val="44"/>
              <w:spacing w:beforeLines="0" w:afterLines="0" w:line="288" w:lineRule="auto"/>
              <w:rPr>
                <w:rFonts w:hint="eastAsia" w:hAnsi="宋体" w:cs="宋体"/>
                <w:snapToGrid w:val="0"/>
                <w:spacing w:val="-16"/>
                <w:kern w:val="21"/>
                <w:szCs w:val="21"/>
                <w:highlight w:val="none"/>
              </w:rPr>
            </w:pPr>
            <w:r>
              <w:rPr>
                <w:rFonts w:hint="eastAsia" w:hAnsi="宋体" w:cs="宋体"/>
                <w:snapToGrid w:val="0"/>
                <w:spacing w:val="-16"/>
                <w:kern w:val="21"/>
                <w:szCs w:val="21"/>
                <w:highlight w:val="none"/>
              </w:rPr>
              <w:t>本项目建成后</w:t>
            </w:r>
          </w:p>
          <w:p>
            <w:pPr>
              <w:pStyle w:val="44"/>
              <w:spacing w:beforeLines="0" w:afterLines="0" w:line="288" w:lineRule="auto"/>
              <w:rPr>
                <w:rFonts w:hint="eastAsia" w:hAnsi="宋体" w:cs="宋体"/>
                <w:snapToGrid w:val="0"/>
                <w:spacing w:val="-16"/>
                <w:kern w:val="21"/>
                <w:szCs w:val="21"/>
                <w:highlight w:val="none"/>
              </w:rPr>
            </w:pPr>
            <w:r>
              <w:rPr>
                <w:rFonts w:hint="eastAsia" w:hAnsi="宋体" w:cs="宋体"/>
                <w:snapToGrid w:val="0"/>
                <w:spacing w:val="-16"/>
                <w:kern w:val="21"/>
                <w:szCs w:val="21"/>
                <w:highlight w:val="none"/>
              </w:rPr>
              <w:t>全厂排放量（固体废物产生量）</w:t>
            </w:r>
            <w:r>
              <w:rPr>
                <w:rFonts w:hint="eastAsia" w:hAnsi="宋体" w:cs="宋体"/>
                <w:snapToGrid w:val="0"/>
                <w:spacing w:val="-16"/>
                <w:kern w:val="21"/>
                <w:szCs w:val="21"/>
                <w:highlight w:val="none"/>
              </w:rPr>
              <w:fldChar w:fldCharType="begin"/>
            </w:r>
            <w:r>
              <w:rPr>
                <w:rFonts w:hint="eastAsia" w:hAnsi="宋体" w:cs="宋体"/>
                <w:snapToGrid w:val="0"/>
                <w:spacing w:val="-16"/>
                <w:kern w:val="21"/>
                <w:szCs w:val="21"/>
                <w:highlight w:val="none"/>
              </w:rPr>
              <w:instrText xml:space="preserve"> = 6 \* GB3 \* MERGEFORMAT </w:instrText>
            </w:r>
            <w:r>
              <w:rPr>
                <w:rFonts w:hint="eastAsia" w:hAnsi="宋体" w:cs="宋体"/>
                <w:snapToGrid w:val="0"/>
                <w:spacing w:val="-16"/>
                <w:kern w:val="21"/>
                <w:szCs w:val="21"/>
                <w:highlight w:val="none"/>
              </w:rPr>
              <w:fldChar w:fldCharType="separate"/>
            </w:r>
            <w:r>
              <w:rPr>
                <w:rFonts w:hint="eastAsia" w:hAnsi="宋体" w:cs="宋体"/>
                <w:kern w:val="2"/>
                <w:szCs w:val="21"/>
                <w:highlight w:val="none"/>
              </w:rPr>
              <w:t>⑥</w:t>
            </w:r>
            <w:r>
              <w:rPr>
                <w:rFonts w:hint="eastAsia" w:hAnsi="宋体" w:cs="宋体"/>
                <w:snapToGrid w:val="0"/>
                <w:spacing w:val="-16"/>
                <w:kern w:val="21"/>
                <w:szCs w:val="21"/>
                <w:highlight w:val="none"/>
              </w:rPr>
              <w:fldChar w:fldCharType="end"/>
            </w:r>
          </w:p>
        </w:tc>
        <w:tc>
          <w:tcPr>
            <w:tcW w:w="1198" w:type="dxa"/>
            <w:noWrap w:val="0"/>
            <w:tcMar>
              <w:left w:w="28" w:type="dxa"/>
              <w:right w:w="28" w:type="dxa"/>
            </w:tcMar>
            <w:vAlign w:val="center"/>
          </w:tcPr>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t>变化量</w:t>
            </w:r>
          </w:p>
          <w:p>
            <w:pPr>
              <w:pStyle w:val="44"/>
              <w:spacing w:beforeLines="0" w:afterLines="0" w:line="288" w:lineRule="auto"/>
              <w:rPr>
                <w:rFonts w:hint="eastAsia" w:hAnsi="宋体" w:cs="宋体"/>
                <w:snapToGrid w:val="0"/>
                <w:spacing w:val="-6"/>
                <w:kern w:val="21"/>
                <w:szCs w:val="21"/>
                <w:highlight w:val="none"/>
              </w:rPr>
            </w:pPr>
            <w:r>
              <w:rPr>
                <w:rFonts w:hint="eastAsia" w:hAnsi="宋体" w:cs="宋体"/>
                <w:snapToGrid w:val="0"/>
                <w:spacing w:val="-6"/>
                <w:kern w:val="21"/>
                <w:szCs w:val="21"/>
                <w:highlight w:val="none"/>
              </w:rPr>
              <w:fldChar w:fldCharType="begin"/>
            </w:r>
            <w:r>
              <w:rPr>
                <w:rFonts w:hint="eastAsia" w:hAnsi="宋体" w:cs="宋体"/>
                <w:snapToGrid w:val="0"/>
                <w:spacing w:val="-6"/>
                <w:kern w:val="21"/>
                <w:szCs w:val="21"/>
                <w:highlight w:val="none"/>
              </w:rPr>
              <w:instrText xml:space="preserve"> = 7 \* GB3 \* MERGEFORMAT </w:instrText>
            </w:r>
            <w:r>
              <w:rPr>
                <w:rFonts w:hint="eastAsia" w:hAnsi="宋体" w:cs="宋体"/>
                <w:snapToGrid w:val="0"/>
                <w:spacing w:val="-6"/>
                <w:kern w:val="21"/>
                <w:szCs w:val="21"/>
                <w:highlight w:val="none"/>
              </w:rPr>
              <w:fldChar w:fldCharType="separate"/>
            </w:r>
            <w:r>
              <w:rPr>
                <w:rFonts w:hint="eastAsia" w:hAnsi="宋体" w:cs="宋体"/>
                <w:kern w:val="2"/>
                <w:szCs w:val="21"/>
                <w:highlight w:val="none"/>
              </w:rPr>
              <w:t>⑦</w:t>
            </w:r>
            <w:r>
              <w:rPr>
                <w:rFonts w:hint="eastAsia" w:hAnsi="宋体" w:cs="宋体"/>
                <w:snapToGrid w:val="0"/>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restart"/>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废气</w:t>
            </w:r>
          </w:p>
        </w:tc>
        <w:tc>
          <w:tcPr>
            <w:tcW w:w="1704"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颗粒物</w:t>
            </w:r>
          </w:p>
        </w:tc>
        <w:tc>
          <w:tcPr>
            <w:tcW w:w="1590" w:type="dxa"/>
            <w:noWrap w:val="0"/>
            <w:vAlign w:val="center"/>
          </w:tcPr>
          <w:p>
            <w:pPr>
              <w:spacing w:beforeLines="0" w:afterLines="0" w:line="240" w:lineRule="auto"/>
              <w:jc w:val="center"/>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70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59"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0.06</w:t>
            </w:r>
          </w:p>
        </w:tc>
        <w:tc>
          <w:tcPr>
            <w:tcW w:w="176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87"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0.06</w:t>
            </w:r>
          </w:p>
        </w:tc>
        <w:tc>
          <w:tcPr>
            <w:tcW w:w="1198"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continue"/>
            <w:noWrap w:val="0"/>
            <w:vAlign w:val="center"/>
          </w:tcPr>
          <w:p>
            <w:pPr>
              <w:pStyle w:val="44"/>
              <w:spacing w:beforeLines="0" w:afterLines="0" w:line="240" w:lineRule="auto"/>
              <w:rPr>
                <w:rFonts w:hint="eastAsia" w:hAnsi="宋体" w:cs="宋体"/>
                <w:snapToGrid w:val="0"/>
                <w:kern w:val="21"/>
                <w:szCs w:val="21"/>
                <w:highlight w:val="none"/>
              </w:rPr>
            </w:pPr>
          </w:p>
        </w:tc>
        <w:tc>
          <w:tcPr>
            <w:tcW w:w="1704"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SO</w:t>
            </w:r>
            <w:r>
              <w:rPr>
                <w:rFonts w:hint="eastAsia" w:hAnsi="宋体" w:cs="宋体"/>
                <w:snapToGrid w:val="0"/>
                <w:kern w:val="21"/>
                <w:szCs w:val="21"/>
                <w:highlight w:val="none"/>
                <w:vertAlign w:val="subscript"/>
              </w:rPr>
              <w:t>2</w:t>
            </w:r>
          </w:p>
        </w:tc>
        <w:tc>
          <w:tcPr>
            <w:tcW w:w="1590" w:type="dxa"/>
            <w:noWrap w:val="0"/>
            <w:vAlign w:val="center"/>
          </w:tcPr>
          <w:p>
            <w:pPr>
              <w:spacing w:beforeLines="0" w:afterLines="0" w:line="240" w:lineRule="auto"/>
              <w:jc w:val="center"/>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70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59"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0.25</w:t>
            </w:r>
          </w:p>
        </w:tc>
        <w:tc>
          <w:tcPr>
            <w:tcW w:w="176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87"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0.25</w:t>
            </w:r>
          </w:p>
        </w:tc>
        <w:tc>
          <w:tcPr>
            <w:tcW w:w="1198"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continue"/>
            <w:noWrap w:val="0"/>
            <w:vAlign w:val="center"/>
          </w:tcPr>
          <w:p>
            <w:pPr>
              <w:pStyle w:val="44"/>
              <w:spacing w:beforeLines="0" w:afterLines="0" w:line="240" w:lineRule="auto"/>
              <w:rPr>
                <w:rFonts w:hint="eastAsia" w:hAnsi="宋体" w:cs="宋体"/>
                <w:snapToGrid w:val="0"/>
                <w:kern w:val="21"/>
                <w:szCs w:val="21"/>
                <w:highlight w:val="none"/>
              </w:rPr>
            </w:pPr>
          </w:p>
        </w:tc>
        <w:tc>
          <w:tcPr>
            <w:tcW w:w="1704"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NO</w:t>
            </w:r>
            <w:r>
              <w:rPr>
                <w:rFonts w:hint="eastAsia" w:hAnsi="宋体" w:cs="宋体"/>
                <w:snapToGrid w:val="0"/>
                <w:kern w:val="21"/>
                <w:szCs w:val="21"/>
                <w:highlight w:val="none"/>
                <w:vertAlign w:val="subscript"/>
              </w:rPr>
              <w:t>x</w:t>
            </w:r>
          </w:p>
        </w:tc>
        <w:tc>
          <w:tcPr>
            <w:tcW w:w="1590" w:type="dxa"/>
            <w:noWrap w:val="0"/>
            <w:vAlign w:val="center"/>
          </w:tcPr>
          <w:p>
            <w:pPr>
              <w:spacing w:beforeLines="0" w:afterLines="0" w:line="240" w:lineRule="auto"/>
              <w:jc w:val="center"/>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70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59"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0.87</w:t>
            </w:r>
          </w:p>
        </w:tc>
        <w:tc>
          <w:tcPr>
            <w:tcW w:w="176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87"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0.87</w:t>
            </w:r>
          </w:p>
        </w:tc>
        <w:tc>
          <w:tcPr>
            <w:tcW w:w="1198" w:type="dxa"/>
            <w:noWrap w:val="0"/>
            <w:vAlign w:val="center"/>
          </w:tcPr>
          <w:p>
            <w:pPr>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废水</w:t>
            </w:r>
          </w:p>
        </w:tc>
        <w:tc>
          <w:tcPr>
            <w:tcW w:w="1704" w:type="dxa"/>
            <w:noWrap w:val="0"/>
            <w:vAlign w:val="center"/>
          </w:tcPr>
          <w:p>
            <w:pPr>
              <w:pStyle w:val="44"/>
              <w:spacing w:beforeLines="0" w:afterLines="0" w:line="240" w:lineRule="auto"/>
              <w:rPr>
                <w:rFonts w:hint="default" w:hAnsi="宋体" w:eastAsia="宋体" w:cs="宋体"/>
                <w:snapToGrid w:val="0"/>
                <w:kern w:val="21"/>
                <w:szCs w:val="21"/>
                <w:highlight w:val="none"/>
                <w:lang w:val="en-US" w:eastAsia="zh-CN"/>
              </w:rPr>
            </w:pPr>
            <w:r>
              <w:rPr>
                <w:rFonts w:hint="eastAsia" w:hAnsi="宋体" w:cs="宋体"/>
                <w:snapToGrid w:val="0"/>
                <w:kern w:val="21"/>
                <w:szCs w:val="21"/>
                <w:highlight w:val="none"/>
                <w:lang w:val="en-US" w:eastAsia="zh-CN"/>
              </w:rPr>
              <w:t>锅炉排放、软化水废水</w:t>
            </w:r>
          </w:p>
        </w:tc>
        <w:tc>
          <w:tcPr>
            <w:tcW w:w="1590"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70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59"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54</w:t>
            </w:r>
          </w:p>
        </w:tc>
        <w:tc>
          <w:tcPr>
            <w:tcW w:w="1761"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w:t>
            </w:r>
          </w:p>
        </w:tc>
        <w:tc>
          <w:tcPr>
            <w:tcW w:w="1587"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54</w:t>
            </w:r>
          </w:p>
        </w:tc>
        <w:tc>
          <w:tcPr>
            <w:tcW w:w="1198" w:type="dxa"/>
            <w:noWrap w:val="0"/>
            <w:vAlign w:val="center"/>
          </w:tcPr>
          <w:p>
            <w:pPr>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restart"/>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一般工业</w:t>
            </w:r>
          </w:p>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rPr>
              <w:t>固体废物</w:t>
            </w:r>
          </w:p>
        </w:tc>
        <w:tc>
          <w:tcPr>
            <w:tcW w:w="1704"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z w:val="24"/>
                <w:highlight w:val="none"/>
              </w:rPr>
              <w:t>灰渣</w:t>
            </w:r>
          </w:p>
        </w:tc>
        <w:tc>
          <w:tcPr>
            <w:tcW w:w="1590" w:type="dxa"/>
            <w:noWrap w:val="0"/>
            <w:vAlign w:val="center"/>
          </w:tcPr>
          <w:p>
            <w:pPr>
              <w:spacing w:beforeLines="0" w:afterLines="0" w:line="240" w:lineRule="auto"/>
              <w:jc w:val="center"/>
              <w:rPr>
                <w:rFonts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70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59" w:type="dxa"/>
            <w:noWrap w:val="0"/>
            <w:vAlign w:val="center"/>
          </w:tcPr>
          <w:p>
            <w:pPr>
              <w:pStyle w:val="72"/>
              <w:ind w:firstLine="0" w:firstLineChars="0"/>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109</w:t>
            </w:r>
          </w:p>
        </w:tc>
        <w:tc>
          <w:tcPr>
            <w:tcW w:w="176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87" w:type="dxa"/>
            <w:noWrap w:val="0"/>
            <w:vAlign w:val="center"/>
          </w:tcPr>
          <w:p>
            <w:pPr>
              <w:pStyle w:val="72"/>
              <w:ind w:firstLine="0" w:firstLineChars="0"/>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109</w:t>
            </w:r>
          </w:p>
        </w:tc>
        <w:tc>
          <w:tcPr>
            <w:tcW w:w="1198" w:type="dxa"/>
            <w:noWrap w:val="0"/>
            <w:vAlign w:val="center"/>
          </w:tcPr>
          <w:p>
            <w:pPr>
              <w:pStyle w:val="72"/>
              <w:ind w:firstLine="0" w:firstLineChars="0"/>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+109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continue"/>
            <w:noWrap w:val="0"/>
            <w:vAlign w:val="center"/>
          </w:tcPr>
          <w:p>
            <w:pPr>
              <w:pStyle w:val="44"/>
              <w:spacing w:beforeLines="0" w:afterLines="0" w:line="240" w:lineRule="auto"/>
              <w:rPr>
                <w:rFonts w:hint="eastAsia" w:hAnsi="宋体" w:cs="宋体"/>
                <w:snapToGrid w:val="0"/>
                <w:kern w:val="21"/>
                <w:szCs w:val="21"/>
                <w:highlight w:val="none"/>
              </w:rPr>
            </w:pPr>
          </w:p>
        </w:tc>
        <w:tc>
          <w:tcPr>
            <w:tcW w:w="1704" w:type="dxa"/>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 w:val="24"/>
                <w:highlight w:val="none"/>
              </w:rPr>
              <w:t>除尘灰</w:t>
            </w:r>
          </w:p>
        </w:tc>
        <w:tc>
          <w:tcPr>
            <w:tcW w:w="1590" w:type="dxa"/>
            <w:noWrap w:val="0"/>
            <w:vAlign w:val="center"/>
          </w:tcPr>
          <w:p>
            <w:pPr>
              <w:spacing w:beforeLines="0" w:afterLines="0" w:line="240" w:lineRule="auto"/>
              <w:jc w:val="center"/>
              <w:rPr>
                <w:rFonts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70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59" w:type="dxa"/>
            <w:noWrap w:val="0"/>
            <w:vAlign w:val="center"/>
          </w:tcPr>
          <w:p>
            <w:pPr>
              <w:pStyle w:val="72"/>
              <w:ind w:firstLine="0" w:firstLineChars="0"/>
              <w:jc w:val="center"/>
              <w:rPr>
                <w:rFonts w:hint="default" w:ascii="宋体" w:hAnsi="宋体" w:eastAsia="宋体" w:cs="宋体"/>
                <w:snapToGrid w:val="0"/>
                <w:kern w:val="21"/>
                <w:szCs w:val="21"/>
                <w:highlight w:val="none"/>
                <w:lang w:val="en-US" w:eastAsia="zh-CN"/>
              </w:rPr>
            </w:pPr>
            <w:r>
              <w:rPr>
                <w:rFonts w:hint="eastAsia" w:ascii="宋体" w:hAnsi="宋体" w:cs="宋体"/>
                <w:snapToGrid w:val="0"/>
                <w:kern w:val="21"/>
                <w:szCs w:val="21"/>
                <w:highlight w:val="none"/>
                <w:lang w:val="en-US" w:eastAsia="zh-CN"/>
              </w:rPr>
              <w:t>59.23</w:t>
            </w:r>
          </w:p>
        </w:tc>
        <w:tc>
          <w:tcPr>
            <w:tcW w:w="176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87" w:type="dxa"/>
            <w:noWrap w:val="0"/>
            <w:vAlign w:val="center"/>
          </w:tcPr>
          <w:p>
            <w:pPr>
              <w:pStyle w:val="72"/>
              <w:ind w:firstLine="0" w:firstLineChars="0"/>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59.23</w:t>
            </w:r>
          </w:p>
        </w:tc>
        <w:tc>
          <w:tcPr>
            <w:tcW w:w="1198" w:type="dxa"/>
            <w:noWrap w:val="0"/>
            <w:vAlign w:val="center"/>
          </w:tcPr>
          <w:p>
            <w:pPr>
              <w:pStyle w:val="72"/>
              <w:ind w:firstLine="0" w:firstLineChars="0"/>
              <w:jc w:val="center"/>
              <w:rPr>
                <w:rFonts w:hint="eastAsia" w:ascii="宋体" w:hAnsi="宋体" w:cs="宋体"/>
                <w:snapToGrid w:val="0"/>
                <w:kern w:val="21"/>
                <w:szCs w:val="21"/>
                <w:highlight w:val="none"/>
              </w:rPr>
            </w:pPr>
            <w:r>
              <w:rPr>
                <w:rFonts w:hint="eastAsia" w:ascii="宋体" w:hAnsi="宋体" w:cs="宋体"/>
                <w:snapToGrid w:val="0"/>
                <w:kern w:val="21"/>
                <w:szCs w:val="21"/>
                <w:highlight w:val="none"/>
                <w:lang w:val="en-US" w:eastAsia="zh-CN"/>
              </w:rPr>
              <w:t>+59.23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2" w:type="dxa"/>
            <w:vMerge w:val="continue"/>
            <w:noWrap w:val="0"/>
            <w:vAlign w:val="center"/>
          </w:tcPr>
          <w:p>
            <w:pPr>
              <w:pStyle w:val="44"/>
              <w:spacing w:beforeLines="0" w:afterLines="0" w:line="240" w:lineRule="auto"/>
              <w:rPr>
                <w:rFonts w:hint="eastAsia" w:hAnsi="宋体" w:cs="宋体"/>
                <w:snapToGrid w:val="0"/>
                <w:kern w:val="21"/>
                <w:szCs w:val="21"/>
                <w:highlight w:val="none"/>
              </w:rPr>
            </w:pPr>
          </w:p>
        </w:tc>
        <w:tc>
          <w:tcPr>
            <w:tcW w:w="1704" w:type="dxa"/>
            <w:noWrap w:val="0"/>
            <w:vAlign w:val="center"/>
          </w:tcPr>
          <w:p>
            <w:pPr>
              <w:pStyle w:val="72"/>
              <w:ind w:firstLine="0" w:firstLineChars="0"/>
              <w:jc w:val="center"/>
              <w:rPr>
                <w:rFonts w:hint="eastAsia" w:ascii="宋体" w:hAnsi="宋体" w:cs="宋体"/>
                <w:szCs w:val="21"/>
                <w:highlight w:val="none"/>
              </w:rPr>
            </w:pPr>
            <w:r>
              <w:rPr>
                <w:rFonts w:hint="eastAsia" w:ascii="宋体" w:hAnsi="宋体" w:cs="宋体"/>
                <w:sz w:val="24"/>
                <w:highlight w:val="none"/>
              </w:rPr>
              <w:t>废弃布袋</w:t>
            </w:r>
          </w:p>
        </w:tc>
        <w:tc>
          <w:tcPr>
            <w:tcW w:w="1590" w:type="dxa"/>
            <w:noWrap w:val="0"/>
            <w:vAlign w:val="center"/>
          </w:tcPr>
          <w:p>
            <w:pPr>
              <w:spacing w:beforeLines="0" w:afterLines="0" w:line="240" w:lineRule="auto"/>
              <w:jc w:val="center"/>
              <w:rPr>
                <w:rFonts w:hAnsi="宋体" w:cs="宋体"/>
                <w:snapToGrid w:val="0"/>
                <w:kern w:val="21"/>
                <w:szCs w:val="21"/>
                <w:highlight w:val="none"/>
              </w:rPr>
            </w:pPr>
            <w:r>
              <w:rPr>
                <w:rFonts w:hint="eastAsia" w:hAnsi="宋体" w:cs="宋体"/>
                <w:snapToGrid w:val="0"/>
                <w:kern w:val="21"/>
                <w:szCs w:val="21"/>
                <w:highlight w:val="none"/>
              </w:rPr>
              <w:t>/</w:t>
            </w:r>
          </w:p>
        </w:tc>
        <w:tc>
          <w:tcPr>
            <w:tcW w:w="1276"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70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59" w:type="dxa"/>
            <w:noWrap w:val="0"/>
            <w:vAlign w:val="center"/>
          </w:tcPr>
          <w:p>
            <w:pPr>
              <w:pStyle w:val="44"/>
              <w:spacing w:beforeLines="0" w:afterLines="0" w:line="240" w:lineRule="auto"/>
              <w:rPr>
                <w:rFonts w:hint="default" w:hAnsi="宋体" w:eastAsia="宋体" w:cs="宋体"/>
                <w:snapToGrid w:val="0"/>
                <w:kern w:val="21"/>
                <w:szCs w:val="21"/>
                <w:highlight w:val="none"/>
                <w:lang w:val="en-US" w:eastAsia="zh-CN"/>
              </w:rPr>
            </w:pPr>
            <w:r>
              <w:rPr>
                <w:rFonts w:hint="eastAsia" w:hAnsi="宋体" w:cs="宋体"/>
                <w:snapToGrid w:val="0"/>
                <w:kern w:val="21"/>
                <w:szCs w:val="21"/>
                <w:highlight w:val="none"/>
                <w:lang w:val="en-US" w:eastAsia="zh-CN"/>
              </w:rPr>
              <w:t>0.01</w:t>
            </w:r>
          </w:p>
        </w:tc>
        <w:tc>
          <w:tcPr>
            <w:tcW w:w="1761"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rPr>
              <w:t>0</w:t>
            </w:r>
          </w:p>
        </w:tc>
        <w:tc>
          <w:tcPr>
            <w:tcW w:w="1587" w:type="dxa"/>
            <w:noWrap w:val="0"/>
            <w:vAlign w:val="center"/>
          </w:tcPr>
          <w:p>
            <w:pPr>
              <w:pStyle w:val="44"/>
              <w:spacing w:beforeLines="0" w:afterLines="0" w:line="240" w:lineRule="auto"/>
              <w:rPr>
                <w:rFonts w:hint="eastAsia" w:hAnsi="宋体" w:cs="宋体"/>
                <w:snapToGrid w:val="0"/>
                <w:kern w:val="21"/>
                <w:szCs w:val="21"/>
                <w:highlight w:val="none"/>
              </w:rPr>
            </w:pPr>
            <w:r>
              <w:rPr>
                <w:rFonts w:hint="eastAsia" w:hAnsi="宋体" w:cs="宋体"/>
                <w:snapToGrid w:val="0"/>
                <w:kern w:val="21"/>
                <w:szCs w:val="21"/>
                <w:highlight w:val="none"/>
                <w:lang w:val="en-US" w:eastAsia="zh-CN"/>
              </w:rPr>
              <w:t>0.01</w:t>
            </w:r>
          </w:p>
        </w:tc>
        <w:tc>
          <w:tcPr>
            <w:tcW w:w="1198" w:type="dxa"/>
            <w:noWrap w:val="0"/>
            <w:vAlign w:val="center"/>
          </w:tcPr>
          <w:p>
            <w:pPr>
              <w:pStyle w:val="44"/>
              <w:spacing w:beforeLines="0" w:afterLines="0" w:line="240" w:lineRule="auto"/>
              <w:rPr>
                <w:rFonts w:hAnsi="宋体" w:cs="宋体"/>
                <w:snapToGrid w:val="0"/>
                <w:kern w:val="21"/>
                <w:szCs w:val="21"/>
                <w:highlight w:val="none"/>
              </w:rPr>
            </w:pPr>
            <w:r>
              <w:rPr>
                <w:rFonts w:hint="eastAsia" w:hAnsi="宋体" w:cs="宋体"/>
                <w:snapToGrid w:val="0"/>
                <w:kern w:val="21"/>
                <w:szCs w:val="21"/>
                <w:highlight w:val="none"/>
                <w:lang w:val="en-US" w:eastAsia="zh-CN"/>
              </w:rPr>
              <w:t>+0.01</w:t>
            </w:r>
          </w:p>
        </w:tc>
      </w:tr>
    </w:tbl>
    <w:p>
      <w:pPr>
        <w:pStyle w:val="44"/>
        <w:spacing w:before="192" w:beforeLines="80" w:after="24"/>
        <w:jc w:val="left"/>
        <w:rPr>
          <w:rFonts w:ascii="Times New Roman"/>
          <w:snapToGrid w:val="0"/>
          <w:spacing w:val="-6"/>
          <w:kern w:val="21"/>
          <w:szCs w:val="21"/>
          <w:highlight w:val="none"/>
        </w:rPr>
      </w:pPr>
      <w:r>
        <w:rPr>
          <w:rFonts w:ascii="Times New Roman"/>
          <w:snapToGrid w:val="0"/>
          <w:kern w:val="21"/>
          <w:szCs w:val="21"/>
          <w:highlight w:val="none"/>
        </w:rPr>
        <w:t>注：</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①</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③</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④</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⑤</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⑦</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hint="eastAsia" w:hAnsi="宋体" w:cs="宋体"/>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hint="eastAsia" w:hAnsi="宋体" w:cs="宋体"/>
          <w:szCs w:val="21"/>
          <w:highlight w:val="none"/>
        </w:rPr>
        <w:t>①</w:t>
      </w:r>
      <w:r>
        <w:rPr>
          <w:rFonts w:ascii="Times New Roman"/>
          <w:snapToGrid w:val="0"/>
          <w:spacing w:val="-6"/>
          <w:kern w:val="21"/>
          <w:szCs w:val="21"/>
          <w:highlight w:val="none"/>
        </w:rPr>
        <w:fldChar w:fldCharType="end"/>
      </w: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jc w:val="center"/>
        <w:rPr>
          <w:rFonts w:hint="eastAsia" w:eastAsia="宋体"/>
          <w:lang w:eastAsia="zh-CN"/>
        </w:rPr>
      </w:pPr>
      <w:r>
        <mc:AlternateContent>
          <mc:Choice Requires="wps">
            <w:drawing>
              <wp:anchor distT="0" distB="0" distL="114300" distR="114300" simplePos="0" relativeHeight="251696128" behindDoc="0" locked="0" layoutInCell="1" allowOverlap="1">
                <wp:simplePos x="0" y="0"/>
                <wp:positionH relativeFrom="column">
                  <wp:posOffset>3197225</wp:posOffset>
                </wp:positionH>
                <wp:positionV relativeFrom="paragraph">
                  <wp:posOffset>1562100</wp:posOffset>
                </wp:positionV>
                <wp:extent cx="82550" cy="88900"/>
                <wp:effectExtent l="12700" t="12700" r="19050" b="12700"/>
                <wp:wrapNone/>
                <wp:docPr id="37" name="椭圆 12"/>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E0489"/>
                        </a:solidFill>
                        <a:ln w="25400" cap="flat" cmpd="sng" algn="ctr">
                          <a:solidFill>
                            <a:srgbClr val="BE0489"/>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2" o:spid="_x0000_s1026" o:spt="3" type="#_x0000_t3" style="position:absolute;left:0pt;margin-left:251.75pt;margin-top:123pt;height:7pt;width:6.5pt;z-index:251696128;v-text-anchor:middle;mso-width-relative:page;mso-height-relative:page;" fillcolor="#BE0489" filled="t" stroked="t" coordsize="21600,21600" o:gfxdata="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JFrRtcAAAALAQAADwAAAAAAAAABACAAAAAiAAAAZHJzL2Rvd25yZXYueG1s&#10;UEsBAhQAFAAAAAgAh07iQLEn1UhrAgAA7QQAAA4AAAAAAAAAAQAgAAAAJgEAAGRycy9lMm9Eb2Mu&#10;eG1sUEsFBgAAAAAGAAYAWQEAAAMGAAAAAA==&#10;">
                <v:fill on="t" focussize="0,0"/>
                <v:stroke weight="2pt" color="#BE0489" joinstyle="round"/>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1054100</wp:posOffset>
                </wp:positionH>
                <wp:positionV relativeFrom="paragraph">
                  <wp:posOffset>4419600</wp:posOffset>
                </wp:positionV>
                <wp:extent cx="1167765" cy="292100"/>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1167765" cy="292100"/>
                        </a:xfrm>
                        <a:prstGeom prst="rect">
                          <a:avLst/>
                        </a:prstGeom>
                        <a:noFill/>
                        <a:ln w="6350">
                          <a:noFill/>
                        </a:ln>
                        <a:effectLst/>
                      </wps:spPr>
                      <wps:txbx>
                        <w:txbxContent>
                          <w:p>
                            <w:pPr>
                              <w:rPr>
                                <w:color w:val="FF0000"/>
                              </w:rPr>
                            </w:pPr>
                            <w:r>
                              <w:rPr>
                                <w:rFonts w:hint="eastAsia"/>
                                <w:color w:val="FF0000"/>
                                <w:highlight w:val="yellow"/>
                                <w:lang w:val="en-US" w:eastAsia="zh-CN"/>
                              </w:rPr>
                              <w:t>环境空气</w:t>
                            </w:r>
                            <w:r>
                              <w:rPr>
                                <w:rFonts w:hint="eastAsia"/>
                                <w:color w:val="FF0000"/>
                                <w:highlight w:val="yellow"/>
                              </w:rPr>
                              <w:t>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26" o:spt="202" type="#_x0000_t202" style="position:absolute;left:0pt;margin-left:83pt;margin-top:348pt;height:23pt;width:91.95pt;z-index:251688960;mso-width-relative:page;mso-height-relative:page;" filled="f" stroked="f" coordsize="21600,21600" o:gfxdata="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7waIA3AAAAAsBAAAPAAAAAAAAAAEA&#10;IAAAACIAAABkcnMvZG93bnJldi54bWxQSwECFAAUAAAACACHTuJA2jbDIkQCAAB2BAAADgAAAAAA&#10;AAABACAAAAArAQAAZHJzL2Uyb0RvYy54bWxQSwUGAAAAAAYABgBZAQAA4QUAAAAA&#10;">
                <v:fill on="f" focussize="0,0"/>
                <v:stroke on="f" weight="0.5pt"/>
                <v:imagedata o:title=""/>
                <o:lock v:ext="edit" aspectratio="f"/>
                <v:textbox>
                  <w:txbxContent>
                    <w:p>
                      <w:pPr>
                        <w:rPr>
                          <w:color w:val="FF0000"/>
                        </w:rPr>
                      </w:pPr>
                      <w:r>
                        <w:rPr>
                          <w:rFonts w:hint="eastAsia"/>
                          <w:color w:val="FF0000"/>
                          <w:highlight w:val="yellow"/>
                          <w:lang w:val="en-US" w:eastAsia="zh-CN"/>
                        </w:rPr>
                        <w:t>环境空气</w:t>
                      </w:r>
                      <w:r>
                        <w:rPr>
                          <w:rFonts w:hint="eastAsia"/>
                          <w:color w:val="FF0000"/>
                          <w:highlight w:val="yellow"/>
                        </w:rPr>
                        <w:t>监测点位</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711200</wp:posOffset>
                </wp:positionH>
                <wp:positionV relativeFrom="paragraph">
                  <wp:posOffset>4505325</wp:posOffset>
                </wp:positionV>
                <wp:extent cx="133350" cy="127000"/>
                <wp:effectExtent l="12700" t="12700" r="25400" b="12700"/>
                <wp:wrapNone/>
                <wp:docPr id="29" name="椭圆 23"/>
                <wp:cNvGraphicFramePr/>
                <a:graphic xmlns:a="http://schemas.openxmlformats.org/drawingml/2006/main">
                  <a:graphicData uri="http://schemas.microsoft.com/office/word/2010/wordprocessingShape">
                    <wps:wsp>
                      <wps:cNvSpPr/>
                      <wps:spPr>
                        <a:xfrm>
                          <a:off x="0" y="0"/>
                          <a:ext cx="133350" cy="127000"/>
                        </a:xfrm>
                        <a:prstGeom prst="ellipse">
                          <a:avLst/>
                        </a:prstGeom>
                        <a:solidFill>
                          <a:srgbClr val="BE0489"/>
                        </a:solidFill>
                        <a:ln w="25400" cap="flat" cmpd="sng" algn="ctr">
                          <a:solidFill>
                            <a:srgbClr val="BE0489"/>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3" o:spid="_x0000_s1026" o:spt="3" type="#_x0000_t3" style="position:absolute;left:0pt;margin-left:56pt;margin-top:354.75pt;height:10pt;width:10.5pt;z-index:251687936;v-text-anchor:middle;mso-width-relative:page;mso-height-relative:page;" fillcolor="#BE0489" filled="t" stroked="t" coordsize="21600,21600" o:gfxdata="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sjXJ9YAAAALAQAADwAAAAAAAAABACAAAAAiAAAAZHJzL2Rvd25yZXYueG1s&#10;UEsBAhQAFAAAAAgAh07iQHuiGAxsAgAA7wQAAA4AAAAAAAAAAQAgAAAAJQEAAGRycy9lMm9Eb2Mu&#10;eG1sUEsFBgAAAAAGAAYAWQEAAAMGAAAAAA==&#10;">
                <v:fill on="t" focussize="0,0"/>
                <v:stroke weight="2pt" color="#BE0489" joinstyle="round"/>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748030</wp:posOffset>
                </wp:positionH>
                <wp:positionV relativeFrom="paragraph">
                  <wp:posOffset>4097020</wp:posOffset>
                </wp:positionV>
                <wp:extent cx="75565" cy="75565"/>
                <wp:effectExtent l="12700" t="12700" r="26035" b="26035"/>
                <wp:wrapNone/>
                <wp:docPr id="36" name="圆角矩形 11"/>
                <wp:cNvGraphicFramePr/>
                <a:graphic xmlns:a="http://schemas.openxmlformats.org/drawingml/2006/main">
                  <a:graphicData uri="http://schemas.microsoft.com/office/word/2010/wordprocessingShape">
                    <wps:wsp>
                      <wps:cNvSpPr/>
                      <wps:spPr>
                        <a:xfrm>
                          <a:off x="0" y="0"/>
                          <a:ext cx="75565" cy="75565"/>
                        </a:xfrm>
                        <a:prstGeom prst="round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1" o:spid="_x0000_s1026" o:spt="2" style="position:absolute;left:0pt;margin-left:58.9pt;margin-top:322.6pt;height:5.95pt;width:5.95pt;z-index:251695104;v-text-anchor:middle;mso-width-relative:page;mso-height-relative:page;" fillcolor="#FF0000" filled="t" stroked="t" coordsize="21600,21600" arcsize="0.166666666666667" o:gfxdata="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p0W51gAAAAsBAAAPAAAAAAAAAAEAIAAAACIAAABkcnMvZG93&#10;bnJldi54bWxQSwECFAAUAAAACACHTuJAmKDMQXQCAAD1BAAADgAAAAAAAAABACAAAAAlAQAAZHJz&#10;L2Uyb0RvYy54bWxQSwUGAAAAAAYABgBZAQAACwYAAAAA&#10;">
                <v:fill on="t" focussize="0,0"/>
                <v:stroke weight="2pt" color="#FF0000" joinstyle="round"/>
                <v:imagedata o:title=""/>
                <o:lock v:ext="edit" aspectratio="f"/>
              </v:round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3110230</wp:posOffset>
                </wp:positionH>
                <wp:positionV relativeFrom="paragraph">
                  <wp:posOffset>1925320</wp:posOffset>
                </wp:positionV>
                <wp:extent cx="75565" cy="75565"/>
                <wp:effectExtent l="12700" t="12700" r="26035" b="26035"/>
                <wp:wrapNone/>
                <wp:docPr id="35" name="圆角矩形 10"/>
                <wp:cNvGraphicFramePr/>
                <a:graphic xmlns:a="http://schemas.openxmlformats.org/drawingml/2006/main">
                  <a:graphicData uri="http://schemas.microsoft.com/office/word/2010/wordprocessingShape">
                    <wps:wsp>
                      <wps:cNvSpPr/>
                      <wps:spPr>
                        <a:xfrm>
                          <a:off x="4024630" y="3068320"/>
                          <a:ext cx="75565" cy="75565"/>
                        </a:xfrm>
                        <a:prstGeom prst="round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244.9pt;margin-top:151.6pt;height:5.95pt;width:5.95pt;z-index:251694080;v-text-anchor:middle;mso-width-relative:page;mso-height-relative:page;" fillcolor="#FF0000" filled="t" stroked="t" coordsize="21600,21600" arcsize="0.166666666666667" o:gfxdata="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MBJBH1wAAAAsBAAAPAAAAAAAAAAEAIAAA&#10;ACIAAABkcnMvZG93bnJldi54bWxQSwECFAAUAAAACACHTuJA+rabbn8CAAABBQAADgAAAAAAAAAB&#10;ACAAAAAmAQAAZHJzL2Uyb0RvYy54bWxQSwUGAAAAAAYABgBZAQAAFwYAAAAA&#10;">
                <v:fill on="t" focussize="0,0"/>
                <v:stroke weight="2pt" color="#FF0000" joinstyle="round"/>
                <v:imagedata o:title=""/>
                <o:lock v:ext="edit" aspectratio="f"/>
              </v:round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2908935</wp:posOffset>
                </wp:positionH>
                <wp:positionV relativeFrom="paragraph">
                  <wp:posOffset>1741170</wp:posOffset>
                </wp:positionV>
                <wp:extent cx="657860" cy="1004570"/>
                <wp:effectExtent l="6350" t="6350" r="21590" b="17780"/>
                <wp:wrapNone/>
                <wp:docPr id="34" name="任意多边形 9"/>
                <wp:cNvGraphicFramePr/>
                <a:graphic xmlns:a="http://schemas.openxmlformats.org/drawingml/2006/main">
                  <a:graphicData uri="http://schemas.microsoft.com/office/word/2010/wordprocessingShape">
                    <wps:wsp>
                      <wps:cNvSpPr/>
                      <wps:spPr>
                        <a:xfrm>
                          <a:off x="3823335" y="2884170"/>
                          <a:ext cx="657860" cy="1004570"/>
                        </a:xfrm>
                        <a:custGeom>
                          <a:avLst/>
                          <a:gdLst>
                            <a:gd name="connisteX0" fmla="*/ 12700 w 657860"/>
                            <a:gd name="connsiteY0" fmla="*/ 0 h 1004570"/>
                            <a:gd name="connisteX1" fmla="*/ 0 w 657860"/>
                            <a:gd name="connsiteY1" fmla="*/ 116840 h 1004570"/>
                            <a:gd name="connisteX2" fmla="*/ 173355 w 657860"/>
                            <a:gd name="connsiteY2" fmla="*/ 411480 h 1004570"/>
                            <a:gd name="connisteX3" fmla="*/ 255270 w 657860"/>
                            <a:gd name="connsiteY3" fmla="*/ 394335 h 1004570"/>
                            <a:gd name="connisteX4" fmla="*/ 333375 w 657860"/>
                            <a:gd name="connsiteY4" fmla="*/ 580390 h 1004570"/>
                            <a:gd name="connisteX5" fmla="*/ 307340 w 657860"/>
                            <a:gd name="connsiteY5" fmla="*/ 601980 h 1004570"/>
                            <a:gd name="connisteX6" fmla="*/ 485140 w 657860"/>
                            <a:gd name="connsiteY6" fmla="*/ 1004570 h 1004570"/>
                            <a:gd name="connisteX7" fmla="*/ 640715 w 657860"/>
                            <a:gd name="connsiteY7" fmla="*/ 935355 h 1004570"/>
                            <a:gd name="connisteX8" fmla="*/ 657860 w 657860"/>
                            <a:gd name="connsiteY8" fmla="*/ 796925 h 1004570"/>
                            <a:gd name="connisteX9" fmla="*/ 497840 w 657860"/>
                            <a:gd name="connsiteY9" fmla="*/ 680085 h 1004570"/>
                            <a:gd name="connisteX10" fmla="*/ 363855 w 657860"/>
                            <a:gd name="connsiteY10" fmla="*/ 554355 h 1004570"/>
                            <a:gd name="connisteX11" fmla="*/ 376555 w 657860"/>
                            <a:gd name="connsiteY11" fmla="*/ 398145 h 1004570"/>
                            <a:gd name="connisteX12" fmla="*/ 337820 w 657860"/>
                            <a:gd name="connsiteY12" fmla="*/ 259715 h 1004570"/>
                            <a:gd name="connisteX13" fmla="*/ 302895 w 657860"/>
                            <a:gd name="connsiteY13" fmla="*/ 194945 h 1004570"/>
                            <a:gd name="connisteX14" fmla="*/ 177165 w 657860"/>
                            <a:gd name="connsiteY14" fmla="*/ 130175 h 1004570"/>
                            <a:gd name="connisteX15" fmla="*/ 107950 w 657860"/>
                            <a:gd name="connsiteY15" fmla="*/ 82550 h 1004570"/>
                            <a:gd name="connisteX16" fmla="*/ 12700 w 657860"/>
                            <a:gd name="connsiteY16" fmla="*/ 0 h 10045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Lst>
                          <a:rect l="l" t="t" r="r" b="b"/>
                          <a:pathLst>
                            <a:path w="657860" h="1004570">
                              <a:moveTo>
                                <a:pt x="12700" y="0"/>
                              </a:moveTo>
                              <a:lnTo>
                                <a:pt x="0" y="116840"/>
                              </a:lnTo>
                              <a:lnTo>
                                <a:pt x="173355" y="411480"/>
                              </a:lnTo>
                              <a:lnTo>
                                <a:pt x="255270" y="394335"/>
                              </a:lnTo>
                              <a:lnTo>
                                <a:pt x="333375" y="580390"/>
                              </a:lnTo>
                              <a:lnTo>
                                <a:pt x="307340" y="601980"/>
                              </a:lnTo>
                              <a:lnTo>
                                <a:pt x="485140" y="1004570"/>
                              </a:lnTo>
                              <a:lnTo>
                                <a:pt x="640715" y="935355"/>
                              </a:lnTo>
                              <a:lnTo>
                                <a:pt x="657860" y="796925"/>
                              </a:lnTo>
                              <a:lnTo>
                                <a:pt x="497840" y="680085"/>
                              </a:lnTo>
                              <a:lnTo>
                                <a:pt x="363855" y="554355"/>
                              </a:lnTo>
                              <a:lnTo>
                                <a:pt x="376555" y="398145"/>
                              </a:lnTo>
                              <a:lnTo>
                                <a:pt x="337820" y="259715"/>
                              </a:lnTo>
                              <a:lnTo>
                                <a:pt x="302895" y="194945"/>
                              </a:lnTo>
                              <a:lnTo>
                                <a:pt x="177165" y="130175"/>
                              </a:lnTo>
                              <a:lnTo>
                                <a:pt x="107950" y="82550"/>
                              </a:lnTo>
                              <a:lnTo>
                                <a:pt x="12700" y="0"/>
                              </a:lnTo>
                              <a:close/>
                            </a:path>
                          </a:pathLst>
                        </a:custGeom>
                        <a:noFill/>
                        <a:ln w="12700" cap="flat" cmpd="sng" algn="ctr">
                          <a:solidFill>
                            <a:srgbClr val="92D050"/>
                          </a:solidFill>
                          <a:prstDash val="solid"/>
                        </a:ln>
                        <a:effectLst/>
                      </wps:spPr>
                      <wps:bodyPr vert="horz" wrap="square" anchor="t" anchorCtr="0"/>
                    </wps:wsp>
                  </a:graphicData>
                </a:graphic>
              </wp:anchor>
            </w:drawing>
          </mc:Choice>
          <mc:Fallback>
            <w:pict>
              <v:shape id="任意多边形 9" o:spid="_x0000_s1026" o:spt="100" style="position:absolute;left:0pt;margin-left:229.05pt;margin-top:137.1pt;height:79.1pt;width:51.8pt;z-index:251693056;mso-width-relative:page;mso-height-relative:page;" filled="f" stroked="t" coordsize="657860,1004570" o:gfxdata="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KIqvDtoAAAALAQAADwAAAAAAAAABACAAAAAiAAAAZHJzL2Rvd25yZXYueG1sUEsBAhQAFAAAAAgA&#10;h07iQLtvTXXPBAAAbhIAAA4AAAAAAAAAAQAgAAAAKQEAAGRycy9lMm9Eb2MueG1sUEsFBgAAAAAG&#10;AAYAWQEAAGoIAAAAAA==&#10;" path="m12700,0l0,116840,173355,411480,255270,394335,333375,580390,307340,601980,485140,1004570,640715,935355,657860,796925,497840,680085,363855,554355,376555,398145,337820,259715,302895,194945,177165,130175,107950,82550,12700,0xe">
                <v:path o:connectlocs="12700,0;0,116840;173355,411480;255270,394335;333375,580390;307340,601980;485140,1004570;640715,935355;657860,796925;497840,680085;363855,554355;376555,398145;337820,259715;302895,194945;177165,130175;107950,82550;12700,0" o:connectangles="0,0,0,0,0,0,0,0,0,0,0,0,0,0,0,0,0"/>
                <v:fill on="f" focussize="0,0"/>
                <v:stroke weight="1pt" color="#92D050" joinstyle="round"/>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6689725</wp:posOffset>
                </wp:positionH>
                <wp:positionV relativeFrom="paragraph">
                  <wp:posOffset>98425</wp:posOffset>
                </wp:positionV>
                <wp:extent cx="1018540" cy="1025525"/>
                <wp:effectExtent l="0" t="0" r="0" b="0"/>
                <wp:wrapNone/>
                <wp:docPr id="33" name="矩形 3"/>
                <wp:cNvGraphicFramePr/>
                <a:graphic xmlns:a="http://schemas.openxmlformats.org/drawingml/2006/main">
                  <a:graphicData uri="http://schemas.microsoft.com/office/word/2010/wordprocessingShape">
                    <wps:wsp>
                      <wps:cNvSpPr/>
                      <wps:spPr>
                        <a:xfrm>
                          <a:off x="7567295" y="1454150"/>
                          <a:ext cx="1018540" cy="1025525"/>
                        </a:xfrm>
                        <a:prstGeom prst="rect">
                          <a:avLst/>
                        </a:prstGeom>
                        <a:noFill/>
                        <a:ln w="25400" cap="flat" cmpd="sng" algn="ctr">
                          <a:noFill/>
                          <a:prstDash val="solid"/>
                        </a:ln>
                        <a:effectLst/>
                      </wps:spPr>
                      <wps:txbx>
                        <w:txbxContent>
                          <w:p>
                            <w:pPr>
                              <w:jc w:val="center"/>
                            </w:pPr>
                            <w:r>
                              <w:rPr>
                                <w:rFonts w:hint="eastAsia" w:eastAsia="宋体"/>
                                <w:lang w:eastAsia="zh-CN"/>
                              </w:rPr>
                              <w:drawing>
                                <wp:inline distT="0" distB="0" distL="114300" distR="114300">
                                  <wp:extent cx="533400" cy="847725"/>
                                  <wp:effectExtent l="0" t="0" r="0" b="9525"/>
                                  <wp:docPr id="98" name="图片 7"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1676530800123"/>
                                          <pic:cNvPicPr>
                                            <a:picLocks noChangeAspect="1"/>
                                          </pic:cNvPicPr>
                                        </pic:nvPicPr>
                                        <pic:blipFill>
                                          <a:blip r:embed="rId39"/>
                                          <a:stretch>
                                            <a:fillRect/>
                                          </a:stretch>
                                        </pic:blipFill>
                                        <pic:spPr>
                                          <a:xfrm>
                                            <a:off x="0" y="0"/>
                                            <a:ext cx="533400"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526.75pt;margin-top:7.75pt;height:80.75pt;width:80.2pt;z-index:251692032;v-text-anchor:middle;mso-width-relative:page;mso-height-relative:page;" filled="f" stroked="f" coordsize="21600,21600" o:gfxdata="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r4JktkAAAAMAQAADwAAAAAAAAABACAAAAAiAAAAZHJzL2Rvd25yZXYueG1sUEsB&#10;AhQAFAAAAAgAh07iQCTKfH5mAgAAsgQAAA4AAAAAAAAAAQAgAAAAKAEAAGRycy9lMm9Eb2MueG1s&#10;UEsFBgAAAAAGAAYAWQEAAAAGAAAAAA==&#10;">
                <v:fill on="f" focussize="0,0"/>
                <v:stroke on="f" weight="2pt"/>
                <v:imagedata o:title=""/>
                <o:lock v:ext="edit" aspectratio="f"/>
                <v:textbox>
                  <w:txbxContent>
                    <w:p>
                      <w:pPr>
                        <w:jc w:val="center"/>
                      </w:pPr>
                      <w:r>
                        <w:rPr>
                          <w:rFonts w:hint="eastAsia" w:eastAsia="宋体"/>
                          <w:lang w:eastAsia="zh-CN"/>
                        </w:rPr>
                        <w:drawing>
                          <wp:inline distT="0" distB="0" distL="114300" distR="114300">
                            <wp:extent cx="533400" cy="847725"/>
                            <wp:effectExtent l="0" t="0" r="0" b="9525"/>
                            <wp:docPr id="98" name="图片 7"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1676530800123"/>
                                    <pic:cNvPicPr>
                                      <a:picLocks noChangeAspect="1"/>
                                    </pic:cNvPicPr>
                                  </pic:nvPicPr>
                                  <pic:blipFill>
                                    <a:blip r:embed="rId39"/>
                                    <a:stretch>
                                      <a:fillRect/>
                                    </a:stretch>
                                  </pic:blipFill>
                                  <pic:spPr>
                                    <a:xfrm>
                                      <a:off x="0" y="0"/>
                                      <a:ext cx="533400" cy="847725"/>
                                    </a:xfrm>
                                    <a:prstGeom prst="rect">
                                      <a:avLst/>
                                    </a:prstGeom>
                                    <a:noFill/>
                                    <a:ln>
                                      <a:noFill/>
                                    </a:ln>
                                  </pic:spPr>
                                </pic:pic>
                              </a:graphicData>
                            </a:graphic>
                          </wp:inline>
                        </w:drawing>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361950</wp:posOffset>
                </wp:positionH>
                <wp:positionV relativeFrom="paragraph">
                  <wp:posOffset>3111500</wp:posOffset>
                </wp:positionV>
                <wp:extent cx="1860550" cy="1762760"/>
                <wp:effectExtent l="12700" t="12700" r="12700" b="15240"/>
                <wp:wrapNone/>
                <wp:docPr id="32" name="矩形 26"/>
                <wp:cNvGraphicFramePr/>
                <a:graphic xmlns:a="http://schemas.openxmlformats.org/drawingml/2006/main">
                  <a:graphicData uri="http://schemas.microsoft.com/office/word/2010/wordprocessingShape">
                    <wps:wsp>
                      <wps:cNvSpPr/>
                      <wps:spPr>
                        <a:xfrm>
                          <a:off x="0" y="0"/>
                          <a:ext cx="1860550" cy="1762760"/>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8.5pt;margin-top:245pt;height:138.8pt;width:146.5pt;z-index:251691008;v-text-anchor:middle;mso-width-relative:page;mso-height-relative:page;" filled="f" stroked="t" coordsize="21600,21600" o:gfxdata="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PDkQ72QAAAAoBAAAPAAAAAAAAAAEAIAAAACIAAABkcnMvZG93bnJldi54bWxQSwEC&#10;FAAUAAAACACHTuJAFyuswWUCAADFBAAADgAAAAAAAAABACAAAAAoAQAAZHJzL2Uyb0RvYy54bWxQ&#10;SwUGAAAAAAYABgBZAQAA/wUAAAAA&#10;">
                <v:fill on="f" focussize="0,0"/>
                <v:stroke weight="2pt" color="#000000" joinstyle="round"/>
                <v:imagedata o:title=""/>
                <o:lock v:ext="edit" aspectratio="f"/>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901700</wp:posOffset>
                </wp:positionH>
                <wp:positionV relativeFrom="paragraph">
                  <wp:posOffset>3244850</wp:posOffset>
                </wp:positionV>
                <wp:extent cx="685800" cy="292100"/>
                <wp:effectExtent l="0" t="0" r="0" b="0"/>
                <wp:wrapNone/>
                <wp:docPr id="31" name="文本框 25"/>
                <wp:cNvGraphicFramePr/>
                <a:graphic xmlns:a="http://schemas.openxmlformats.org/drawingml/2006/main">
                  <a:graphicData uri="http://schemas.microsoft.com/office/word/2010/wordprocessingShape">
                    <wps:wsp>
                      <wps:cNvSpPr txBox="1"/>
                      <wps:spPr>
                        <a:xfrm>
                          <a:off x="0" y="0"/>
                          <a:ext cx="685800" cy="292100"/>
                        </a:xfrm>
                        <a:prstGeom prst="rect">
                          <a:avLst/>
                        </a:prstGeom>
                        <a:noFill/>
                        <a:ln w="6350">
                          <a:noFill/>
                        </a:ln>
                        <a:effectLst/>
                      </wps:spPr>
                      <wps:txbx>
                        <w:txbxContent>
                          <w:p>
                            <w:pPr>
                              <w:rPr>
                                <w:color w:val="FF0000"/>
                              </w:rPr>
                            </w:pPr>
                            <w:r>
                              <w:rPr>
                                <w:rFonts w:hint="eastAsia"/>
                                <w:color w:val="FF0000"/>
                                <w:highlight w:val="yellow"/>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71pt;margin-top:255.5pt;height:23pt;width:54pt;z-index:251689984;mso-width-relative:page;mso-height-relative:page;" filled="f" stroked="f" coordsize="21600,21600" o:gfxdata="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xLUnYAAAACwEAAA8AAAAAAAAAAQAgAAAAIgAA&#10;AGRycy9kb3ducmV2LnhtbFBLAQIUABQAAAAIAIdO4kDMlOYvQQIAAHUEAAAOAAAAAAAAAAEAIAAA&#10;ACcBAABkcnMvZTJvRG9jLnhtbFBLBQYAAAAABgAGAFkBAADaBQAAAAA=&#10;">
                <v:fill on="f" focussize="0,0"/>
                <v:stroke on="f" weight="0.5pt"/>
                <v:imagedata o:title=""/>
                <o:lock v:ext="edit" aspectratio="f"/>
                <v:textbox>
                  <w:txbxContent>
                    <w:p>
                      <w:pPr>
                        <w:rPr>
                          <w:color w:val="FF0000"/>
                        </w:rPr>
                      </w:pPr>
                      <w:r>
                        <w:rPr>
                          <w:rFonts w:hint="eastAsia"/>
                          <w:color w:val="FF0000"/>
                          <w:highlight w:val="yellow"/>
                        </w:rPr>
                        <w:t>图例</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1092200</wp:posOffset>
                </wp:positionH>
                <wp:positionV relativeFrom="paragraph">
                  <wp:posOffset>4032250</wp:posOffset>
                </wp:positionV>
                <wp:extent cx="927100" cy="292100"/>
                <wp:effectExtent l="0" t="0" r="0" b="0"/>
                <wp:wrapNone/>
                <wp:docPr id="28" name="文本框 14"/>
                <wp:cNvGraphicFramePr/>
                <a:graphic xmlns:a="http://schemas.openxmlformats.org/drawingml/2006/main">
                  <a:graphicData uri="http://schemas.microsoft.com/office/word/2010/wordprocessingShape">
                    <wps:wsp>
                      <wps:cNvSpPr txBox="1"/>
                      <wps:spPr>
                        <a:xfrm>
                          <a:off x="0" y="0"/>
                          <a:ext cx="927100" cy="292100"/>
                        </a:xfrm>
                        <a:prstGeom prst="rect">
                          <a:avLst/>
                        </a:prstGeom>
                        <a:noFill/>
                        <a:ln w="6350">
                          <a:noFill/>
                        </a:ln>
                        <a:effectLst/>
                      </wps:spPr>
                      <wps:txbx>
                        <w:txbxContent>
                          <w:p>
                            <w:pPr>
                              <w:rPr>
                                <w:color w:val="FF0000"/>
                              </w:rPr>
                            </w:pPr>
                            <w:r>
                              <w:rPr>
                                <w:rFonts w:hint="eastAsia"/>
                                <w:color w:val="FF0000"/>
                                <w:highlight w:val="yellow"/>
                                <w:lang w:val="en-US" w:eastAsia="zh-CN"/>
                              </w:rPr>
                              <w:t>新建</w:t>
                            </w:r>
                            <w:r>
                              <w:rPr>
                                <w:rFonts w:hint="eastAsia"/>
                                <w:color w:val="FF0000"/>
                                <w:highlight w:val="yellow"/>
                              </w:rPr>
                              <w:t>锅炉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86pt;margin-top:317.5pt;height:23pt;width:73pt;z-index:251686912;mso-width-relative:page;mso-height-relative:page;" filled="f" stroked="f" coordsize="21600,21600" o:gfxdata="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wdOn2QAAAAsBAAAPAAAAAAAAAAEAIAAAACIA&#10;AABkcnMvZG93bnJldi54bWxQSwECFAAUAAAACACHTuJAsWe3f0ECAAB1BAAADgAAAAAAAAABACAA&#10;AAAoAQAAZHJzL2Uyb0RvYy54bWxQSwUGAAAAAAYABgBZAQAA2wUAAAAA&#10;">
                <v:fill on="f" focussize="0,0"/>
                <v:stroke on="f" weight="0.5pt"/>
                <v:imagedata o:title=""/>
                <o:lock v:ext="edit" aspectratio="f"/>
                <v:textbox>
                  <w:txbxContent>
                    <w:p>
                      <w:pPr>
                        <w:rPr>
                          <w:color w:val="FF0000"/>
                        </w:rPr>
                      </w:pPr>
                      <w:r>
                        <w:rPr>
                          <w:rFonts w:hint="eastAsia"/>
                          <w:color w:val="FF0000"/>
                          <w:highlight w:val="yellow"/>
                          <w:lang w:val="en-US" w:eastAsia="zh-CN"/>
                        </w:rPr>
                        <w:t>新建</w:t>
                      </w:r>
                      <w:r>
                        <w:rPr>
                          <w:rFonts w:hint="eastAsia"/>
                          <w:color w:val="FF0000"/>
                          <w:highlight w:val="yellow"/>
                        </w:rPr>
                        <w:t>锅炉</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1092200</wp:posOffset>
                </wp:positionH>
                <wp:positionV relativeFrom="paragraph">
                  <wp:posOffset>3702050</wp:posOffset>
                </wp:positionV>
                <wp:extent cx="927100" cy="292100"/>
                <wp:effectExtent l="0" t="0" r="0" b="0"/>
                <wp:wrapNone/>
                <wp:docPr id="26" name="文本框 5"/>
                <wp:cNvGraphicFramePr/>
                <a:graphic xmlns:a="http://schemas.openxmlformats.org/drawingml/2006/main">
                  <a:graphicData uri="http://schemas.microsoft.com/office/word/2010/wordprocessingShape">
                    <wps:wsp>
                      <wps:cNvSpPr txBox="1"/>
                      <wps:spPr>
                        <a:xfrm>
                          <a:off x="0" y="0"/>
                          <a:ext cx="927100" cy="292100"/>
                        </a:xfrm>
                        <a:prstGeom prst="rect">
                          <a:avLst/>
                        </a:prstGeom>
                        <a:noFill/>
                        <a:ln w="6350">
                          <a:noFill/>
                        </a:ln>
                        <a:effectLst/>
                      </wps:spPr>
                      <wps:txbx>
                        <w:txbxContent>
                          <w:p>
                            <w:pPr>
                              <w:rPr>
                                <w:rFonts w:hint="eastAsia" w:eastAsia="宋体"/>
                                <w:color w:val="FF0000"/>
                                <w:lang w:val="en-US" w:eastAsia="zh-CN"/>
                              </w:rPr>
                            </w:pPr>
                            <w:r>
                              <w:rPr>
                                <w:rFonts w:hint="eastAsia"/>
                                <w:color w:val="FF0000"/>
                                <w:highlight w:val="yellow"/>
                                <w:lang w:val="en-US" w:eastAsia="zh-CN"/>
                              </w:rPr>
                              <w:t>制梁场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86pt;margin-top:291.5pt;height:23pt;width:73pt;z-index:251684864;mso-width-relative:page;mso-height-relative:page;" filled="f" stroked="f" coordsize="21600,21600" o:gfxdata="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QSgNsAAAALAQAADwAAAAAAAAABACAAAAAi&#10;AAAAZHJzL2Rvd25yZXYueG1sUEsBAhQAFAAAAAgAh07iQHp+y0tAAgAAdAQAAA4AAAAAAAAAAQAg&#10;AAAAKgEAAGRycy9lMm9Eb2MueG1sUEsFBgAAAAAGAAYAWQEAANwFAAAAAA==&#10;">
                <v:fill on="f" focussize="0,0"/>
                <v:stroke on="f" weight="0.5pt"/>
                <v:imagedata o:title=""/>
                <o:lock v:ext="edit" aspectratio="f"/>
                <v:textbox>
                  <w:txbxContent>
                    <w:p>
                      <w:pPr>
                        <w:rPr>
                          <w:rFonts w:hint="eastAsia" w:eastAsia="宋体"/>
                          <w:color w:val="FF0000"/>
                          <w:lang w:val="en-US" w:eastAsia="zh-CN"/>
                        </w:rPr>
                      </w:pPr>
                      <w:r>
                        <w:rPr>
                          <w:rFonts w:hint="eastAsia"/>
                          <w:color w:val="FF0000"/>
                          <w:highlight w:val="yellow"/>
                          <w:lang w:val="en-US" w:eastAsia="zh-CN"/>
                        </w:rPr>
                        <w:t>制梁场</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584200</wp:posOffset>
                </wp:positionH>
                <wp:positionV relativeFrom="paragraph">
                  <wp:posOffset>3702050</wp:posOffset>
                </wp:positionV>
                <wp:extent cx="425450" cy="254000"/>
                <wp:effectExtent l="12700" t="12700" r="19050" b="19050"/>
                <wp:wrapNone/>
                <wp:docPr id="25" name="矩形 4"/>
                <wp:cNvGraphicFramePr/>
                <a:graphic xmlns:a="http://schemas.openxmlformats.org/drawingml/2006/main">
                  <a:graphicData uri="http://schemas.microsoft.com/office/word/2010/wordprocessingShape">
                    <wps:wsp>
                      <wps:cNvSpPr/>
                      <wps:spPr>
                        <a:xfrm>
                          <a:off x="0" y="0"/>
                          <a:ext cx="425450" cy="25400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46pt;margin-top:291.5pt;height:20pt;width:33.5pt;z-index:251683840;v-text-anchor:middle;mso-width-relative:page;mso-height-relative:page;" filled="f" stroked="t" coordsize="21600,21600" o:gfxdata="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vp7H1wAAAAoBAAAPAAAAAAAAAAEAIAAAACIAAABkcnMvZG93bnJldi54bWxQSwECFAAUAAAACACH&#10;TuJA05aIs14CAADCBAAADgAAAAAAAAABACAAAAAmAQAAZHJzL2Uyb0RvYy54bWxQSwUGAAAAAAYA&#10;BgBZAQAA9gUAAAAA&#10;">
                <v:fill on="f" focussize="0,0"/>
                <v:stroke weight="2pt" color="#92D050" joinstyle="round"/>
                <v:imagedata o:title=""/>
                <o:lock v:ext="edit" aspectratio="f"/>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4019550</wp:posOffset>
                </wp:positionH>
                <wp:positionV relativeFrom="paragraph">
                  <wp:posOffset>3352800</wp:posOffset>
                </wp:positionV>
                <wp:extent cx="723900" cy="234950"/>
                <wp:effectExtent l="0" t="0" r="0" b="0"/>
                <wp:wrapNone/>
                <wp:docPr id="27" name="文本框 6"/>
                <wp:cNvGraphicFramePr/>
                <a:graphic xmlns:a="http://schemas.openxmlformats.org/drawingml/2006/main">
                  <a:graphicData uri="http://schemas.microsoft.com/office/word/2010/wordprocessingShape">
                    <wps:wsp>
                      <wps:cNvSpPr txBox="1"/>
                      <wps:spPr>
                        <a:xfrm>
                          <a:off x="0" y="0"/>
                          <a:ext cx="723900" cy="234950"/>
                        </a:xfrm>
                        <a:prstGeom prst="rect">
                          <a:avLst/>
                        </a:prstGeom>
                        <a:noFill/>
                        <a:ln w="6350">
                          <a:noFill/>
                        </a:ln>
                        <a:effectLst/>
                      </wps:spPr>
                      <wps:txbx>
                        <w:txbxContent>
                          <w:p>
                            <w:pPr>
                              <w:rPr>
                                <w:b/>
                                <w:color w:val="92D050"/>
                                <w:sz w:val="15"/>
                                <w:szCs w:val="15"/>
                              </w:rPr>
                            </w:pPr>
                            <w:r>
                              <w:rPr>
                                <w:rFonts w:hint="eastAsia"/>
                                <w:b/>
                                <w:color w:val="92D050"/>
                                <w:sz w:val="15"/>
                                <w:szCs w:val="15"/>
                              </w:rPr>
                              <w:t>储液池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316.5pt;margin-top:264pt;height:18.5pt;width:57pt;z-index:251685888;mso-width-relative:page;mso-height-relative:page;" filled="f" stroked="f" coordsize="21600,21600" o:gfxdata="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iz9ynbAAAACwEAAA8AAAAAAAAAAQAgAAAA&#10;IgAAAGRycy9kb3ducmV2LnhtbFBLAQIUABQAAAAIAIdO4kBkS1a8QQIAAHQEAAAOAAAAAAAAAAEA&#10;IAAAACoBAABkcnMvZTJvRG9jLnhtbFBLBQYAAAAABgAGAFkBAADdBQAAAAA=&#10;">
                <v:fill on="f" focussize="0,0"/>
                <v:stroke on="f" weight="0.5pt"/>
                <v:imagedata o:title=""/>
                <o:lock v:ext="edit" aspectratio="f"/>
                <v:textbox>
                  <w:txbxContent>
                    <w:p>
                      <w:pPr>
                        <w:rPr>
                          <w:b/>
                          <w:color w:val="92D050"/>
                          <w:sz w:val="15"/>
                          <w:szCs w:val="15"/>
                        </w:rPr>
                      </w:pPr>
                      <w:r>
                        <w:rPr>
                          <w:rFonts w:hint="eastAsia"/>
                          <w:b/>
                          <w:color w:val="92D050"/>
                          <w:sz w:val="15"/>
                          <w:szCs w:val="15"/>
                        </w:rPr>
                        <w:t>储液池</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2533650</wp:posOffset>
                </wp:positionH>
                <wp:positionV relativeFrom="paragraph">
                  <wp:posOffset>5181600</wp:posOffset>
                </wp:positionV>
                <wp:extent cx="3810000" cy="285750"/>
                <wp:effectExtent l="0" t="0" r="0" b="0"/>
                <wp:wrapNone/>
                <wp:docPr id="24" name="文本框 2"/>
                <wp:cNvGraphicFramePr/>
                <a:graphic xmlns:a="http://schemas.openxmlformats.org/drawingml/2006/main">
                  <a:graphicData uri="http://schemas.microsoft.com/office/word/2010/wordprocessingShape">
                    <wps:wsp>
                      <wps:cNvSpPr txBox="1"/>
                      <wps:spPr>
                        <a:xfrm>
                          <a:off x="0" y="0"/>
                          <a:ext cx="3810000" cy="285750"/>
                        </a:xfrm>
                        <a:prstGeom prst="rect">
                          <a:avLst/>
                        </a:prstGeom>
                        <a:noFill/>
                        <a:ln w="6350">
                          <a:noFill/>
                        </a:ln>
                        <a:effectLst/>
                      </wps:spPr>
                      <wps:txbx>
                        <w:txbxContent>
                          <w:p>
                            <w:pPr>
                              <w:rPr>
                                <w:rFonts w:hint="default" w:eastAsia="宋体"/>
                                <w:sz w:val="24"/>
                                <w:szCs w:val="24"/>
                                <w:lang w:val="en-US" w:eastAsia="zh-CN"/>
                              </w:rPr>
                            </w:pPr>
                            <w:r>
                              <w:rPr>
                                <w:rFonts w:hint="eastAsia"/>
                                <w:sz w:val="24"/>
                                <w:szCs w:val="24"/>
                              </w:rPr>
                              <w:t>附图</w:t>
                            </w:r>
                            <w:r>
                              <w:rPr>
                                <w:rFonts w:hint="eastAsia"/>
                                <w:sz w:val="24"/>
                                <w:szCs w:val="24"/>
                                <w:lang w:val="en-US" w:eastAsia="zh-CN"/>
                              </w:rPr>
                              <w:t>1</w:t>
                            </w:r>
                            <w:r>
                              <w:rPr>
                                <w:rFonts w:hint="eastAsia"/>
                                <w:sz w:val="24"/>
                                <w:szCs w:val="24"/>
                              </w:rPr>
                              <w:t xml:space="preserve">   本项目</w:t>
                            </w:r>
                            <w:r>
                              <w:rPr>
                                <w:rFonts w:hint="eastAsia" w:ascii="宋体" w:hAnsi="宋体"/>
                                <w:sz w:val="24"/>
                                <w:szCs w:val="24"/>
                                <w:lang w:val="en-US" w:eastAsia="zh-CN"/>
                              </w:rPr>
                              <w:t>地理位置及环境空气监测点位示意图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99.5pt;margin-top:408pt;height:22.5pt;width:300pt;z-index:251682816;mso-width-relative:page;mso-height-relative:page;" filled="f" stroked="f" coordsize="21600,21600" o:gfxdata="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DuVJ2gAAAAsBAAAPAAAAAAAAAAEAIAAA&#10;ACIAAABkcnMvZG93bnJldi54bWxQSwECFAAUAAAACACHTuJA6ucTV0MCAAB1BAAADgAAAAAAAAAB&#10;ACAAAAApAQAAZHJzL2Uyb0RvYy54bWxQSwUGAAAAAAYABgBZAQAA3gUAAAAA&#10;">
                <v:fill on="f" focussize="0,0"/>
                <v:stroke on="f" weight="0.5pt"/>
                <v:imagedata o:title=""/>
                <o:lock v:ext="edit" aspectratio="f"/>
                <v:textbox>
                  <w:txbxContent>
                    <w:p>
                      <w:pPr>
                        <w:rPr>
                          <w:rFonts w:hint="default" w:eastAsia="宋体"/>
                          <w:sz w:val="24"/>
                          <w:szCs w:val="24"/>
                          <w:lang w:val="en-US" w:eastAsia="zh-CN"/>
                        </w:rPr>
                      </w:pPr>
                      <w:r>
                        <w:rPr>
                          <w:rFonts w:hint="eastAsia"/>
                          <w:sz w:val="24"/>
                          <w:szCs w:val="24"/>
                        </w:rPr>
                        <w:t>附图</w:t>
                      </w:r>
                      <w:r>
                        <w:rPr>
                          <w:rFonts w:hint="eastAsia"/>
                          <w:sz w:val="24"/>
                          <w:szCs w:val="24"/>
                          <w:lang w:val="en-US" w:eastAsia="zh-CN"/>
                        </w:rPr>
                        <w:t>1</w:t>
                      </w:r>
                      <w:r>
                        <w:rPr>
                          <w:rFonts w:hint="eastAsia"/>
                          <w:sz w:val="24"/>
                          <w:szCs w:val="24"/>
                        </w:rPr>
                        <w:t xml:space="preserve">   本项目</w:t>
                      </w:r>
                      <w:r>
                        <w:rPr>
                          <w:rFonts w:hint="eastAsia" w:ascii="宋体" w:hAnsi="宋体"/>
                          <w:sz w:val="24"/>
                          <w:szCs w:val="24"/>
                          <w:lang w:val="en-US" w:eastAsia="zh-CN"/>
                        </w:rPr>
                        <w:t>地理位置及环境空气监测点位示意图</w:t>
                      </w:r>
                    </w:p>
                  </w:txbxContent>
                </v:textbox>
              </v:shape>
            </w:pict>
          </mc:Fallback>
        </mc:AlternateContent>
      </w:r>
      <w:r>
        <w:rPr>
          <w:rFonts w:hint="eastAsia" w:eastAsia="宋体"/>
          <w:lang w:eastAsia="zh-CN"/>
        </w:rPr>
        <w:drawing>
          <wp:inline distT="0" distB="0" distL="114300" distR="114300">
            <wp:extent cx="6562725" cy="4791075"/>
            <wp:effectExtent l="0" t="0" r="9525" b="9525"/>
            <wp:docPr id="99" name="图片 1" descr="169571365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descr="1695713650763"/>
                    <pic:cNvPicPr>
                      <a:picLocks noChangeAspect="1"/>
                    </pic:cNvPicPr>
                  </pic:nvPicPr>
                  <pic:blipFill>
                    <a:blip r:embed="rId40"/>
                    <a:stretch>
                      <a:fillRect/>
                    </a:stretch>
                  </pic:blipFill>
                  <pic:spPr>
                    <a:xfrm>
                      <a:off x="0" y="0"/>
                      <a:ext cx="6562725" cy="4791075"/>
                    </a:xfrm>
                    <a:prstGeom prst="rect">
                      <a:avLst/>
                    </a:prstGeom>
                    <a:noFill/>
                    <a:ln>
                      <a:noFill/>
                    </a:ln>
                  </pic:spPr>
                </pic:pic>
              </a:graphicData>
            </a:graphic>
          </wp:inline>
        </w:drawing>
      </w: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both"/>
      </w:pPr>
      <w:r>
        <w:rPr>
          <w:sz w:val="21"/>
        </w:rPr>
        <mc:AlternateContent>
          <mc:Choice Requires="wps">
            <w:drawing>
              <wp:anchor distT="0" distB="0" distL="114300" distR="114300" simplePos="0" relativeHeight="251705344" behindDoc="0" locked="0" layoutInCell="1" allowOverlap="1">
                <wp:simplePos x="0" y="0"/>
                <wp:positionH relativeFrom="column">
                  <wp:posOffset>527050</wp:posOffset>
                </wp:positionH>
                <wp:positionV relativeFrom="paragraph">
                  <wp:posOffset>4202430</wp:posOffset>
                </wp:positionV>
                <wp:extent cx="457200" cy="9525"/>
                <wp:effectExtent l="0" t="0" r="0" b="0"/>
                <wp:wrapNone/>
                <wp:docPr id="46" name="直接连接符 35"/>
                <wp:cNvGraphicFramePr/>
                <a:graphic xmlns:a="http://schemas.openxmlformats.org/drawingml/2006/main">
                  <a:graphicData uri="http://schemas.microsoft.com/office/word/2010/wordprocessingShape">
                    <wps:wsp>
                      <wps:cNvCnPr/>
                      <wps:spPr>
                        <a:xfrm flipV="1">
                          <a:off x="1441450" y="5345430"/>
                          <a:ext cx="457200" cy="9525"/>
                        </a:xfrm>
                        <a:prstGeom prst="line">
                          <a:avLst/>
                        </a:prstGeom>
                        <a:noFill/>
                        <a:ln w="25400" cap="flat" cmpd="sng" algn="ctr">
                          <a:solidFill>
                            <a:srgbClr val="FF0000"/>
                          </a:solidFill>
                          <a:prstDash val="solid"/>
                        </a:ln>
                        <a:effectLst/>
                      </wps:spPr>
                      <wps:bodyPr/>
                    </wps:wsp>
                  </a:graphicData>
                </a:graphic>
              </wp:anchor>
            </w:drawing>
          </mc:Choice>
          <mc:Fallback>
            <w:pict>
              <v:line id="直接连接符 35" o:spid="_x0000_s1026" o:spt="20" style="position:absolute;left:0pt;flip:y;margin-left:41.5pt;margin-top:330.9pt;height:0.75pt;width:36pt;z-index:251705344;mso-width-relative:page;mso-height-relative:page;" filled="f" stroked="t" coordsize="21600,21600" o:gfxdata="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rk4uzVAAAACgEAAA8AAAAAAAAAAQAgAAAAIgAAAGRycy9kb3ducmV2LnhtbFBLAQIU&#10;ABQAAAAIAIdO4kC/GXc39gEAAMMDAAAOAAAAAAAAAAEAIAAAACQBAABkcnMvZTJvRG9jLnhtbFBL&#10;BQYAAAAABgAGAFkBAACMBQAAAAA=&#10;">
                <v:fill on="f" focussize="0,0"/>
                <v:stroke weight="2pt" color="#FF0000" joinstyle="round"/>
                <v:imagedata o:title=""/>
                <o:lock v:ext="edit" aspectratio="f"/>
              </v:lin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574675</wp:posOffset>
                </wp:positionH>
                <wp:positionV relativeFrom="paragraph">
                  <wp:posOffset>3664585</wp:posOffset>
                </wp:positionV>
                <wp:extent cx="314325" cy="247650"/>
                <wp:effectExtent l="12700" t="12700" r="15875" b="25400"/>
                <wp:wrapNone/>
                <wp:docPr id="45" name="矩形 34"/>
                <wp:cNvGraphicFramePr/>
                <a:graphic xmlns:a="http://schemas.openxmlformats.org/drawingml/2006/main">
                  <a:graphicData uri="http://schemas.microsoft.com/office/word/2010/wordprocessingShape">
                    <wps:wsp>
                      <wps:cNvSpPr/>
                      <wps:spPr>
                        <a:xfrm>
                          <a:off x="0" y="0"/>
                          <a:ext cx="314325" cy="247650"/>
                        </a:xfrm>
                        <a:prstGeom prst="rect">
                          <a:avLst/>
                        </a:prstGeom>
                        <a:solidFill>
                          <a:srgbClr val="C00000"/>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45.25pt;margin-top:288.55pt;height:19.5pt;width:24.75pt;z-index:251704320;v-text-anchor:middle;mso-width-relative:page;mso-height-relative:page;" fillcolor="#C00000" filled="t" stroked="t" coordsize="21600,21600" o:gfxdata="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kt0V3ZAAAACgEAAA8AAAAAAAAAAQAgAAAA&#10;IgAAAGRycy9kb3ducmV2LnhtbFBLAQIUABQAAAAIAIdO4kAYEkQdfAIAAA4FAAAOAAAAAAAAAAEA&#10;IAAAACgBAABkcnMvZTJvRG9jLnhtbFBLBQYAAAAABgAGAFkBAAAWBgAAAAA=&#10;">
                <v:fill on="t" focussize="0,0"/>
                <v:stroke weight="2pt" color="#29486E" joinstyle="round"/>
                <v:imagedata o:title=""/>
                <o:lock v:ext="edit" aspectratio="f"/>
              </v:rect>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6242050</wp:posOffset>
                </wp:positionH>
                <wp:positionV relativeFrom="paragraph">
                  <wp:posOffset>1026160</wp:posOffset>
                </wp:positionV>
                <wp:extent cx="314325" cy="247650"/>
                <wp:effectExtent l="12700" t="12700" r="15875" b="25400"/>
                <wp:wrapNone/>
                <wp:docPr id="44" name="矩形 33"/>
                <wp:cNvGraphicFramePr/>
                <a:graphic xmlns:a="http://schemas.openxmlformats.org/drawingml/2006/main">
                  <a:graphicData uri="http://schemas.microsoft.com/office/word/2010/wordprocessingShape">
                    <wps:wsp>
                      <wps:cNvSpPr/>
                      <wps:spPr>
                        <a:xfrm>
                          <a:off x="7156450" y="2169160"/>
                          <a:ext cx="314325" cy="247650"/>
                        </a:xfrm>
                        <a:prstGeom prst="rect">
                          <a:avLst/>
                        </a:prstGeom>
                        <a:solidFill>
                          <a:srgbClr val="C00000"/>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3" o:spid="_x0000_s1026" o:spt="1" style="position:absolute;left:0pt;margin-left:491.5pt;margin-top:80.8pt;height:19.5pt;width:24.75pt;z-index:251703296;v-text-anchor:middle;mso-width-relative:page;mso-height-relative:page;" fillcolor="#C00000" filled="t" stroked="t" coordsize="21600,21600" o:gfxdata="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9ZthfZAAAADAEAAA8A&#10;AAAAAAAAAQAgAAAAIgAAAGRycy9kb3ducmV2LnhtbFBLAQIUABQAAAAIAIdO4kD30DJxiAIAABoF&#10;AAAOAAAAAAAAAAEAIAAAACgBAABkcnMvZTJvRG9jLnhtbFBLBQYAAAAABgAGAFkBAAAiBgAAAAA=&#10;">
                <v:fill on="t" focussize="0,0"/>
                <v:stroke weight="2pt" color="#29486E" joinstyle="round"/>
                <v:imagedata o:title=""/>
                <o:lock v:ext="edit" aspectratio="f"/>
              </v:rect>
            </w:pict>
          </mc:Fallback>
        </mc:AlternateContent>
      </w:r>
      <w:r>
        <w:rPr>
          <w:sz w:val="21"/>
        </w:rPr>
        <w:drawing>
          <wp:inline distT="0" distB="0" distL="114300" distR="114300">
            <wp:extent cx="8058150" cy="2867025"/>
            <wp:effectExtent l="0" t="0" r="0" b="9525"/>
            <wp:docPr id="101" name="图片 32" descr="169571479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descr="1695714791327"/>
                    <pic:cNvPicPr>
                      <a:picLocks noChangeAspect="1"/>
                    </pic:cNvPicPr>
                  </pic:nvPicPr>
                  <pic:blipFill>
                    <a:blip r:embed="rId41"/>
                    <a:stretch>
                      <a:fillRect/>
                    </a:stretch>
                  </pic:blipFill>
                  <pic:spPr>
                    <a:xfrm>
                      <a:off x="0" y="0"/>
                      <a:ext cx="8058150" cy="2867025"/>
                    </a:xfrm>
                    <a:prstGeom prst="rect">
                      <a:avLst/>
                    </a:prstGeom>
                    <a:noFill/>
                    <a:ln>
                      <a:noFill/>
                    </a:ln>
                  </pic:spPr>
                </pic:pic>
              </a:graphicData>
            </a:graphic>
          </wp:inline>
        </w:drawing>
      </w:r>
      <w:r>
        <w:rPr>
          <w:sz w:val="21"/>
        </w:rPr>
        <mc:AlternateContent>
          <mc:Choice Requires="wps">
            <w:drawing>
              <wp:anchor distT="0" distB="0" distL="114300" distR="114300" simplePos="0" relativeHeight="251702272" behindDoc="0" locked="0" layoutInCell="1" allowOverlap="1">
                <wp:simplePos x="0" y="0"/>
                <wp:positionH relativeFrom="column">
                  <wp:posOffset>7839710</wp:posOffset>
                </wp:positionH>
                <wp:positionV relativeFrom="paragraph">
                  <wp:posOffset>-167005</wp:posOffset>
                </wp:positionV>
                <wp:extent cx="1012190" cy="1107440"/>
                <wp:effectExtent l="0" t="47625" r="0" b="0"/>
                <wp:wrapNone/>
                <wp:docPr id="43" name="矩形 3"/>
                <wp:cNvGraphicFramePr/>
                <a:graphic xmlns:a="http://schemas.openxmlformats.org/drawingml/2006/main">
                  <a:graphicData uri="http://schemas.microsoft.com/office/word/2010/wordprocessingShape">
                    <wps:wsp>
                      <wps:cNvSpPr/>
                      <wps:spPr>
                        <a:xfrm rot="18240000">
                          <a:off x="8757285" y="979170"/>
                          <a:ext cx="1012190" cy="1107440"/>
                        </a:xfrm>
                        <a:prstGeom prst="rect">
                          <a:avLst/>
                        </a:prstGeom>
                        <a:noFill/>
                        <a:ln w="25400" cap="flat" cmpd="sng" algn="ctr">
                          <a:noFill/>
                          <a:prstDash val="solid"/>
                        </a:ln>
                        <a:effectLst/>
                      </wps:spPr>
                      <wps:txbx>
                        <w:txbxContent>
                          <w:p>
                            <w:pPr>
                              <w:jc w:val="center"/>
                            </w:pPr>
                            <w:r>
                              <w:rPr>
                                <w:rFonts w:hint="eastAsia" w:eastAsia="宋体"/>
                                <w:lang w:eastAsia="zh-CN"/>
                              </w:rPr>
                              <w:drawing>
                                <wp:inline distT="0" distB="0" distL="114300" distR="114300">
                                  <wp:extent cx="533400" cy="847725"/>
                                  <wp:effectExtent l="0" t="0" r="0" b="9525"/>
                                  <wp:docPr id="100" name="图片 7"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descr="1676530800123"/>
                                          <pic:cNvPicPr>
                                            <a:picLocks noChangeAspect="1"/>
                                          </pic:cNvPicPr>
                                        </pic:nvPicPr>
                                        <pic:blipFill>
                                          <a:blip r:embed="rId39"/>
                                          <a:stretch>
                                            <a:fillRect/>
                                          </a:stretch>
                                        </pic:blipFill>
                                        <pic:spPr>
                                          <a:xfrm>
                                            <a:off x="0" y="0"/>
                                            <a:ext cx="533400"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617.3pt;margin-top:-13.15pt;height:87.2pt;width:79.7pt;rotation:-3670016f;z-index:251702272;v-text-anchor:middle;mso-width-relative:page;mso-height-relative:page;" filled="f" stroked="f" coordsize="21600,21600" o:gfxdata="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n+G39kAAAANAQAADwAAAAAAAAABACAAAAAiAAAAZHJzL2Rvd25y&#10;ZXYueG1sUEsBAhQAFAAAAAgAh07iQLj97FpvAgAAwAQAAA4AAAAAAAAAAQAgAAAAKAEAAGRycy9l&#10;Mm9Eb2MueG1sUEsFBgAAAAAGAAYAWQEAAAkGAAAAAA==&#10;">
                <v:fill on="f" focussize="0,0"/>
                <v:stroke on="f" weight="2pt"/>
                <v:imagedata o:title=""/>
                <o:lock v:ext="edit" aspectratio="f"/>
                <v:textbox>
                  <w:txbxContent>
                    <w:p>
                      <w:pPr>
                        <w:jc w:val="center"/>
                      </w:pPr>
                      <w:r>
                        <w:rPr>
                          <w:rFonts w:hint="eastAsia" w:eastAsia="宋体"/>
                          <w:lang w:eastAsia="zh-CN"/>
                        </w:rPr>
                        <w:drawing>
                          <wp:inline distT="0" distB="0" distL="114300" distR="114300">
                            <wp:extent cx="533400" cy="847725"/>
                            <wp:effectExtent l="0" t="0" r="0" b="9525"/>
                            <wp:docPr id="100" name="图片 7"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descr="1676530800123"/>
                                    <pic:cNvPicPr>
                                      <a:picLocks noChangeAspect="1"/>
                                    </pic:cNvPicPr>
                                  </pic:nvPicPr>
                                  <pic:blipFill>
                                    <a:blip r:embed="rId39"/>
                                    <a:stretch>
                                      <a:fillRect/>
                                    </a:stretch>
                                  </pic:blipFill>
                                  <pic:spPr>
                                    <a:xfrm>
                                      <a:off x="0" y="0"/>
                                      <a:ext cx="533400" cy="847725"/>
                                    </a:xfrm>
                                    <a:prstGeom prst="rect">
                                      <a:avLst/>
                                    </a:prstGeom>
                                    <a:noFill/>
                                    <a:ln>
                                      <a:noFill/>
                                    </a:ln>
                                  </pic:spPr>
                                </pic:pic>
                              </a:graphicData>
                            </a:graphic>
                          </wp:inline>
                        </w:drawing>
                      </w:r>
                    </w:p>
                  </w:txbxContent>
                </v:textbox>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2878455</wp:posOffset>
                </wp:positionH>
                <wp:positionV relativeFrom="paragraph">
                  <wp:posOffset>5145405</wp:posOffset>
                </wp:positionV>
                <wp:extent cx="3810000" cy="285750"/>
                <wp:effectExtent l="0" t="0" r="0" b="0"/>
                <wp:wrapNone/>
                <wp:docPr id="38" name="文本框 2"/>
                <wp:cNvGraphicFramePr/>
                <a:graphic xmlns:a="http://schemas.openxmlformats.org/drawingml/2006/main">
                  <a:graphicData uri="http://schemas.microsoft.com/office/word/2010/wordprocessingShape">
                    <wps:wsp>
                      <wps:cNvSpPr txBox="1"/>
                      <wps:spPr>
                        <a:xfrm>
                          <a:off x="0" y="0"/>
                          <a:ext cx="3810000" cy="285750"/>
                        </a:xfrm>
                        <a:prstGeom prst="rect">
                          <a:avLst/>
                        </a:prstGeom>
                        <a:noFill/>
                        <a:ln w="6350">
                          <a:noFill/>
                        </a:ln>
                        <a:effectLst/>
                      </wps:spPr>
                      <wps:txbx>
                        <w:txbxContent>
                          <w:p>
                            <w:pPr>
                              <w:rPr>
                                <w:sz w:val="24"/>
                                <w:szCs w:val="24"/>
                              </w:rPr>
                            </w:pPr>
                            <w:r>
                              <w:rPr>
                                <w:rFonts w:hint="eastAsia"/>
                                <w:sz w:val="24"/>
                                <w:szCs w:val="24"/>
                              </w:rPr>
                              <w:t>附图2   本项目</w:t>
                            </w:r>
                            <w:r>
                              <w:rPr>
                                <w:rFonts w:hint="eastAsia" w:ascii="宋体" w:hAnsi="宋体"/>
                                <w:sz w:val="24"/>
                                <w:szCs w:val="24"/>
                              </w:rPr>
                              <w:t>平面布置</w:t>
                            </w:r>
                            <w:r>
                              <w:rPr>
                                <w:rFonts w:hint="eastAsia" w:ascii="宋体" w:hAnsi="宋体"/>
                                <w:sz w:val="24"/>
                                <w:szCs w:val="24"/>
                                <w:lang w:val="en-US" w:eastAsia="zh-CN"/>
                              </w:rPr>
                              <w:t>及噪声监测点位</w:t>
                            </w:r>
                            <w:r>
                              <w:rPr>
                                <w:rFonts w:hint="eastAsia" w:ascii="宋体" w:hAnsi="宋体"/>
                                <w:sz w:val="24"/>
                                <w:szCs w:val="24"/>
                              </w:rPr>
                              <w:t>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226.65pt;margin-top:405.15pt;height:22.5pt;width:300pt;z-index:251697152;mso-width-relative:page;mso-height-relative:page;" filled="f" stroked="f" coordsize="21600,21600" o:gfxdata="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A/E92wAAAAwBAAAPAAAAAAAAAAEAIAAA&#10;ACIAAABkcnMvZG93bnJldi54bWxQSwECFAAUAAAACACHTuJAt6Iaf0ICAAB1BAAADgAAAAAAAAAB&#10;ACAAAAAqAQAAZHJzL2Uyb0RvYy54bWxQSwUGAAAAAAYABgBZAQAA3gUAAAAA&#10;">
                <v:fill on="f" focussize="0,0"/>
                <v:stroke on="f" weight="0.5pt"/>
                <v:imagedata o:title=""/>
                <o:lock v:ext="edit" aspectratio="f"/>
                <v:textbox>
                  <w:txbxContent>
                    <w:p>
                      <w:pPr>
                        <w:rPr>
                          <w:sz w:val="24"/>
                          <w:szCs w:val="24"/>
                        </w:rPr>
                      </w:pPr>
                      <w:r>
                        <w:rPr>
                          <w:rFonts w:hint="eastAsia"/>
                          <w:sz w:val="24"/>
                          <w:szCs w:val="24"/>
                        </w:rPr>
                        <w:t>附图2   本项目</w:t>
                      </w:r>
                      <w:r>
                        <w:rPr>
                          <w:rFonts w:hint="eastAsia" w:ascii="宋体" w:hAnsi="宋体"/>
                          <w:sz w:val="24"/>
                          <w:szCs w:val="24"/>
                        </w:rPr>
                        <w:t>平面布置</w:t>
                      </w:r>
                      <w:r>
                        <w:rPr>
                          <w:rFonts w:hint="eastAsia" w:ascii="宋体" w:hAnsi="宋体"/>
                          <w:sz w:val="24"/>
                          <w:szCs w:val="24"/>
                          <w:lang w:val="en-US" w:eastAsia="zh-CN"/>
                        </w:rPr>
                        <w:t>及噪声监测点位</w:t>
                      </w:r>
                      <w:r>
                        <w:rPr>
                          <w:rFonts w:hint="eastAsia" w:ascii="宋体" w:hAnsi="宋体"/>
                          <w:sz w:val="24"/>
                          <w:szCs w:val="24"/>
                        </w:rPr>
                        <w:t>示意图</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361950</wp:posOffset>
                </wp:positionH>
                <wp:positionV relativeFrom="paragraph">
                  <wp:posOffset>3111500</wp:posOffset>
                </wp:positionV>
                <wp:extent cx="1860550" cy="1733550"/>
                <wp:effectExtent l="12700" t="12700" r="12700" b="25400"/>
                <wp:wrapNone/>
                <wp:docPr id="42" name="矩形 26"/>
                <wp:cNvGraphicFramePr/>
                <a:graphic xmlns:a="http://schemas.openxmlformats.org/drawingml/2006/main">
                  <a:graphicData uri="http://schemas.microsoft.com/office/word/2010/wordprocessingShape">
                    <wps:wsp>
                      <wps:cNvSpPr/>
                      <wps:spPr>
                        <a:xfrm>
                          <a:off x="0" y="0"/>
                          <a:ext cx="1860550" cy="1733550"/>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8.5pt;margin-top:245pt;height:136.5pt;width:146.5pt;z-index:251701248;v-text-anchor:middle;mso-width-relative:page;mso-height-relative:page;" filled="f" stroked="t" coordsize="21600,21600" o:gfxdata="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e516NkAAAAKAQAADwAAAAAAAAABACAAAAAiAAAAZHJzL2Rvd25yZXYueG1sUEsBAhQA&#10;FAAAAAgAh07iQDjdhNVjAgAAxQQAAA4AAAAAAAAAAQAgAAAAKAEAAGRycy9lMm9Eb2MueG1sUEsF&#10;BgAAAAAGAAYAWQEAAP0FAAAAAA==&#10;">
                <v:fill on="f" focussize="0,0"/>
                <v:stroke weight="2pt" color="#000000" joinstyle="round"/>
                <v:imagedata o:title=""/>
                <o:lock v:ext="edit" aspectratio="f"/>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901700</wp:posOffset>
                </wp:positionH>
                <wp:positionV relativeFrom="paragraph">
                  <wp:posOffset>3244850</wp:posOffset>
                </wp:positionV>
                <wp:extent cx="685800" cy="292100"/>
                <wp:effectExtent l="0" t="0" r="0" b="0"/>
                <wp:wrapNone/>
                <wp:docPr id="41" name="文本框 25"/>
                <wp:cNvGraphicFramePr/>
                <a:graphic xmlns:a="http://schemas.openxmlformats.org/drawingml/2006/main">
                  <a:graphicData uri="http://schemas.microsoft.com/office/word/2010/wordprocessingShape">
                    <wps:wsp>
                      <wps:cNvSpPr txBox="1"/>
                      <wps:spPr>
                        <a:xfrm>
                          <a:off x="0" y="0"/>
                          <a:ext cx="685800" cy="292100"/>
                        </a:xfrm>
                        <a:prstGeom prst="rect">
                          <a:avLst/>
                        </a:prstGeom>
                        <a:noFill/>
                        <a:ln w="6350">
                          <a:noFill/>
                        </a:ln>
                        <a:effectLst/>
                      </wps:spPr>
                      <wps:txbx>
                        <w:txbxContent>
                          <w:p>
                            <w:pPr>
                              <w:rPr>
                                <w:color w:val="000000"/>
                                <w:highlight w:val="none"/>
                              </w:rPr>
                            </w:pPr>
                            <w:r>
                              <w:rPr>
                                <w:rFonts w:hint="eastAsia"/>
                                <w:color w:val="000000"/>
                                <w:highlight w:val="none"/>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71pt;margin-top:255.5pt;height:23pt;width:54pt;z-index:251700224;mso-width-relative:page;mso-height-relative:page;" filled="f" stroked="f" coordsize="21600,21600" o:gfxdata="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rEtSdgAAAALAQAADwAAAAAAAAABACAAAAAiAAAA&#10;ZHJzL2Rvd25yZXYueG1sUEsBAhQAFAAAAAgAh07iQIyiPHZAAgAAdQQAAA4AAAAAAAAAAQAgAAAA&#10;JwEAAGRycy9lMm9Eb2MueG1sUEsFBgAAAAAGAAYAWQEAANkFAAAAAA==&#10;">
                <v:fill on="f" focussize="0,0"/>
                <v:stroke on="f" weight="0.5pt"/>
                <v:imagedata o:title=""/>
                <o:lock v:ext="edit" aspectratio="f"/>
                <v:textbox>
                  <w:txbxContent>
                    <w:p>
                      <w:pPr>
                        <w:rPr>
                          <w:color w:val="000000"/>
                          <w:highlight w:val="none"/>
                        </w:rPr>
                      </w:pPr>
                      <w:r>
                        <w:rPr>
                          <w:rFonts w:hint="eastAsia"/>
                          <w:color w:val="000000"/>
                          <w:highlight w:val="none"/>
                        </w:rPr>
                        <w:t>图例</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1092200</wp:posOffset>
                </wp:positionH>
                <wp:positionV relativeFrom="paragraph">
                  <wp:posOffset>4032250</wp:posOffset>
                </wp:positionV>
                <wp:extent cx="927100" cy="292100"/>
                <wp:effectExtent l="0" t="0" r="0" b="0"/>
                <wp:wrapNone/>
                <wp:docPr id="40" name="文本框 14"/>
                <wp:cNvGraphicFramePr/>
                <a:graphic xmlns:a="http://schemas.openxmlformats.org/drawingml/2006/main">
                  <a:graphicData uri="http://schemas.microsoft.com/office/word/2010/wordprocessingShape">
                    <wps:wsp>
                      <wps:cNvSpPr txBox="1"/>
                      <wps:spPr>
                        <a:xfrm>
                          <a:off x="0" y="0"/>
                          <a:ext cx="927100" cy="292100"/>
                        </a:xfrm>
                        <a:prstGeom prst="rect">
                          <a:avLst/>
                        </a:prstGeom>
                        <a:noFill/>
                        <a:ln w="6350">
                          <a:noFill/>
                        </a:ln>
                        <a:effectLst/>
                      </wps:spPr>
                      <wps:txbx>
                        <w:txbxContent>
                          <w:p>
                            <w:pPr>
                              <w:rPr>
                                <w:rFonts w:hint="default" w:eastAsia="宋体"/>
                                <w:color w:val="FF0000"/>
                                <w:highlight w:val="none"/>
                                <w:lang w:val="en-US" w:eastAsia="zh-CN"/>
                              </w:rPr>
                            </w:pPr>
                            <w:r>
                              <w:rPr>
                                <w:rFonts w:hint="eastAsia"/>
                                <w:color w:val="FF0000"/>
                                <w:highlight w:val="none"/>
                                <w:lang w:val="en-US" w:eastAsia="zh-CN"/>
                              </w:rPr>
                              <w:t>蒸汽管道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86pt;margin-top:317.5pt;height:23pt;width:73pt;z-index:251699200;mso-width-relative:page;mso-height-relative:page;" filled="f" stroked="f" coordsize="21600,21600" o:gfxdata="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LB06fZAAAACwEAAA8AAAAAAAAAAQAgAAAAIgAA&#10;AGRycy9kb3ducmV2LnhtbFBLAQIUABQAAAAIAIdO4kARCDaWQAIAAHUEAAAOAAAAAAAAAAEAIAAA&#10;ACgBAABkcnMvZTJvRG9jLnhtbFBLBQYAAAAABgAGAFkBAADaBQAAAAA=&#10;">
                <v:fill on="f" focussize="0,0"/>
                <v:stroke on="f" weight="0.5pt"/>
                <v:imagedata o:title=""/>
                <o:lock v:ext="edit" aspectratio="f"/>
                <v:textbox>
                  <w:txbxContent>
                    <w:p>
                      <w:pPr>
                        <w:rPr>
                          <w:rFonts w:hint="default" w:eastAsia="宋体"/>
                          <w:color w:val="FF0000"/>
                          <w:highlight w:val="none"/>
                          <w:lang w:val="en-US" w:eastAsia="zh-CN"/>
                        </w:rPr>
                      </w:pPr>
                      <w:r>
                        <w:rPr>
                          <w:rFonts w:hint="eastAsia"/>
                          <w:color w:val="FF0000"/>
                          <w:highlight w:val="none"/>
                          <w:lang w:val="en-US" w:eastAsia="zh-CN"/>
                        </w:rPr>
                        <w:t>蒸汽管道</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1092200</wp:posOffset>
                </wp:positionH>
                <wp:positionV relativeFrom="paragraph">
                  <wp:posOffset>3702050</wp:posOffset>
                </wp:positionV>
                <wp:extent cx="927100" cy="292100"/>
                <wp:effectExtent l="0" t="0" r="0" b="0"/>
                <wp:wrapNone/>
                <wp:docPr id="39" name="文本框 5"/>
                <wp:cNvGraphicFramePr/>
                <a:graphic xmlns:a="http://schemas.openxmlformats.org/drawingml/2006/main">
                  <a:graphicData uri="http://schemas.microsoft.com/office/word/2010/wordprocessingShape">
                    <wps:wsp>
                      <wps:cNvSpPr txBox="1"/>
                      <wps:spPr>
                        <a:xfrm>
                          <a:off x="0" y="0"/>
                          <a:ext cx="927100" cy="292100"/>
                        </a:xfrm>
                        <a:prstGeom prst="rect">
                          <a:avLst/>
                        </a:prstGeom>
                        <a:noFill/>
                        <a:ln w="6350">
                          <a:noFill/>
                        </a:ln>
                        <a:effectLst/>
                      </wps:spPr>
                      <wps:txbx>
                        <w:txbxContent>
                          <w:p>
                            <w:pPr>
                              <w:rPr>
                                <w:rFonts w:hint="eastAsia" w:eastAsia="宋体"/>
                                <w:color w:val="FF0000"/>
                                <w:highlight w:val="none"/>
                                <w:lang w:val="en-US" w:eastAsia="zh-CN"/>
                              </w:rPr>
                            </w:pPr>
                            <w:r>
                              <w:rPr>
                                <w:rFonts w:hint="eastAsia"/>
                                <w:color w:val="FF0000"/>
                                <w:highlight w:val="none"/>
                                <w:lang w:val="en-US" w:eastAsia="zh-CN"/>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86pt;margin-top:291.5pt;height:23pt;width:73pt;z-index:251698176;mso-width-relative:page;mso-height-relative:page;" filled="f" stroked="f" coordsize="21600,21600" o:gfxdata="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QSgNsAAAALAQAADwAAAAAAAAABACAAAAAi&#10;AAAAZHJzL2Rvd25yZXYueG1sUEsBAhQAFAAAAAgAh07iQJM+n81AAgAAdAQAAA4AAAAAAAAAAQAg&#10;AAAAKgEAAGRycy9lMm9Eb2MueG1sUEsFBgAAAAAGAAYAWQEAANwFAAAAAA==&#10;">
                <v:fill on="f" focussize="0,0"/>
                <v:stroke on="f" weight="0.5pt"/>
                <v:imagedata o:title=""/>
                <o:lock v:ext="edit" aspectratio="f"/>
                <v:textbox>
                  <w:txbxContent>
                    <w:p>
                      <w:pPr>
                        <w:rPr>
                          <w:rFonts w:hint="eastAsia" w:eastAsia="宋体"/>
                          <w:color w:val="FF0000"/>
                          <w:highlight w:val="none"/>
                          <w:lang w:val="en-US" w:eastAsia="zh-CN"/>
                        </w:rPr>
                      </w:pPr>
                      <w:r>
                        <w:rPr>
                          <w:rFonts w:hint="eastAsia"/>
                          <w:color w:val="FF0000"/>
                          <w:highlight w:val="none"/>
                          <w:lang w:val="en-US" w:eastAsia="zh-CN"/>
                        </w:rPr>
                        <w:t>锅炉房</w:t>
                      </w:r>
                    </w:p>
                  </w:txbxContent>
                </v:textbox>
              </v:shape>
            </w:pict>
          </mc:Fallback>
        </mc:AlternateContent>
      </w:r>
    </w:p>
    <w:p>
      <w:pPr>
        <w:jc w:val="center"/>
        <w:rPr>
          <w:rFonts w:hint="eastAsia" w:eastAsia="宋体"/>
          <w:lang w:eastAsia="zh-CN"/>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sectPr>
          <w:footerReference r:id="rId6" w:type="default"/>
          <w:pgSz w:w="16838" w:h="11906" w:orient="landscape"/>
          <w:pgMar w:top="1531" w:right="1701" w:bottom="1531" w:left="1701" w:header="851" w:footer="851" w:gutter="0"/>
          <w:cols w:space="720" w:num="1"/>
          <w:docGrid w:linePitch="312" w:charSpace="0"/>
        </w:sectPr>
      </w:pPr>
    </w:p>
    <w:p>
      <w:pPr>
        <w:rPr>
          <w:rFonts w:hint="default" w:ascii="宋体" w:hAnsi="宋体" w:eastAsia="宋体" w:cs="宋体"/>
          <w:kern w:val="0"/>
          <w:sz w:val="24"/>
          <w:szCs w:val="24"/>
          <w:lang w:val="en-US" w:eastAsia="zh-CN"/>
        </w:rPr>
      </w:pPr>
      <w:r>
        <w:rPr>
          <w:sz w:val="16"/>
        </w:rPr>
        <mc:AlternateContent>
          <mc:Choice Requires="wps">
            <w:drawing>
              <wp:anchor distT="0" distB="0" distL="114300" distR="114300" simplePos="0" relativeHeight="251707392" behindDoc="0" locked="0" layoutInCell="1" allowOverlap="1">
                <wp:simplePos x="0" y="0"/>
                <wp:positionH relativeFrom="column">
                  <wp:posOffset>527685</wp:posOffset>
                </wp:positionH>
                <wp:positionV relativeFrom="paragraph">
                  <wp:posOffset>1085215</wp:posOffset>
                </wp:positionV>
                <wp:extent cx="752475" cy="438150"/>
                <wp:effectExtent l="4445" t="4445" r="5080" b="14605"/>
                <wp:wrapNone/>
                <wp:docPr id="48" name="椭圆 587"/>
                <wp:cNvGraphicFramePr/>
                <a:graphic xmlns:a="http://schemas.openxmlformats.org/drawingml/2006/main">
                  <a:graphicData uri="http://schemas.microsoft.com/office/word/2010/wordprocessingShape">
                    <wps:wsp>
                      <wps:cNvSpPr/>
                      <wps:spPr>
                        <a:xfrm>
                          <a:off x="0" y="0"/>
                          <a:ext cx="752475" cy="438150"/>
                        </a:xfrm>
                        <a:prstGeom prst="ellipse">
                          <a:avLst/>
                        </a:prstGeom>
                        <a:noFill/>
                        <a:ln w="9525" cap="flat" cmpd="sng">
                          <a:solidFill>
                            <a:srgbClr val="FF0000"/>
                          </a:solidFill>
                          <a:prstDash val="solid"/>
                          <a:headEnd type="none" w="med" len="med"/>
                          <a:tailEnd type="none" w="med" len="med"/>
                        </a:ln>
                      </wps:spPr>
                      <wps:bodyPr wrap="square" upright="1"/>
                    </wps:wsp>
                  </a:graphicData>
                </a:graphic>
              </wp:anchor>
            </w:drawing>
          </mc:Choice>
          <mc:Fallback>
            <w:pict>
              <v:shape id="椭圆 587" o:spid="_x0000_s1026" o:spt="3" type="#_x0000_t3" style="position:absolute;left:0pt;margin-left:41.55pt;margin-top:85.45pt;height:34.5pt;width:59.25pt;z-index:251707392;mso-width-relative:page;mso-height-relative:page;" filled="f" stroked="t" coordsize="21600,21600" o:gfxdata="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yKu6LZAAAACgEAAA8AAAAAAAAAAQAgAAAAIgAAAGRycy9k&#10;b3ducmV2LnhtbFBLAQIUABQAAAAIAIdO4kByLCdgAQIAAP4DAAAOAAAAAAAAAAEAIAAAACgBAABk&#10;cnMvZTJvRG9jLnhtbFBLBQYAAAAABgAGAFkBAACbBQAAAAA=&#10;">
                <v:fill on="f" focussize="0,0"/>
                <v:stroke color="#FF0000" joinstyle="round"/>
                <v:imagedata o:title=""/>
                <o:lock v:ext="edit" aspectratio="f"/>
              </v:shape>
            </w:pict>
          </mc:Fallback>
        </mc:AlternateContent>
      </w:r>
      <w:r>
        <w:rPr>
          <w:rFonts w:ascii="Times New Roman" w:hAnsi="Times New Roman" w:eastAsia="Times New Roman" w:cs="Times New Roman"/>
          <w:color w:val="000000"/>
          <w:kern w:val="0"/>
          <w:sz w:val="16"/>
          <w:szCs w:val="0"/>
        </w:rPr>
        <w:drawing>
          <wp:inline distT="0" distB="0" distL="114300" distR="114300">
            <wp:extent cx="2344420" cy="3125470"/>
            <wp:effectExtent l="0" t="0" r="17780" b="17780"/>
            <wp:docPr id="102" name="图片 2" descr="拟建位置及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拟建位置及西侧"/>
                    <pic:cNvPicPr>
                      <a:picLocks noChangeAspect="1"/>
                    </pic:cNvPicPr>
                  </pic:nvPicPr>
                  <pic:blipFill>
                    <a:blip r:embed="rId42"/>
                    <a:stretch>
                      <a:fillRect/>
                    </a:stretch>
                  </pic:blipFill>
                  <pic:spPr>
                    <a:xfrm>
                      <a:off x="0" y="0"/>
                      <a:ext cx="2344420" cy="3125470"/>
                    </a:xfrm>
                    <a:prstGeom prst="rect">
                      <a:avLst/>
                    </a:prstGeom>
                    <a:noFill/>
                    <a:ln>
                      <a:noFill/>
                    </a:ln>
                  </pic:spPr>
                </pic:pic>
              </a:graphicData>
            </a:graphic>
          </wp:inline>
        </w:drawing>
      </w:r>
      <w:r>
        <w:rPr>
          <w:rFonts w:hint="eastAsia" w:ascii="Times New Roman" w:hAnsi="Times New Roman" w:eastAsia="宋体" w:cs="Times New Roman"/>
          <w:color w:val="000000"/>
          <w:kern w:val="0"/>
          <w:sz w:val="16"/>
          <w:szCs w:val="0"/>
          <w:lang w:val="en-US" w:eastAsia="zh-CN"/>
        </w:rPr>
        <w:t xml:space="preserve">   </w:t>
      </w:r>
      <w:r>
        <w:rPr>
          <w:rFonts w:hint="default" w:ascii="宋体" w:hAnsi="宋体" w:eastAsia="宋体" w:cs="宋体"/>
          <w:kern w:val="0"/>
          <w:sz w:val="24"/>
          <w:szCs w:val="24"/>
          <w:lang w:val="en-US" w:eastAsia="zh-CN"/>
        </w:rPr>
        <w:drawing>
          <wp:inline distT="0" distB="0" distL="114300" distR="114300">
            <wp:extent cx="2494280" cy="1871980"/>
            <wp:effectExtent l="0" t="0" r="1270" b="13970"/>
            <wp:docPr id="103" name="图片 3"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descr="北"/>
                    <pic:cNvPicPr>
                      <a:picLocks noChangeAspect="1"/>
                    </pic:cNvPicPr>
                  </pic:nvPicPr>
                  <pic:blipFill>
                    <a:blip r:embed="rId43"/>
                    <a:stretch>
                      <a:fillRect/>
                    </a:stretch>
                  </pic:blipFill>
                  <pic:spPr>
                    <a:xfrm>
                      <a:off x="0" y="0"/>
                      <a:ext cx="2494280" cy="1871980"/>
                    </a:xfrm>
                    <a:prstGeom prst="rect">
                      <a:avLst/>
                    </a:prstGeom>
                    <a:noFill/>
                    <a:ln>
                      <a:noFill/>
                    </a:ln>
                  </pic:spPr>
                </pic:pic>
              </a:graphicData>
            </a:graphic>
          </wp:inline>
        </w:drawing>
      </w:r>
    </w:p>
    <w:p>
      <w:pPr>
        <w:rPr>
          <w:rFonts w:ascii="宋体" w:hAnsi="宋体" w:eastAsia="宋体" w:cs="宋体"/>
          <w:kern w:val="0"/>
          <w:sz w:val="24"/>
          <w:szCs w:val="24"/>
        </w:rPr>
      </w:pPr>
    </w:p>
    <w:p>
      <w:pPr>
        <w:widowControl/>
        <w:ind w:firstLine="720" w:firstLineChars="3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锅炉拟建位置及西侧               锅炉拟建位置北侧</w:t>
      </w:r>
    </w:p>
    <w:p>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eastAsia="宋体"/>
          <w:lang w:val="en-US" w:eastAsia="zh-CN"/>
        </w:rPr>
      </w:pPr>
      <w:r>
        <w:drawing>
          <wp:inline distT="0" distB="0" distL="114300" distR="114300">
            <wp:extent cx="2712085" cy="2035810"/>
            <wp:effectExtent l="0" t="0" r="12065" b="2540"/>
            <wp:docPr id="104" name="图片 5"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descr="南"/>
                    <pic:cNvPicPr>
                      <a:picLocks noChangeAspect="1"/>
                    </pic:cNvPicPr>
                  </pic:nvPicPr>
                  <pic:blipFill>
                    <a:blip r:embed="rId44"/>
                    <a:stretch>
                      <a:fillRect/>
                    </a:stretch>
                  </pic:blipFill>
                  <pic:spPr>
                    <a:xfrm>
                      <a:off x="0" y="0"/>
                      <a:ext cx="2712085" cy="2035810"/>
                    </a:xfrm>
                    <a:prstGeom prst="rect">
                      <a:avLst/>
                    </a:prstGeom>
                    <a:noFill/>
                    <a:ln>
                      <a:noFill/>
                    </a:ln>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235835" cy="2980055"/>
            <wp:effectExtent l="0" t="0" r="12065" b="10795"/>
            <wp:docPr id="105" name="图片 6" descr="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东侧"/>
                    <pic:cNvPicPr>
                      <a:picLocks noChangeAspect="1"/>
                    </pic:cNvPicPr>
                  </pic:nvPicPr>
                  <pic:blipFill>
                    <a:blip r:embed="rId45"/>
                    <a:stretch>
                      <a:fillRect/>
                    </a:stretch>
                  </pic:blipFill>
                  <pic:spPr>
                    <a:xfrm>
                      <a:off x="0" y="0"/>
                      <a:ext cx="2235835" cy="29800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720" w:firstLineChars="3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锅炉拟建位置南侧</w:t>
      </w:r>
      <w:r>
        <mc:AlternateContent>
          <mc:Choice Requires="wps">
            <w:drawing>
              <wp:anchor distT="0" distB="0" distL="114300" distR="114300" simplePos="0" relativeHeight="251706368" behindDoc="0" locked="0" layoutInCell="1" allowOverlap="1">
                <wp:simplePos x="0" y="0"/>
                <wp:positionH relativeFrom="column">
                  <wp:posOffset>1246505</wp:posOffset>
                </wp:positionH>
                <wp:positionV relativeFrom="paragraph">
                  <wp:posOffset>6919595</wp:posOffset>
                </wp:positionV>
                <wp:extent cx="3122930" cy="319405"/>
                <wp:effectExtent l="4445" t="4445" r="15875" b="19050"/>
                <wp:wrapNone/>
                <wp:docPr id="47" name="文本框 588"/>
                <wp:cNvGraphicFramePr/>
                <a:graphic xmlns:a="http://schemas.openxmlformats.org/drawingml/2006/main">
                  <a:graphicData uri="http://schemas.microsoft.com/office/word/2010/wordprocessingShape">
                    <wps:wsp>
                      <wps:cNvSpPr txBox="1"/>
                      <wps:spPr>
                        <a:xfrm>
                          <a:off x="0" y="0"/>
                          <a:ext cx="3122930" cy="319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24"/>
                                <w:szCs w:val="24"/>
                              </w:rPr>
                            </w:pPr>
                            <w:r>
                              <w:rPr>
                                <w:rFonts w:hint="eastAsia" w:ascii="宋体" w:hAnsi="宋体"/>
                                <w:sz w:val="24"/>
                                <w:szCs w:val="24"/>
                              </w:rPr>
                              <w:t>附图3   养殖场周围环境情况照片</w:t>
                            </w:r>
                          </w:p>
                        </w:txbxContent>
                      </wps:txbx>
                      <wps:bodyPr wrap="square" upright="1"/>
                    </wps:wsp>
                  </a:graphicData>
                </a:graphic>
              </wp:anchor>
            </w:drawing>
          </mc:Choice>
          <mc:Fallback>
            <w:pict>
              <v:shape id="文本框 588" o:spid="_x0000_s1026" o:spt="202" type="#_x0000_t202" style="position:absolute;left:0pt;margin-left:98.15pt;margin-top:544.85pt;height:25.15pt;width:245.9pt;z-index:251706368;mso-width-relative:page;mso-height-relative:page;" fillcolor="#FFFFFF" filled="t" stroked="t" coordsize="21600,21600" o:gfxdata="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U4/e2gAAAA0BAAAPAAAA&#10;AAAAAAEAIAAAACIAAABkcnMvZG93bnJldi54bWxQSwECFAAUAAAACACHTuJAwMhtDxMCAABHBAAA&#10;DgAAAAAAAAABACAAAAApAQAAZHJzL2Uyb0RvYy54bWxQSwUGAAAAAAYABgBZAQAArgUAAAAA&#10;">
                <v:fill on="t" focussize="0,0"/>
                <v:stroke color="#FFFFFF" joinstyle="miter"/>
                <v:imagedata o:title=""/>
                <o:lock v:ext="edit" aspectratio="f"/>
                <v:textbox>
                  <w:txbxContent>
                    <w:p>
                      <w:pPr>
                        <w:rPr>
                          <w:rFonts w:ascii="宋体" w:hAnsi="宋体"/>
                          <w:sz w:val="24"/>
                          <w:szCs w:val="24"/>
                        </w:rPr>
                      </w:pPr>
                      <w:r>
                        <w:rPr>
                          <w:rFonts w:hint="eastAsia" w:ascii="宋体" w:hAnsi="宋体"/>
                          <w:sz w:val="24"/>
                          <w:szCs w:val="24"/>
                        </w:rPr>
                        <w:t>附图3   养殖场周围环境情况照片</w:t>
                      </w:r>
                    </w:p>
                  </w:txbxContent>
                </v:textbox>
              </v:shape>
            </w:pict>
          </mc:Fallback>
        </mc:AlternateContent>
      </w:r>
      <w:r>
        <w:rPr>
          <w:rFonts w:hint="eastAsia" w:ascii="宋体" w:hAnsi="宋体" w:eastAsia="宋体" w:cs="宋体"/>
          <w:kern w:val="0"/>
          <w:sz w:val="24"/>
          <w:szCs w:val="24"/>
          <w:lang w:val="en-US" w:eastAsia="zh-CN"/>
        </w:rPr>
        <w:t xml:space="preserve">                     锅炉拟建位置东侧</w:t>
      </w:r>
    </w:p>
    <w:p>
      <w:pPr>
        <w:keepNext w:val="0"/>
        <w:keepLines w:val="0"/>
        <w:pageBreakBefore w:val="0"/>
        <w:widowControl/>
        <w:kinsoku/>
        <w:wordWrap/>
        <w:overflowPunct/>
        <w:topLinePunct w:val="0"/>
        <w:autoSpaceDE/>
        <w:autoSpaceDN/>
        <w:bidi w:val="0"/>
        <w:adjustRightInd/>
        <w:snapToGrid/>
        <w:ind w:firstLine="720" w:firstLineChars="300"/>
        <w:jc w:val="left"/>
        <w:textAlignment w:val="auto"/>
        <w:rPr>
          <w:rFonts w:hint="eastAsia" w:ascii="宋体" w:hAnsi="宋体" w:eastAsia="宋体" w:cs="宋体"/>
          <w:kern w:val="0"/>
          <w:sz w:val="24"/>
          <w:szCs w:val="24"/>
          <w:lang w:val="en-US" w:eastAsia="zh-CN"/>
        </w:rPr>
      </w:pPr>
    </w:p>
    <w:p>
      <w:pPr>
        <w:keepNext w:val="0"/>
        <w:keepLines w:val="0"/>
        <w:pageBreakBefore w:val="0"/>
        <w:widowControl/>
        <w:kinsoku/>
        <w:wordWrap/>
        <w:overflowPunct/>
        <w:topLinePunct w:val="0"/>
        <w:autoSpaceDE/>
        <w:autoSpaceDN/>
        <w:bidi w:val="0"/>
        <w:adjustRightInd/>
        <w:snapToGrid/>
        <w:ind w:firstLine="720" w:firstLineChars="300"/>
        <w:jc w:val="left"/>
        <w:textAlignment w:val="auto"/>
        <w:rPr>
          <w:rFonts w:hint="eastAsia" w:ascii="宋体" w:hAnsi="宋体" w:eastAsia="宋体" w:cs="宋体"/>
          <w:kern w:val="0"/>
          <w:sz w:val="24"/>
          <w:szCs w:val="24"/>
          <w:lang w:val="en-US" w:eastAsia="zh-CN"/>
        </w:rPr>
      </w:pPr>
    </w:p>
    <w:p>
      <w:pPr>
        <w:keepNext w:val="0"/>
        <w:keepLines w:val="0"/>
        <w:pageBreakBefore w:val="0"/>
        <w:widowControl/>
        <w:kinsoku/>
        <w:wordWrap/>
        <w:overflowPunct/>
        <w:topLinePunct w:val="0"/>
        <w:autoSpaceDE/>
        <w:autoSpaceDN/>
        <w:bidi w:val="0"/>
        <w:adjustRightInd/>
        <w:snapToGrid/>
        <w:ind w:firstLine="720" w:firstLineChars="300"/>
        <w:jc w:val="left"/>
        <w:textAlignment w:val="auto"/>
        <w:rPr>
          <w:rFonts w:hint="eastAsia" w:ascii="宋体" w:hAnsi="宋体" w:eastAsia="宋体" w:cs="宋体"/>
          <w:kern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ind w:firstLine="2880" w:firstLineChars="1200"/>
        <w:jc w:val="left"/>
        <w:textAlignment w:val="auto"/>
        <w:rPr>
          <w:rFonts w:hint="default" w:ascii="宋体" w:hAnsi="宋体" w:eastAsia="宋体" w:cs="宋体"/>
          <w:kern w:val="0"/>
          <w:sz w:val="24"/>
          <w:szCs w:val="24"/>
          <w:highlight w:val="none"/>
          <w:lang w:val="en-US" w:eastAsia="zh-CN"/>
        </w:rPr>
      </w:pPr>
      <w:r>
        <w:rPr>
          <w:rFonts w:hint="eastAsia" w:ascii="宋体" w:hAnsi="宋体"/>
          <w:sz w:val="24"/>
          <w:highlight w:val="none"/>
        </w:rPr>
        <w:t>附图3</w:t>
      </w:r>
      <w:r>
        <w:rPr>
          <w:rFonts w:hint="eastAsia" w:ascii="宋体" w:hAnsi="宋体"/>
          <w:sz w:val="24"/>
          <w:highlight w:val="none"/>
          <w:lang w:val="en-US" w:eastAsia="zh-CN"/>
        </w:rPr>
        <w:t xml:space="preserve">   项目</w:t>
      </w:r>
      <w:r>
        <w:rPr>
          <w:rFonts w:hint="eastAsia" w:ascii="宋体" w:hAnsi="宋体"/>
          <w:sz w:val="24"/>
          <w:highlight w:val="none"/>
        </w:rPr>
        <w:t>周围环境现状照片</w:t>
      </w:r>
    </w:p>
    <w:p>
      <w:pPr>
        <w:rPr>
          <w:rFonts w:ascii="Times New Roman"/>
          <w:snapToGrid w:val="0"/>
          <w:spacing w:val="-6"/>
          <w:kern w:val="21"/>
          <w:szCs w:val="21"/>
          <w:highlight w:val="none"/>
        </w:rPr>
        <w:sectPr>
          <w:pgSz w:w="11906" w:h="16838"/>
          <w:pgMar w:top="1701" w:right="1531" w:bottom="1701" w:left="1531" w:header="851" w:footer="851" w:gutter="0"/>
          <w:cols w:space="720" w:num="1"/>
          <w:docGrid w:linePitch="312" w:charSpace="0"/>
        </w:sectPr>
      </w:pPr>
    </w:p>
    <w:p>
      <w:pPr>
        <w:jc w:val="center"/>
      </w:pPr>
      <w:r>
        <w:rPr>
          <w:rFonts w:hint="eastAsia" w:eastAsia="仿宋"/>
        </w:rPr>
        <mc:AlternateContent>
          <mc:Choice Requires="wps">
            <w:drawing>
              <wp:anchor distT="0" distB="0" distL="114300" distR="114300" simplePos="0" relativeHeight="251712512" behindDoc="0" locked="0" layoutInCell="1" allowOverlap="1">
                <wp:simplePos x="0" y="0"/>
                <wp:positionH relativeFrom="column">
                  <wp:posOffset>1370965</wp:posOffset>
                </wp:positionH>
                <wp:positionV relativeFrom="paragraph">
                  <wp:posOffset>2585720</wp:posOffset>
                </wp:positionV>
                <wp:extent cx="66675" cy="90170"/>
                <wp:effectExtent l="12700" t="12700" r="15875" b="30480"/>
                <wp:wrapNone/>
                <wp:docPr id="53" name="椭圆 8"/>
                <wp:cNvGraphicFramePr/>
                <a:graphic xmlns:a="http://schemas.openxmlformats.org/drawingml/2006/main">
                  <a:graphicData uri="http://schemas.microsoft.com/office/word/2010/wordprocessingShape">
                    <wps:wsp>
                      <wps:cNvSpPr/>
                      <wps:spPr>
                        <a:xfrm>
                          <a:off x="0" y="0"/>
                          <a:ext cx="66675" cy="9017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8" o:spid="_x0000_s1026" o:spt="3" type="#_x0000_t3" style="position:absolute;left:0pt;margin-left:107.95pt;margin-top:203.6pt;height:7.1pt;width:5.25pt;z-index:251712512;v-text-anchor:middle;mso-width-relative:page;mso-height-relative:page;" fillcolor="#FF0000" filled="t" stroked="t" coordsize="21600,21600" o:gfxdata="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BXDjnXAAAACwEAAA8AAAAAAAAAAQAgAAAAIgAAAGRycy9kb3ducmV2LnhtbFBL&#10;AQIUABQAAAAIAIdO4kA/QksFaQIAAOwEAAAOAAAAAAAAAAEAIAAAACYBAABkcnMvZTJvRG9jLnht&#10;bFBLBQYAAAAABgAGAFkBAAABBgAAAAA=&#10;">
                <v:fill on="t" focussize="0,0"/>
                <v:stroke weight="2pt" color="#FF0000" joinstyle="round"/>
                <v:imagedata o:title=""/>
                <o:lock v:ext="edit" aspectratio="f"/>
              </v:shape>
            </w:pict>
          </mc:Fallback>
        </mc:AlternateContent>
      </w:r>
      <w:r>
        <w:rPr>
          <w:rFonts w:hint="eastAsia" w:eastAsia="仿宋"/>
        </w:rPr>
        <mc:AlternateContent>
          <mc:Choice Requires="wps">
            <w:drawing>
              <wp:anchor distT="0" distB="0" distL="114300" distR="114300" simplePos="0" relativeHeight="251711488" behindDoc="0" locked="0" layoutInCell="1" allowOverlap="1">
                <wp:simplePos x="0" y="0"/>
                <wp:positionH relativeFrom="column">
                  <wp:posOffset>787400</wp:posOffset>
                </wp:positionH>
                <wp:positionV relativeFrom="paragraph">
                  <wp:posOffset>724535</wp:posOffset>
                </wp:positionV>
                <wp:extent cx="1043305" cy="290830"/>
                <wp:effectExtent l="6350" t="6350" r="17145" b="45720"/>
                <wp:wrapNone/>
                <wp:docPr id="52" name="圆角矩形标注 3"/>
                <wp:cNvGraphicFramePr/>
                <a:graphic xmlns:a="http://schemas.openxmlformats.org/drawingml/2006/main">
                  <a:graphicData uri="http://schemas.microsoft.com/office/word/2010/wordprocessingShape">
                    <wps:wsp>
                      <wps:cNvSpPr/>
                      <wps:spPr>
                        <a:xfrm>
                          <a:off x="0" y="0"/>
                          <a:ext cx="1043305" cy="290830"/>
                        </a:xfrm>
                        <a:prstGeom prst="wedgeRoundRectCallout">
                          <a:avLst/>
                        </a:prstGeom>
                        <a:noFill/>
                        <a:ln w="12700" cap="flat" cmpd="sng" algn="ctr">
                          <a:solidFill>
                            <a:srgbClr val="FF0000"/>
                          </a:solidFill>
                          <a:prstDash val="solid"/>
                        </a:ln>
                        <a:effectLst/>
                      </wps:spPr>
                      <wps:txbx>
                        <w:txbxContent>
                          <w:p>
                            <w:pPr>
                              <w:jc w:val="center"/>
                              <w:rPr>
                                <w:color w:val="000000"/>
                                <w:sz w:val="18"/>
                                <w:szCs w:val="18"/>
                              </w:rPr>
                            </w:pPr>
                            <w:r>
                              <w:rPr>
                                <w:rFonts w:hint="eastAsia"/>
                                <w:color w:val="000000"/>
                                <w:sz w:val="18"/>
                                <w:szCs w:val="18"/>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3" o:spid="_x0000_s1026" o:spt="62" type="#_x0000_t62" style="position:absolute;left:0pt;margin-left:62pt;margin-top:57.05pt;height:22.9pt;width:82.15pt;z-index:251711488;v-text-anchor:middle;mso-width-relative:page;mso-height-relative:page;" filled="f" stroked="t" coordsize="21600,21600" o:gfxdata="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5RHogNkA&#10;AAALAQAADwAAAAAAAAABACAAAAAiAAAAZHJzL2Rvd25yZXYueG1sUEsBAhQAFAAAAAgAh07iQAqn&#10;bE+QAgAA6wQAAA4AAAAAAAAAAQAgAAAAKAEAAGRycy9lMm9Eb2MueG1sUEsFBgAAAAAGAAYAWQEA&#10;ACoGAAAAAA==&#10;" adj="6300,24300,14400">
                <v:fill on="f" focussize="0,0"/>
                <v:stroke weight="1pt" color="#FF0000" joinstyle="round"/>
                <v:imagedata o:title=""/>
                <o:lock v:ext="edit" aspectratio="f"/>
                <v:textbox>
                  <w:txbxContent>
                    <w:p>
                      <w:pPr>
                        <w:jc w:val="center"/>
                        <w:rPr>
                          <w:color w:val="000000"/>
                          <w:sz w:val="18"/>
                          <w:szCs w:val="18"/>
                        </w:rPr>
                      </w:pPr>
                      <w:r>
                        <w:rPr>
                          <w:rFonts w:hint="eastAsia"/>
                          <w:color w:val="000000"/>
                          <w:sz w:val="18"/>
                          <w:szCs w:val="18"/>
                        </w:rPr>
                        <w:t>本项目位置</w:t>
                      </w:r>
                    </w:p>
                  </w:txbxContent>
                </v:textbox>
              </v:shape>
            </w:pict>
          </mc:Fallback>
        </mc:AlternateContent>
      </w:r>
      <w:r>
        <w:rPr>
          <w:rFonts w:hint="eastAsia" w:eastAsia="仿宋"/>
        </w:rPr>
        <mc:AlternateContent>
          <mc:Choice Requires="wps">
            <w:drawing>
              <wp:anchor distT="0" distB="0" distL="114300" distR="114300" simplePos="0" relativeHeight="251710464" behindDoc="0" locked="0" layoutInCell="1" allowOverlap="1">
                <wp:simplePos x="0" y="0"/>
                <wp:positionH relativeFrom="column">
                  <wp:posOffset>1000125</wp:posOffset>
                </wp:positionH>
                <wp:positionV relativeFrom="paragraph">
                  <wp:posOffset>2038350</wp:posOffset>
                </wp:positionV>
                <wp:extent cx="380365" cy="560705"/>
                <wp:effectExtent l="0" t="0" r="19685" b="10795"/>
                <wp:wrapNone/>
                <wp:docPr id="51" name="直接箭头连接符 6"/>
                <wp:cNvGraphicFramePr/>
                <a:graphic xmlns:a="http://schemas.openxmlformats.org/drawingml/2006/main">
                  <a:graphicData uri="http://schemas.microsoft.com/office/word/2010/wordprocessingShape">
                    <wps:wsp>
                      <wps:cNvCnPr/>
                      <wps:spPr>
                        <a:xfrm flipH="1" flipV="1">
                          <a:off x="0" y="0"/>
                          <a:ext cx="380365" cy="560705"/>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id="直接箭头连接符 6" o:spid="_x0000_s1026" o:spt="32" type="#_x0000_t32" style="position:absolute;left:0pt;flip:x y;margin-left:78.75pt;margin-top:160.5pt;height:44.15pt;width:29.95pt;z-index:251710464;mso-width-relative:page;mso-height-relative:page;" filled="f" stroked="t" coordsize="21600,21600" o:gfxdata="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fn3odoAAAALAQAADwAAAAAA&#10;AAABACAAAAAiAAAAZHJzL2Rvd25yZXYueG1sUEsBAhQAFAAAAAgAh07iQHmD2C0RAgAA7wMAAA4A&#10;AAAAAAAAAQAgAAAAKQEAAGRycy9lMm9Eb2MueG1sUEsFBgAAAAAGAAYAWQEAAKwFAAAAAA==&#10;">
                <v:fill on="f" focussize="0,0"/>
                <v:stroke weight="1.5pt" color="#FF0000" joinstyle="round" endarrow="open"/>
                <v:imagedata o:title=""/>
                <o:lock v:ext="edit" aspectratio="f"/>
              </v:shape>
            </w:pict>
          </mc:Fallback>
        </mc:AlternateContent>
      </w:r>
      <w:r>
        <w:rPr>
          <w:rFonts w:hint="eastAsia" w:eastAsia="仿宋"/>
        </w:rPr>
        <mc:AlternateContent>
          <mc:Choice Requires="wps">
            <w:drawing>
              <wp:anchor distT="0" distB="0" distL="114300" distR="114300" simplePos="0" relativeHeight="251709440" behindDoc="0" locked="0" layoutInCell="1" allowOverlap="1">
                <wp:simplePos x="0" y="0"/>
                <wp:positionH relativeFrom="column">
                  <wp:posOffset>85725</wp:posOffset>
                </wp:positionH>
                <wp:positionV relativeFrom="paragraph">
                  <wp:posOffset>400050</wp:posOffset>
                </wp:positionV>
                <wp:extent cx="2324100" cy="1638300"/>
                <wp:effectExtent l="12700" t="12700" r="25400" b="25400"/>
                <wp:wrapNone/>
                <wp:docPr id="50" name="矩形 4"/>
                <wp:cNvGraphicFramePr/>
                <a:graphic xmlns:a="http://schemas.openxmlformats.org/drawingml/2006/main">
                  <a:graphicData uri="http://schemas.microsoft.com/office/word/2010/wordprocessingShape">
                    <wps:wsp>
                      <wps:cNvSpPr/>
                      <wps:spPr>
                        <a:xfrm>
                          <a:off x="0" y="0"/>
                          <a:ext cx="2324100" cy="1638300"/>
                        </a:xfrm>
                        <a:prstGeom prst="rect">
                          <a:avLst/>
                        </a:prstGeom>
                        <a:noFill/>
                        <a:ln w="25400" cap="flat" cmpd="sng" algn="ctr">
                          <a:solidFill>
                            <a:srgbClr val="000000"/>
                          </a:solidFill>
                          <a:prstDash val="solid"/>
                        </a:ln>
                        <a:effectLst/>
                      </wps:spPr>
                      <wps:txbx>
                        <w:txbxContent>
                          <w:p>
                            <w:pPr>
                              <w:jc w:val="center"/>
                              <w:rPr>
                                <w:rFonts w:hint="eastAsia" w:eastAsia="宋体"/>
                                <w:lang w:eastAsia="zh-CN"/>
                              </w:rPr>
                            </w:pPr>
                            <w:r>
                              <w:rPr>
                                <w:rFonts w:hint="eastAsia" w:eastAsia="宋体"/>
                                <w:lang w:eastAsia="zh-CN"/>
                              </w:rPr>
                              <w:drawing>
                                <wp:inline distT="0" distB="0" distL="114300" distR="114300">
                                  <wp:extent cx="2318385" cy="1302385"/>
                                  <wp:effectExtent l="0" t="0" r="5715" b="12065"/>
                                  <wp:docPr id="106" name="图片 5" descr="微信图片_2023091915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descr="微信图片_20230919151935"/>
                                          <pic:cNvPicPr>
                                            <a:picLocks noChangeAspect="1"/>
                                          </pic:cNvPicPr>
                                        </pic:nvPicPr>
                                        <pic:blipFill>
                                          <a:blip r:embed="rId46"/>
                                          <a:stretch>
                                            <a:fillRect/>
                                          </a:stretch>
                                        </pic:blipFill>
                                        <pic:spPr>
                                          <a:xfrm>
                                            <a:off x="0" y="0"/>
                                            <a:ext cx="2318385" cy="1302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6.75pt;margin-top:31.5pt;height:129pt;width:183pt;z-index:251709440;v-text-anchor:middle;mso-width-relative:page;mso-height-relative:page;" filled="f" stroked="t" coordsize="21600,21600" o:gfxdata="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JULu1wAAAAkBAAAPAAAAAAAAAAEAIAAAACIAAABkcnMvZG93bnJldi54bWxQSwEC&#10;FAAUAAAACACHTuJANUvfHWcCAADPBAAADgAAAAAAAAABACAAAAAmAQAAZHJzL2Uyb0RvYy54bWxQ&#10;SwUGAAAAAAYABgBZAQAA/wUAAAAA&#10;">
                <v:fill on="f" focussize="0,0"/>
                <v:stroke weight="2pt" color="#000000" joinstyle="round"/>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318385" cy="1302385"/>
                            <wp:effectExtent l="0" t="0" r="5715" b="12065"/>
                            <wp:docPr id="106" name="图片 5" descr="微信图片_2023091915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descr="微信图片_20230919151935"/>
                                    <pic:cNvPicPr>
                                      <a:picLocks noChangeAspect="1"/>
                                    </pic:cNvPicPr>
                                  </pic:nvPicPr>
                                  <pic:blipFill>
                                    <a:blip r:embed="rId46"/>
                                    <a:stretch>
                                      <a:fillRect/>
                                    </a:stretch>
                                  </pic:blipFill>
                                  <pic:spPr>
                                    <a:xfrm>
                                      <a:off x="0" y="0"/>
                                      <a:ext cx="2318385" cy="1302385"/>
                                    </a:xfrm>
                                    <a:prstGeom prst="rect">
                                      <a:avLst/>
                                    </a:prstGeom>
                                    <a:noFill/>
                                    <a:ln>
                                      <a:noFill/>
                                    </a:ln>
                                  </pic:spPr>
                                </pic:pic>
                              </a:graphicData>
                            </a:graphic>
                          </wp:inline>
                        </w:drawing>
                      </w:r>
                    </w:p>
                  </w:txbxContent>
                </v:textbox>
              </v:rect>
            </w:pict>
          </mc:Fallback>
        </mc:AlternateContent>
      </w:r>
      <w:r>
        <w:rPr>
          <w:rFonts w:hint="eastAsia" w:eastAsia="仿宋"/>
        </w:rPr>
        <w:drawing>
          <wp:inline distT="0" distB="0" distL="114300" distR="114300">
            <wp:extent cx="8789035" cy="4319905"/>
            <wp:effectExtent l="0" t="0" r="12065" b="4445"/>
            <wp:docPr id="107" name="图片 1" descr="白山市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白山市环境管控单元分布图"/>
                    <pic:cNvPicPr>
                      <a:picLocks noChangeAspect="1"/>
                    </pic:cNvPicPr>
                  </pic:nvPicPr>
                  <pic:blipFill>
                    <a:blip r:embed="rId47"/>
                    <a:stretch>
                      <a:fillRect/>
                    </a:stretch>
                  </pic:blipFill>
                  <pic:spPr>
                    <a:xfrm>
                      <a:off x="0" y="0"/>
                      <a:ext cx="8789035" cy="4319905"/>
                    </a:xfrm>
                    <a:prstGeom prst="rect">
                      <a:avLst/>
                    </a:prstGeom>
                    <a:noFill/>
                    <a:ln>
                      <a:noFill/>
                    </a:ln>
                  </pic:spPr>
                </pic:pic>
              </a:graphicData>
            </a:graphic>
          </wp:inline>
        </w:drawing>
      </w:r>
    </w:p>
    <w:p>
      <w:pPr>
        <w:jc w:val="center"/>
      </w:pPr>
      <w:r>
        <mc:AlternateContent>
          <mc:Choice Requires="wps">
            <w:drawing>
              <wp:anchor distT="0" distB="0" distL="114300" distR="114300" simplePos="0" relativeHeight="251708416" behindDoc="0" locked="0" layoutInCell="1" allowOverlap="1">
                <wp:simplePos x="0" y="0"/>
                <wp:positionH relativeFrom="column">
                  <wp:posOffset>2125980</wp:posOffset>
                </wp:positionH>
                <wp:positionV relativeFrom="paragraph">
                  <wp:posOffset>-4445</wp:posOffset>
                </wp:positionV>
                <wp:extent cx="4582795" cy="553085"/>
                <wp:effectExtent l="0" t="0" r="0" b="0"/>
                <wp:wrapNone/>
                <wp:docPr id="49" name="文本框 2"/>
                <wp:cNvGraphicFramePr/>
                <a:graphic xmlns:a="http://schemas.openxmlformats.org/drawingml/2006/main">
                  <a:graphicData uri="http://schemas.microsoft.com/office/word/2010/wordprocessingShape">
                    <wps:wsp>
                      <wps:cNvSpPr txBox="1"/>
                      <wps:spPr>
                        <a:xfrm>
                          <a:off x="0" y="0"/>
                          <a:ext cx="4582633" cy="552893"/>
                        </a:xfrm>
                        <a:prstGeom prst="rect">
                          <a:avLst/>
                        </a:prstGeom>
                        <a:noFill/>
                        <a:ln w="6350">
                          <a:noFill/>
                        </a:ln>
                        <a:effectLst/>
                      </wps:spPr>
                      <wps:txbx>
                        <w:txbxContent>
                          <w:p>
                            <w:pPr>
                              <w:rPr>
                                <w:sz w:val="28"/>
                                <w:szCs w:val="28"/>
                              </w:rPr>
                            </w:pPr>
                            <w:r>
                              <w:rPr>
                                <w:rFonts w:hint="eastAsia"/>
                                <w:color w:val="000000"/>
                                <w:sz w:val="28"/>
                                <w:szCs w:val="28"/>
                              </w:rPr>
                              <w:t>附图 4      白山市环境管控单元分布图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67.4pt;margin-top:-0.35pt;height:43.55pt;width:360.85pt;z-index:251708416;mso-width-relative:page;mso-height-relative:page;" filled="f" stroked="f" coordsize="21600,21600" o:gfxdata="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UVshTbAAAACQEAAA8AAAAAAAAAAQAg&#10;AAAAIgAAAGRycy9kb3ducmV2LnhtbFBLAQIUABQAAAAIAIdO4kCAOBF4RAIAAHUEAAAOAAAAAAAA&#10;AAEAIAAAACoBAABkcnMvZTJvRG9jLnhtbFBLBQYAAAAABgAGAFkBAADgBQAAAAA=&#10;">
                <v:fill on="f" focussize="0,0"/>
                <v:stroke on="f" weight="0.5pt"/>
                <v:imagedata o:title=""/>
                <o:lock v:ext="edit" aspectratio="f"/>
                <v:textbox>
                  <w:txbxContent>
                    <w:p>
                      <w:pPr>
                        <w:rPr>
                          <w:sz w:val="28"/>
                          <w:szCs w:val="28"/>
                        </w:rPr>
                      </w:pPr>
                      <w:r>
                        <w:rPr>
                          <w:rFonts w:hint="eastAsia"/>
                          <w:color w:val="000000"/>
                          <w:sz w:val="28"/>
                          <w:szCs w:val="28"/>
                        </w:rPr>
                        <w:t>附图 4      白山市环境管控单元分布图</w:t>
                      </w:r>
                    </w:p>
                  </w:txbxContent>
                </v:textbox>
              </v:shape>
            </w:pict>
          </mc:Fallback>
        </mc:AlternateContent>
      </w: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sectPr>
          <w:pgSz w:w="16838" w:h="11906" w:orient="landscape"/>
          <w:pgMar w:top="1531" w:right="1701" w:bottom="1531" w:left="1701" w:header="851" w:footer="851" w:gutter="0"/>
          <w:cols w:space="720" w:num="1"/>
          <w:docGrid w:linePitch="312" w:charSpace="0"/>
        </w:sectPr>
      </w:pPr>
    </w:p>
    <w:p>
      <w:pPr>
        <w:jc w:val="center"/>
      </w:pPr>
      <w:r>
        <w:rPr>
          <w:sz w:val="21"/>
        </w:rPr>
        <mc:AlternateContent>
          <mc:Choice Requires="wps">
            <w:drawing>
              <wp:anchor distT="0" distB="0" distL="114300" distR="114300" simplePos="0" relativeHeight="251724800" behindDoc="0" locked="0" layoutInCell="1" allowOverlap="1">
                <wp:simplePos x="0" y="0"/>
                <wp:positionH relativeFrom="column">
                  <wp:posOffset>6941185</wp:posOffset>
                </wp:positionH>
                <wp:positionV relativeFrom="paragraph">
                  <wp:posOffset>3811270</wp:posOffset>
                </wp:positionV>
                <wp:extent cx="84455" cy="127635"/>
                <wp:effectExtent l="6350" t="6350" r="23495" b="18415"/>
                <wp:wrapNone/>
                <wp:docPr id="65" name="椭圆 18"/>
                <wp:cNvGraphicFramePr/>
                <a:graphic xmlns:a="http://schemas.openxmlformats.org/drawingml/2006/main">
                  <a:graphicData uri="http://schemas.microsoft.com/office/word/2010/wordprocessingShape">
                    <wps:wsp>
                      <wps:cNvSpPr/>
                      <wps:spPr>
                        <a:xfrm>
                          <a:off x="0" y="0"/>
                          <a:ext cx="84455" cy="127635"/>
                        </a:xfrm>
                        <a:prstGeom prst="ellipse">
                          <a:avLst/>
                        </a:prstGeom>
                        <a:gradFill>
                          <a:gsLst>
                            <a:gs pos="0">
                              <a:srgbClr val="FBFB11">
                                <a:alpha val="50000"/>
                              </a:srgbClr>
                            </a:gs>
                            <a:gs pos="100000">
                              <a:srgbClr val="838309"/>
                            </a:gs>
                          </a:gsLst>
                          <a:lin ang="5400000" scaled="0"/>
                        </a:gradFill>
                        <a:ln w="1270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8" o:spid="_x0000_s1026" o:spt="3" type="#_x0000_t3" style="position:absolute;left:0pt;margin-left:546.55pt;margin-top:300.1pt;height:10.05pt;width:6.65pt;z-index:251724800;v-text-anchor:middle;mso-width-relative:page;mso-height-relative:page;" fillcolor="#FBFB11" filled="t" stroked="t" coordsize="21600,21600" o:gfxdata="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esOvYAAAADQEAAA8AAAAA&#10;AAAAAQAgAAAAIgAAAGRycy9kb3ducmV2LnhtbFBLAQIUABQAAAAIAIdO4kD0elc+vwIAAMEFAAAO&#10;AAAAAAAAAAEAIAAAACcBAABkcnMvZTJvRG9jLnhtbFBLBQYAAAAABgAGAFkBAABYBgAAAAA=&#10;">
                <v:fill type="gradient" on="t" color2="#838309" opacity="32768f" focus="100%" focussize="0,0" rotate="t">
                  <o:fill type="gradientUnscaled" v:ext="backwardCompatible"/>
                </v:fill>
                <v:stroke weight="1pt" color="#FFFF00" opacity="32768f" miterlimit="8" joinstyle="miter"/>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6969760</wp:posOffset>
                </wp:positionH>
                <wp:positionV relativeFrom="paragraph">
                  <wp:posOffset>3610610</wp:posOffset>
                </wp:positionV>
                <wp:extent cx="75565" cy="75565"/>
                <wp:effectExtent l="12700" t="12700" r="26035" b="26035"/>
                <wp:wrapNone/>
                <wp:docPr id="64" name="椭圆 17"/>
                <wp:cNvGraphicFramePr/>
                <a:graphic xmlns:a="http://schemas.openxmlformats.org/drawingml/2006/main">
                  <a:graphicData uri="http://schemas.microsoft.com/office/word/2010/wordprocessingShape">
                    <wps:wsp>
                      <wps:cNvSpPr/>
                      <wps:spPr>
                        <a:xfrm>
                          <a:off x="7813040" y="4733290"/>
                          <a:ext cx="75565" cy="75565"/>
                        </a:xfrm>
                        <a:prstGeom prst="ellipse">
                          <a:avLst/>
                        </a:prstGeom>
                        <a:solidFill>
                          <a:srgbClr val="C0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7" o:spid="_x0000_s1026" o:spt="3" type="#_x0000_t3" style="position:absolute;left:0pt;margin-left:548.8pt;margin-top:284.3pt;height:5.95pt;width:5.95pt;z-index:251723776;v-text-anchor:middle;mso-width-relative:page;mso-height-relative:page;" fillcolor="#C00000" filled="t" stroked="t" coordsize="21600,21600" o:gfxdata="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NTT/raAAAADQEAAA8AAAAAAAAAAQAgAAAAIgAAAGRy&#10;cy9kb3ducmV2LnhtbFBLAQIUABQAAAAIAIdO4kBvJaAMdQIAAPkEAAAOAAAAAAAAAAEAIAAAACkB&#10;AABkcnMvZTJvRG9jLnhtbFBLBQYAAAAABgAGAFkBAAAQBgAAAAA=&#10;">
                <v:fill on="t" focussize="0,0"/>
                <v:stroke weight="2pt" color="#FF0000" joinstyle="round"/>
                <v:imagedata o:title=""/>
                <o:lock v:ext="edit" aspectratio="f"/>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3360420</wp:posOffset>
                </wp:positionH>
                <wp:positionV relativeFrom="paragraph">
                  <wp:posOffset>2484755</wp:posOffset>
                </wp:positionV>
                <wp:extent cx="337820" cy="391795"/>
                <wp:effectExtent l="6350" t="6350" r="17780" b="20955"/>
                <wp:wrapNone/>
                <wp:docPr id="63" name="椭圆 15"/>
                <wp:cNvGraphicFramePr/>
                <a:graphic xmlns:a="http://schemas.openxmlformats.org/drawingml/2006/main">
                  <a:graphicData uri="http://schemas.microsoft.com/office/word/2010/wordprocessingShape">
                    <wps:wsp>
                      <wps:cNvSpPr/>
                      <wps:spPr>
                        <a:xfrm>
                          <a:off x="4163060" y="3559810"/>
                          <a:ext cx="337820" cy="391795"/>
                        </a:xfrm>
                        <a:prstGeom prst="ellipse">
                          <a:avLst/>
                        </a:prstGeom>
                        <a:gradFill>
                          <a:gsLst>
                            <a:gs pos="0">
                              <a:srgbClr val="FBFB11">
                                <a:alpha val="50000"/>
                              </a:srgbClr>
                            </a:gs>
                            <a:gs pos="100000">
                              <a:srgbClr val="838309"/>
                            </a:gs>
                          </a:gsLst>
                          <a:lin ang="5400000" scaled="0"/>
                        </a:gradFill>
                        <a:ln w="1270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5" o:spid="_x0000_s1026" o:spt="3" type="#_x0000_t3" style="position:absolute;left:0pt;margin-left:264.6pt;margin-top:195.65pt;height:30.85pt;width:26.6pt;z-index:251722752;v-text-anchor:middle;mso-width-relative:page;mso-height-relative:page;" fillcolor="#FBFB11" filled="t" stroked="t" coordsize="21600,21600" o:gfxdata="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m&#10;Fmyo2AAAAAsBAAAPAAAAAAAAAAEAIAAAACIAAABkcnMvZG93bnJldi54bWxQSwECFAAUAAAACACH&#10;TuJA67z/B88CAADOBQAADgAAAAAAAAABACAAAAAnAQAAZHJzL2Uyb0RvYy54bWxQSwUGAAAAAAYA&#10;BgBZAQAAaAYAAAAA&#10;">
                <v:fill type="gradient" on="t" color2="#838309" opacity="32768f" focus="100%" focussize="0,0" rotate="t">
                  <o:fill type="gradientUnscaled" v:ext="backwardCompatible"/>
                </v:fill>
                <v:stroke weight="1pt" color="#FFFF00" opacity="32768f" miterlimit="8" joinstyle="miter"/>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7002145</wp:posOffset>
                </wp:positionH>
                <wp:positionV relativeFrom="paragraph">
                  <wp:posOffset>4251325</wp:posOffset>
                </wp:positionV>
                <wp:extent cx="1077595" cy="266700"/>
                <wp:effectExtent l="0" t="0" r="0" b="0"/>
                <wp:wrapNone/>
                <wp:docPr id="62" name="文本框 14"/>
                <wp:cNvGraphicFramePr/>
                <a:graphic xmlns:a="http://schemas.openxmlformats.org/drawingml/2006/main">
                  <a:graphicData uri="http://schemas.microsoft.com/office/word/2010/wordprocessingShape">
                    <wps:wsp>
                      <wps:cNvSpPr txBox="1"/>
                      <wps:spPr>
                        <a:xfrm>
                          <a:off x="0" y="0"/>
                          <a:ext cx="1077595" cy="266700"/>
                        </a:xfrm>
                        <a:prstGeom prst="rect">
                          <a:avLst/>
                        </a:prstGeom>
                        <a:noFill/>
                        <a:ln w="6350">
                          <a:noFill/>
                        </a:ln>
                        <a:effectLst/>
                      </wps:spPr>
                      <wps:txbx>
                        <w:txbxContent>
                          <w:p>
                            <w:pPr>
                              <w:rPr>
                                <w:rFonts w:hint="default" w:eastAsia="宋体"/>
                                <w:sz w:val="18"/>
                                <w:szCs w:val="18"/>
                                <w:lang w:val="en-US" w:eastAsia="zh-CN"/>
                              </w:rPr>
                            </w:pPr>
                            <w:r>
                              <w:rPr>
                                <w:rFonts w:hint="eastAsia"/>
                                <w:sz w:val="18"/>
                                <w:szCs w:val="18"/>
                                <w:lang w:val="en-US" w:eastAsia="zh-CN"/>
                              </w:rPr>
                              <w:t>比例尺100m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551.35pt;margin-top:334.75pt;height:21pt;width:84.85pt;z-index:251721728;mso-width-relative:page;mso-height-relative:page;" filled="f" stroked="f" coordsize="21600,21600" o:gfxdata="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aW+u3AAAAA0BAAAPAAAAAAAAAAEA&#10;IAAAACIAAABkcnMvZG93bnJldi54bWxQSwECFAAUAAAACACHTuJAbRPtmkQCAAB2BAAADgAAAAAA&#10;AAABACAAAAArAQAAZHJzL2Uyb0RvYy54bWxQSwUGAAAAAAYABgBZAQAA4QU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比例尺100m</w:t>
                      </w: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7249795</wp:posOffset>
                </wp:positionH>
                <wp:positionV relativeFrom="paragraph">
                  <wp:posOffset>4544060</wp:posOffset>
                </wp:positionV>
                <wp:extent cx="454660" cy="0"/>
                <wp:effectExtent l="0" t="57150" r="2540" b="57150"/>
                <wp:wrapNone/>
                <wp:docPr id="61" name="直接箭头连接符 13"/>
                <wp:cNvGraphicFramePr/>
                <a:graphic xmlns:a="http://schemas.openxmlformats.org/drawingml/2006/main">
                  <a:graphicData uri="http://schemas.microsoft.com/office/word/2010/wordprocessingShape">
                    <wps:wsp>
                      <wps:cNvCnPr/>
                      <wps:spPr>
                        <a:xfrm>
                          <a:off x="7931150" y="5602605"/>
                          <a:ext cx="454660" cy="0"/>
                        </a:xfrm>
                        <a:prstGeom prst="straightConnector1">
                          <a:avLst/>
                        </a:prstGeom>
                        <a:noFill/>
                        <a:ln w="25400" cap="flat" cmpd="sng" algn="ctr">
                          <a:solidFill>
                            <a:srgbClr val="4F81BD"/>
                          </a:solidFill>
                          <a:prstDash val="solid"/>
                          <a:headEnd type="arrow"/>
                          <a:tailEnd type="arrow"/>
                        </a:ln>
                        <a:effectLst/>
                      </wps:spPr>
                      <wps:bodyPr/>
                    </wps:wsp>
                  </a:graphicData>
                </a:graphic>
              </wp:anchor>
            </w:drawing>
          </mc:Choice>
          <mc:Fallback>
            <w:pict>
              <v:shape id="直接箭头连接符 13" o:spid="_x0000_s1026" o:spt="32" type="#_x0000_t32" style="position:absolute;left:0pt;margin-left:570.85pt;margin-top:357.8pt;height:0pt;width:35.8pt;z-index:251720704;mso-width-relative:page;mso-height-relative:page;" filled="f" stroked="t" coordsize="21600,21600" o:gfxdata="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JlcW2AAAAA0BAAAP&#10;AAAAAAAAAAEAIAAAACIAAABkcnMvZG93bnJldi54bWxQSwECFAAUAAAACACHTuJAjENVgBgCAAD8&#10;AwAADgAAAAAAAAABACAAAAAnAQAAZHJzL2Uyb0RvYy54bWxQSwUGAAAAAAYABgBZAQAAsQUAAAAA&#10;">
                <v:fill on="f" focussize="0,0"/>
                <v:stroke weight="2pt" color="#4F81BD" joinstyle="round" startarrow="open" endarrow="open"/>
                <v:imagedata o:title=""/>
                <o:lock v:ext="edit" aspectratio="f"/>
              </v:shape>
            </w:pict>
          </mc:Fallback>
        </mc:AlternateContent>
      </w:r>
      <w:r>
        <w:drawing>
          <wp:inline distT="0" distB="0" distL="114300" distR="114300">
            <wp:extent cx="7838440" cy="4662805"/>
            <wp:effectExtent l="0" t="0" r="10160" b="4445"/>
            <wp:docPr id="108" name="图片 1" descr="16957158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1695715892940"/>
                    <pic:cNvPicPr>
                      <a:picLocks noChangeAspect="1"/>
                    </pic:cNvPicPr>
                  </pic:nvPicPr>
                  <pic:blipFill>
                    <a:blip r:embed="rId48"/>
                    <a:stretch>
                      <a:fillRect/>
                    </a:stretch>
                  </pic:blipFill>
                  <pic:spPr>
                    <a:xfrm>
                      <a:off x="0" y="0"/>
                      <a:ext cx="7838440" cy="4662805"/>
                    </a:xfrm>
                    <a:prstGeom prst="rect">
                      <a:avLst/>
                    </a:prstGeom>
                    <a:noFill/>
                    <a:ln>
                      <a:noFill/>
                    </a:ln>
                  </pic:spPr>
                </pic:pic>
              </a:graphicData>
            </a:graphic>
          </wp:inline>
        </w:drawing>
      </w:r>
      <w:r>
        <mc:AlternateContent>
          <mc:Choice Requires="wps">
            <w:drawing>
              <wp:anchor distT="0" distB="0" distL="114300" distR="114300" simplePos="0" relativeHeight="251719680" behindDoc="0" locked="0" layoutInCell="1" allowOverlap="1">
                <wp:simplePos x="0" y="0"/>
                <wp:positionH relativeFrom="column">
                  <wp:posOffset>7082790</wp:posOffset>
                </wp:positionH>
                <wp:positionV relativeFrom="paragraph">
                  <wp:posOffset>3993515</wp:posOffset>
                </wp:positionV>
                <wp:extent cx="1077595" cy="266700"/>
                <wp:effectExtent l="0" t="0" r="0" b="0"/>
                <wp:wrapNone/>
                <wp:docPr id="60" name="文本框 11"/>
                <wp:cNvGraphicFramePr/>
                <a:graphic xmlns:a="http://schemas.openxmlformats.org/drawingml/2006/main">
                  <a:graphicData uri="http://schemas.microsoft.com/office/word/2010/wordprocessingShape">
                    <wps:wsp>
                      <wps:cNvSpPr txBox="1"/>
                      <wps:spPr>
                        <a:xfrm>
                          <a:off x="0" y="0"/>
                          <a:ext cx="1077396" cy="266700"/>
                        </a:xfrm>
                        <a:prstGeom prst="rect">
                          <a:avLst/>
                        </a:prstGeom>
                        <a:noFill/>
                        <a:ln w="6350">
                          <a:noFill/>
                        </a:ln>
                        <a:effectLst/>
                      </wps:spPr>
                      <wps:txbx>
                        <w:txbxContent>
                          <w:p>
                            <w:pPr>
                              <w:rPr>
                                <w:sz w:val="18"/>
                                <w:szCs w:val="18"/>
                              </w:rPr>
                            </w:pPr>
                            <w:r>
                              <w:rPr>
                                <w:rFonts w:hint="eastAsia"/>
                                <w:sz w:val="18"/>
                                <w:szCs w:val="18"/>
                              </w:rPr>
                              <w:t>厂界外500m范围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557.7pt;margin-top:314.45pt;height:21pt;width:84.85pt;z-index:251719680;mso-width-relative:page;mso-height-relative:page;" filled="f" stroked="f" coordsize="21600,21600" o:gfxdata="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9b5tE3QAAAA0BAAAPAAAAAAAAAAEA&#10;IAAAACIAAABkcnMvZG93bnJldi54bWxQSwECFAAUAAAACACHTuJARgoBKkMCAAB2BAAADgAAAAAA&#10;AAABACAAAAAsAQAAZHJzL2Uyb0RvYy54bWxQSwUGAAAAAAYABgBZAQAA4QUAAAAA&#10;">
                <v:fill on="f" focussize="0,0"/>
                <v:stroke on="f" weight="0.5pt"/>
                <v:imagedata o:title=""/>
                <o:lock v:ext="edit" aspectratio="f"/>
                <v:textbox>
                  <w:txbxContent>
                    <w:p>
                      <w:pPr>
                        <w:rPr>
                          <w:sz w:val="18"/>
                          <w:szCs w:val="18"/>
                        </w:rPr>
                      </w:pPr>
                      <w:r>
                        <w:rPr>
                          <w:rFonts w:hint="eastAsia"/>
                          <w:sz w:val="18"/>
                          <w:szCs w:val="18"/>
                        </w:rPr>
                        <w:t>厂界外500m范围</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6924040</wp:posOffset>
                </wp:positionH>
                <wp:positionV relativeFrom="paragraph">
                  <wp:posOffset>4076065</wp:posOffset>
                </wp:positionV>
                <wp:extent cx="159385" cy="156845"/>
                <wp:effectExtent l="6350" t="6350" r="24765" b="8255"/>
                <wp:wrapNone/>
                <wp:docPr id="59" name="椭圆 10"/>
                <wp:cNvGraphicFramePr/>
                <a:graphic xmlns:a="http://schemas.openxmlformats.org/drawingml/2006/main">
                  <a:graphicData uri="http://schemas.microsoft.com/office/word/2010/wordprocessingShape">
                    <wps:wsp>
                      <wps:cNvSpPr/>
                      <wps:spPr>
                        <a:xfrm>
                          <a:off x="0" y="0"/>
                          <a:ext cx="159556" cy="156949"/>
                        </a:xfrm>
                        <a:prstGeom prst="ellipse">
                          <a:avLst/>
                        </a:prstGeom>
                        <a:solidFill>
                          <a:srgbClr val="0623FA">
                            <a:alpha val="55000"/>
                          </a:srgbClr>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0" o:spid="_x0000_s1026" o:spt="3" type="#_x0000_t3" style="position:absolute;left:0pt;margin-left:545.2pt;margin-top:320.95pt;height:12.35pt;width:12.55pt;z-index:251718656;v-text-anchor:middle;mso-width-relative:page;mso-height-relative:page;" fillcolor="#0623FA" filled="t" stroked="t" coordsize="21600,21600" o:gfxdata="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Hi8Y9oAAAANAQAADwAAAAAAAAAB&#10;ACAAAAAiAAAAZHJzL2Rvd25yZXYueG1sUEsBAhQAFAAAAAgAh07iQIIAE2eAAgAAEAUAAA4AAAAA&#10;AAAAAQAgAAAAKQEAAGRycy9lMm9Eb2MueG1sUEsFBgAAAAAGAAYAWQEAABsGAAAAAA==&#10;">
                <v:fill on="t" opacity="36044f" focussize="0,0"/>
                <v:stroke weight="1pt" color="#FF0000" joinstyle="round"/>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7110095</wp:posOffset>
                </wp:positionH>
                <wp:positionV relativeFrom="paragraph">
                  <wp:posOffset>3763010</wp:posOffset>
                </wp:positionV>
                <wp:extent cx="1009650" cy="266700"/>
                <wp:effectExtent l="0" t="0" r="0" b="0"/>
                <wp:wrapNone/>
                <wp:docPr id="58" name="文本框 9"/>
                <wp:cNvGraphicFramePr/>
                <a:graphic xmlns:a="http://schemas.openxmlformats.org/drawingml/2006/main">
                  <a:graphicData uri="http://schemas.microsoft.com/office/word/2010/wordprocessingShape">
                    <wps:wsp>
                      <wps:cNvSpPr txBox="1"/>
                      <wps:spPr>
                        <a:xfrm>
                          <a:off x="0" y="0"/>
                          <a:ext cx="1009934" cy="266700"/>
                        </a:xfrm>
                        <a:prstGeom prst="rect">
                          <a:avLst/>
                        </a:prstGeom>
                        <a:noFill/>
                        <a:ln w="6350">
                          <a:noFill/>
                        </a:ln>
                        <a:effectLst/>
                      </wps:spPr>
                      <wps:txbx>
                        <w:txbxContent>
                          <w:p>
                            <w:pPr>
                              <w:rPr>
                                <w:sz w:val="18"/>
                                <w:szCs w:val="18"/>
                              </w:rPr>
                            </w:pPr>
                            <w:r>
                              <w:rPr>
                                <w:rFonts w:hint="eastAsia"/>
                                <w:sz w:val="18"/>
                                <w:szCs w:val="18"/>
                              </w:rPr>
                              <w:t>厂界外50m范围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559.85pt;margin-top:296.3pt;height:21pt;width:79.5pt;z-index:251717632;mso-width-relative:page;mso-height-relative:page;" filled="f" stroked="f" coordsize="21600,21600" o:gfxdata="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53omk3QAAAA0BAAAPAAAAAAAAAAEA&#10;IAAAACIAAABkcnMvZG93bnJldi54bWxQSwECFAAUAAAACACHTuJAwYNGR0MCAAB1BAAADgAAAAAA&#10;AAABACAAAAAsAQAAZHJzL2Uyb0RvYy54bWxQSwUGAAAAAAYABgBZAQAA4QUAAAAA&#10;">
                <v:fill on="f" focussize="0,0"/>
                <v:stroke on="f" weight="0.5pt"/>
                <v:imagedata o:title=""/>
                <o:lock v:ext="edit" aspectratio="f"/>
                <v:textbox>
                  <w:txbxContent>
                    <w:p>
                      <w:pPr>
                        <w:rPr>
                          <w:sz w:val="18"/>
                          <w:szCs w:val="18"/>
                        </w:rPr>
                      </w:pPr>
                      <w:r>
                        <w:rPr>
                          <w:rFonts w:hint="eastAsia"/>
                          <w:sz w:val="18"/>
                          <w:szCs w:val="18"/>
                        </w:rPr>
                        <w:t>厂界外50m范围</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7103110</wp:posOffset>
                </wp:positionH>
                <wp:positionV relativeFrom="paragraph">
                  <wp:posOffset>3537585</wp:posOffset>
                </wp:positionV>
                <wp:extent cx="839470" cy="266700"/>
                <wp:effectExtent l="0" t="0" r="0" b="0"/>
                <wp:wrapNone/>
                <wp:docPr id="57" name="文本框 7"/>
                <wp:cNvGraphicFramePr/>
                <a:graphic xmlns:a="http://schemas.openxmlformats.org/drawingml/2006/main">
                  <a:graphicData uri="http://schemas.microsoft.com/office/word/2010/wordprocessingShape">
                    <wps:wsp>
                      <wps:cNvSpPr txBox="1"/>
                      <wps:spPr>
                        <a:xfrm>
                          <a:off x="0" y="0"/>
                          <a:ext cx="839337" cy="266700"/>
                        </a:xfrm>
                        <a:prstGeom prst="rect">
                          <a:avLst/>
                        </a:prstGeom>
                        <a:noFill/>
                        <a:ln w="6350">
                          <a:noFill/>
                        </a:ln>
                        <a:effectLst/>
                      </wps:spPr>
                      <wps:txbx>
                        <w:txbxContent>
                          <w:p>
                            <w:pPr>
                              <w:rPr>
                                <w:sz w:val="18"/>
                                <w:szCs w:val="18"/>
                              </w:rPr>
                            </w:pPr>
                            <w:r>
                              <w:rPr>
                                <w:rFonts w:hint="eastAsia"/>
                                <w:sz w:val="18"/>
                                <w:szCs w:val="18"/>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559.3pt;margin-top:278.55pt;height:21pt;width:66.1pt;z-index:251716608;mso-width-relative:page;mso-height-relative:page;" filled="f" stroked="f" coordsize="21600,21600" o:gfxdata="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BWtONwAAAANAQAADwAAAAAAAAABACAA&#10;AAAiAAAAZHJzL2Rvd25yZXYueG1sUEsBAhQAFAAAAAgAh07iQB28BHFCAgAAdAQAAA4AAAAAAAAA&#10;AQAgAAAAKwEAAGRycy9lMm9Eb2MueG1sUEsFBgAAAAAGAAYAWQEAAN8FAAAAAA==&#10;">
                <v:fill on="f" focussize="0,0"/>
                <v:stroke on="f" weight="0.5pt"/>
                <v:imagedata o:title=""/>
                <o:lock v:ext="edit" aspectratio="f"/>
                <v:textbox>
                  <w:txbxContent>
                    <w:p>
                      <w:pPr>
                        <w:rPr>
                          <w:sz w:val="18"/>
                          <w:szCs w:val="18"/>
                        </w:rPr>
                      </w:pPr>
                      <w:r>
                        <w:rPr>
                          <w:rFonts w:hint="eastAsia"/>
                          <w:sz w:val="18"/>
                          <w:szCs w:val="18"/>
                        </w:rPr>
                        <w:t>本项目位置</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7219950</wp:posOffset>
                </wp:positionH>
                <wp:positionV relativeFrom="paragraph">
                  <wp:posOffset>3351530</wp:posOffset>
                </wp:positionV>
                <wp:extent cx="487045" cy="267335"/>
                <wp:effectExtent l="0" t="0" r="0" b="0"/>
                <wp:wrapNone/>
                <wp:docPr id="56" name="文本框 4"/>
                <wp:cNvGraphicFramePr/>
                <a:graphic xmlns:a="http://schemas.openxmlformats.org/drawingml/2006/main">
                  <a:graphicData uri="http://schemas.microsoft.com/office/word/2010/wordprocessingShape">
                    <wps:wsp>
                      <wps:cNvSpPr txBox="1"/>
                      <wps:spPr>
                        <a:xfrm>
                          <a:off x="0" y="0"/>
                          <a:ext cx="486889" cy="267195"/>
                        </a:xfrm>
                        <a:prstGeom prst="rect">
                          <a:avLst/>
                        </a:prstGeom>
                        <a:noFill/>
                        <a:ln w="6350">
                          <a:noFill/>
                        </a:ln>
                        <a:effectLst/>
                      </wps:spPr>
                      <wps:txbx>
                        <w:txbxContent>
                          <w:p>
                            <w:pPr>
                              <w:rPr>
                                <w:sz w:val="18"/>
                                <w:szCs w:val="18"/>
                              </w:rPr>
                            </w:pPr>
                            <w:r>
                              <w:rPr>
                                <w:rFonts w:hint="eastAsia"/>
                                <w:sz w:val="18"/>
                                <w:szCs w:val="18"/>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568.5pt;margin-top:263.9pt;height:21.05pt;width:38.35pt;z-index:251715584;mso-width-relative:page;mso-height-relative:page;" filled="f" stroked="f" coordsize="21600,21600" o:gfxdata="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DK0P2wAAAA0BAAAPAAAAAAAAAAEAIAAA&#10;ACIAAABkcnMvZG93bnJldi54bWxQSwECFAAUAAAACACHTuJAvlpEzEICAAB0BAAADgAAAAAAAAAB&#10;ACAAAAAqAQAAZHJzL2Uyb0RvYy54bWxQSwUGAAAAAAYABgBZAQAA3gUAAAAA&#10;">
                <v:fill on="f" focussize="0,0"/>
                <v:stroke on="f" weight="0.5pt"/>
                <v:imagedata o:title=""/>
                <o:lock v:ext="edit" aspectratio="f"/>
                <v:textbox>
                  <w:txbxContent>
                    <w:p>
                      <w:pPr>
                        <w:rPr>
                          <w:sz w:val="18"/>
                          <w:szCs w:val="18"/>
                        </w:rPr>
                      </w:pPr>
                      <w:r>
                        <w:rPr>
                          <w:rFonts w:hint="eastAsia"/>
                          <w:sz w:val="18"/>
                          <w:szCs w:val="18"/>
                        </w:rPr>
                        <w:t>图例</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6744970</wp:posOffset>
                </wp:positionH>
                <wp:positionV relativeFrom="paragraph">
                  <wp:posOffset>3351530</wp:posOffset>
                </wp:positionV>
                <wp:extent cx="1419225" cy="1348105"/>
                <wp:effectExtent l="6350" t="6350" r="22225" b="17145"/>
                <wp:wrapNone/>
                <wp:docPr id="55" name="矩形 3"/>
                <wp:cNvGraphicFramePr/>
                <a:graphic xmlns:a="http://schemas.openxmlformats.org/drawingml/2006/main">
                  <a:graphicData uri="http://schemas.microsoft.com/office/word/2010/wordprocessingShape">
                    <wps:wsp>
                      <wps:cNvSpPr/>
                      <wps:spPr>
                        <a:xfrm>
                          <a:off x="0" y="0"/>
                          <a:ext cx="1419102" cy="1348105"/>
                        </a:xfrm>
                        <a:prstGeom prst="rect">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531.1pt;margin-top:263.9pt;height:106.15pt;width:111.75pt;z-index:251714560;v-text-anchor:middle;mso-width-relative:page;mso-height-relative:page;" fillcolor="#FFFFFF" filled="t" stroked="t" coordsize="21600,21600" o:gfxdata="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2AffZAAAADQEAAA8AAAAAAAAAAQAgAAAAIgAAAGRycy9kb3ducmV2Lnht&#10;bFBLAQIUABQAAAAIAIdO4kA++Xy0agIAAO0EAAAOAAAAAAAAAAEAIAAAACgBAABkcnMvZTJvRG9j&#10;LnhtbFBLBQYAAAAABgAGAFkBAAAEBgAAAAA=&#10;">
                <v:fill on="t" focussize="0,0"/>
                <v:stroke weight="1pt" color="#000000" joinstyle="round"/>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2359660</wp:posOffset>
                </wp:positionH>
                <wp:positionV relativeFrom="paragraph">
                  <wp:posOffset>5161915</wp:posOffset>
                </wp:positionV>
                <wp:extent cx="4210685" cy="329565"/>
                <wp:effectExtent l="0" t="0" r="18415" b="13335"/>
                <wp:wrapNone/>
                <wp:docPr id="54" name="文本框 2"/>
                <wp:cNvGraphicFramePr/>
                <a:graphic xmlns:a="http://schemas.openxmlformats.org/drawingml/2006/main">
                  <a:graphicData uri="http://schemas.microsoft.com/office/word/2010/wordprocessingShape">
                    <wps:wsp>
                      <wps:cNvSpPr txBox="1"/>
                      <wps:spPr>
                        <a:xfrm>
                          <a:off x="0" y="0"/>
                          <a:ext cx="4210493" cy="329609"/>
                        </a:xfrm>
                        <a:prstGeom prst="rect">
                          <a:avLst/>
                        </a:prstGeom>
                        <a:solidFill>
                          <a:srgbClr val="FFFFFF"/>
                        </a:solidFill>
                        <a:ln w="6350">
                          <a:noFill/>
                        </a:ln>
                        <a:effectLst/>
                      </wps:spPr>
                      <wps:txbx>
                        <w:txbxContent>
                          <w:p>
                            <w:pPr>
                              <w:rPr>
                                <w:sz w:val="24"/>
                                <w:szCs w:val="24"/>
                              </w:rPr>
                            </w:pPr>
                            <w:r>
                              <w:rPr>
                                <w:rFonts w:hint="eastAsia"/>
                                <w:sz w:val="24"/>
                                <w:szCs w:val="24"/>
                              </w:rPr>
                              <w:t>附图</w:t>
                            </w:r>
                            <w:r>
                              <w:rPr>
                                <w:rFonts w:hint="eastAsia"/>
                                <w:sz w:val="24"/>
                                <w:szCs w:val="24"/>
                                <w:lang w:val="en-US" w:eastAsia="zh-CN"/>
                              </w:rPr>
                              <w:t xml:space="preserve">5  </w:t>
                            </w:r>
                            <w:r>
                              <w:rPr>
                                <w:rFonts w:hint="eastAsia"/>
                                <w:sz w:val="24"/>
                                <w:szCs w:val="24"/>
                              </w:rPr>
                              <w:t xml:space="preserve"> 本项目厂界外50m、500m范围分布示意图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85.8pt;margin-top:406.45pt;height:25.95pt;width:331.55pt;z-index:251713536;mso-width-relative:page;mso-height-relative:page;" fillcolor="#FFFFFF" filled="t" stroked="f" coordsize="21600,21600" o:gfxdata="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rr9cAAAAM&#10;AQAADwAAAAAAAAABACAAAAAiAAAAZHJzL2Rvd25yZXYueG1sUEsBAhQAFAAAAAgAh07iQAvXwc1W&#10;AgAAngQAAA4AAAAAAAAAAQAgAAAAJgEAAGRycy9lMm9Eb2MueG1sUEsFBgAAAAAGAAYAWQEAAO4F&#10;AAAAAA==&#10;">
                <v:fill on="t" focussize="0,0"/>
                <v:stroke on="f" weight="0.5pt"/>
                <v:imagedata o:title=""/>
                <o:lock v:ext="edit" aspectratio="f"/>
                <v:textbox>
                  <w:txbxContent>
                    <w:p>
                      <w:pPr>
                        <w:rPr>
                          <w:sz w:val="24"/>
                          <w:szCs w:val="24"/>
                        </w:rPr>
                      </w:pPr>
                      <w:r>
                        <w:rPr>
                          <w:rFonts w:hint="eastAsia"/>
                          <w:sz w:val="24"/>
                          <w:szCs w:val="24"/>
                        </w:rPr>
                        <w:t>附图</w:t>
                      </w:r>
                      <w:r>
                        <w:rPr>
                          <w:rFonts w:hint="eastAsia"/>
                          <w:sz w:val="24"/>
                          <w:szCs w:val="24"/>
                          <w:lang w:val="en-US" w:eastAsia="zh-CN"/>
                        </w:rPr>
                        <w:t xml:space="preserve">5  </w:t>
                      </w:r>
                      <w:r>
                        <w:rPr>
                          <w:rFonts w:hint="eastAsia"/>
                          <w:sz w:val="24"/>
                          <w:szCs w:val="24"/>
                        </w:rPr>
                        <w:t xml:space="preserve"> 本项目厂界外50m、500m范围分布示意图</w:t>
                      </w:r>
                    </w:p>
                  </w:txbxContent>
                </v:textbox>
              </v:shape>
            </w:pict>
          </mc:Fallback>
        </mc:AlternateContent>
      </w:r>
    </w:p>
    <w:p>
      <w:pPr>
        <w:rPr>
          <w:rFonts w:ascii="Times New Roman"/>
          <w:snapToGrid w:val="0"/>
          <w:spacing w:val="-6"/>
          <w:kern w:val="21"/>
          <w:szCs w:val="21"/>
          <w:highlight w:val="none"/>
        </w:rPr>
      </w:pPr>
    </w:p>
    <w:p>
      <w:pPr>
        <w:rPr>
          <w:rFonts w:ascii="Times New Roman"/>
          <w:snapToGrid w:val="0"/>
          <w:spacing w:val="-6"/>
          <w:kern w:val="21"/>
          <w:szCs w:val="21"/>
          <w:highlight w:val="none"/>
        </w:rPr>
        <w:sectPr>
          <w:pgSz w:w="16838" w:h="11906" w:orient="landscape"/>
          <w:pgMar w:top="1800" w:right="1440" w:bottom="1800" w:left="1440" w:header="851" w:footer="992" w:gutter="0"/>
          <w:cols w:space="720" w:num="1"/>
          <w:docGrid w:type="lines" w:linePitch="312" w:charSpace="0"/>
        </w:sectPr>
      </w:pPr>
    </w:p>
    <w:p>
      <w:pPr>
        <w:jc w:val="center"/>
        <w:rPr>
          <w:rFonts w:hint="eastAsia" w:eastAsia="宋体"/>
          <w:lang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3594100</wp:posOffset>
                </wp:positionH>
                <wp:positionV relativeFrom="paragraph">
                  <wp:posOffset>44450</wp:posOffset>
                </wp:positionV>
                <wp:extent cx="892175" cy="1255395"/>
                <wp:effectExtent l="4445" t="5080" r="17780" b="15875"/>
                <wp:wrapNone/>
                <wp:docPr id="86" name="矩形 606"/>
                <wp:cNvGraphicFramePr/>
                <a:graphic xmlns:a="http://schemas.openxmlformats.org/drawingml/2006/main">
                  <a:graphicData uri="http://schemas.microsoft.com/office/word/2010/wordprocessingShape">
                    <wps:wsp>
                      <wps:cNvSpPr/>
                      <wps:spPr>
                        <a:xfrm>
                          <a:off x="0" y="0"/>
                          <a:ext cx="892175" cy="12553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宋体"/>
                                <w:lang w:eastAsia="zh-CN"/>
                              </w:rPr>
                              <w:drawing>
                                <wp:inline distT="0" distB="0" distL="114300" distR="114300">
                                  <wp:extent cx="662940" cy="1053465"/>
                                  <wp:effectExtent l="0" t="0" r="3810" b="13335"/>
                                  <wp:docPr id="109" name="图片 41"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descr="1676530800123"/>
                                          <pic:cNvPicPr>
                                            <a:picLocks noChangeAspect="1"/>
                                          </pic:cNvPicPr>
                                        </pic:nvPicPr>
                                        <pic:blipFill>
                                          <a:blip r:embed="rId39"/>
                                          <a:stretch>
                                            <a:fillRect/>
                                          </a:stretch>
                                        </pic:blipFill>
                                        <pic:spPr>
                                          <a:xfrm>
                                            <a:off x="0" y="0"/>
                                            <a:ext cx="662940" cy="1053465"/>
                                          </a:xfrm>
                                          <a:prstGeom prst="rect">
                                            <a:avLst/>
                                          </a:prstGeom>
                                          <a:noFill/>
                                          <a:ln>
                                            <a:noFill/>
                                          </a:ln>
                                        </pic:spPr>
                                      </pic:pic>
                                    </a:graphicData>
                                  </a:graphic>
                                </wp:inline>
                              </w:drawing>
                            </w:r>
                          </w:p>
                        </w:txbxContent>
                      </wps:txbx>
                      <wps:bodyPr wrap="square" upright="1"/>
                    </wps:wsp>
                  </a:graphicData>
                </a:graphic>
              </wp:anchor>
            </w:drawing>
          </mc:Choice>
          <mc:Fallback>
            <w:pict>
              <v:rect id="矩形 606" o:spid="_x0000_s1026" o:spt="1" style="position:absolute;left:0pt;margin-left:283pt;margin-top:3.5pt;height:98.85pt;width:70.25pt;z-index:251746304;mso-width-relative:page;mso-height-relative:page;" fillcolor="#FFFFFF" filled="t" stroked="t" coordsize="21600,21600" o:gfxdata="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i4ae2AAAAAkBAAAPAAAAAAAAAAEAIAAA&#10;ACIAAABkcnMvZG93bnJldi54bWxQSwECFAAUAAAACACHTuJATr7bSwwCAAA6BAAADgAAAAAAAAAB&#10;ACAAAAAnAQAAZHJzL2Uyb0RvYy54bWxQSwUGAAAAAAYABgBZAQAApQUAAAAA&#10;">
                <v:fill on="t" focussize="0,0"/>
                <v:stroke color="#000000" joinstyle="miter"/>
                <v:imagedata o:title=""/>
                <o:lock v:ext="edit" aspectratio="f"/>
                <v:textbox>
                  <w:txbxContent>
                    <w:p>
                      <w:r>
                        <w:rPr>
                          <w:rFonts w:hint="eastAsia" w:eastAsia="宋体"/>
                          <w:lang w:eastAsia="zh-CN"/>
                        </w:rPr>
                        <w:drawing>
                          <wp:inline distT="0" distB="0" distL="114300" distR="114300">
                            <wp:extent cx="662940" cy="1053465"/>
                            <wp:effectExtent l="0" t="0" r="3810" b="13335"/>
                            <wp:docPr id="109" name="图片 41" descr="167653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descr="1676530800123"/>
                                    <pic:cNvPicPr>
                                      <a:picLocks noChangeAspect="1"/>
                                    </pic:cNvPicPr>
                                  </pic:nvPicPr>
                                  <pic:blipFill>
                                    <a:blip r:embed="rId39"/>
                                    <a:stretch>
                                      <a:fillRect/>
                                    </a:stretch>
                                  </pic:blipFill>
                                  <pic:spPr>
                                    <a:xfrm>
                                      <a:off x="0" y="0"/>
                                      <a:ext cx="662940" cy="1053465"/>
                                    </a:xfrm>
                                    <a:prstGeom prst="rect">
                                      <a:avLst/>
                                    </a:prstGeom>
                                    <a:noFill/>
                                    <a:ln>
                                      <a:noFill/>
                                    </a:ln>
                                  </pic:spPr>
                                </pic:pic>
                              </a:graphicData>
                            </a:graphic>
                          </wp:inline>
                        </w:drawing>
                      </w:r>
                    </w:p>
                  </w:txbxContent>
                </v:textbox>
              </v:rect>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4922520</wp:posOffset>
                </wp:positionH>
                <wp:positionV relativeFrom="paragraph">
                  <wp:posOffset>7657465</wp:posOffset>
                </wp:positionV>
                <wp:extent cx="113030" cy="122555"/>
                <wp:effectExtent l="20955" t="24765" r="37465" b="24130"/>
                <wp:wrapNone/>
                <wp:docPr id="85" name="自选图形 607"/>
                <wp:cNvGraphicFramePr/>
                <a:graphic xmlns:a="http://schemas.openxmlformats.org/drawingml/2006/main">
                  <a:graphicData uri="http://schemas.microsoft.com/office/word/2010/wordprocessingShape">
                    <wps:wsp>
                      <wps:cNvSpPr/>
                      <wps:spPr>
                        <a:xfrm>
                          <a:off x="0" y="0"/>
                          <a:ext cx="113030" cy="122555"/>
                        </a:xfrm>
                        <a:prstGeom prst="star4">
                          <a:avLst>
                            <a:gd name="adj" fmla="val 12500"/>
                          </a:avLst>
                        </a:prstGeom>
                        <a:solidFill>
                          <a:srgbClr val="FFFFFF"/>
                        </a:solidFill>
                        <a:ln w="9525" cap="flat" cmpd="sng">
                          <a:solidFill>
                            <a:srgbClr val="00B0F0"/>
                          </a:solidFill>
                          <a:prstDash val="solid"/>
                          <a:miter/>
                          <a:headEnd type="none" w="med" len="med"/>
                          <a:tailEnd type="none" w="med" len="med"/>
                        </a:ln>
                      </wps:spPr>
                      <wps:bodyPr wrap="square" upright="1"/>
                    </wps:wsp>
                  </a:graphicData>
                </a:graphic>
              </wp:anchor>
            </w:drawing>
          </mc:Choice>
          <mc:Fallback>
            <w:pict>
              <v:shape id="自选图形 607" o:spid="_x0000_s1026" o:spt="187" type="#_x0000_t187" style="position:absolute;left:0pt;margin-left:387.6pt;margin-top:602.95pt;height:9.65pt;width:8.9pt;z-index:251745280;mso-width-relative:page;mso-height-relative:page;" fillcolor="#FFFFFF" filled="t" stroked="t" coordsize="21600,21600" o:gfxdata="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nqDY3AAAAA0BAAAPAAAAAAAAAAEAIAAAACIAAABkcnMvZG93bnJldi54&#10;bWxQSwECFAAUAAAACACHTuJAbc31zC8CAABhBAAADgAAAAAAAAABACAAAAArAQAAZHJzL2Uyb0Rv&#10;Yy54bWxQSwUGAAAAAAYABgBZAQAAzAUAAAAA&#10;" adj="8100">
                <v:fill on="t" focussize="0,0"/>
                <v:stroke color="#00B0F0" joinstyle="miter"/>
                <v:imagedata o:title=""/>
                <o:lock v:ext="edit" aspectratio="f"/>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2186305</wp:posOffset>
                </wp:positionH>
                <wp:positionV relativeFrom="paragraph">
                  <wp:posOffset>2805430</wp:posOffset>
                </wp:positionV>
                <wp:extent cx="220980" cy="304800"/>
                <wp:effectExtent l="0" t="0" r="0" b="0"/>
                <wp:wrapNone/>
                <wp:docPr id="84" name="文本框 608"/>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a:noFill/>
                        </a:ln>
                      </wps:spPr>
                      <wps:txbx>
                        <w:txbxContent>
                          <w:p>
                            <w:pPr>
                              <w:rPr>
                                <w:rFonts w:hint="default" w:eastAsia="宋体"/>
                                <w:highlight w:val="cyan"/>
                                <w:lang w:val="en-US" w:eastAsia="zh-CN"/>
                              </w:rPr>
                            </w:pPr>
                            <w:r>
                              <w:rPr>
                                <w:rFonts w:hint="eastAsia"/>
                                <w:highlight w:val="cyan"/>
                                <w:lang w:val="en-US" w:eastAsia="zh-CN"/>
                              </w:rPr>
                              <w:t>4</w:t>
                            </w:r>
                          </w:p>
                        </w:txbxContent>
                      </wps:txbx>
                      <wps:bodyPr wrap="square" upright="1"/>
                    </wps:wsp>
                  </a:graphicData>
                </a:graphic>
              </wp:anchor>
            </w:drawing>
          </mc:Choice>
          <mc:Fallback>
            <w:pict>
              <v:shape id="文本框 608" o:spid="_x0000_s1026" o:spt="202" type="#_x0000_t202" style="position:absolute;left:0pt;margin-left:172.15pt;margin-top:220.9pt;height:24pt;width:17.4pt;z-index:251744256;mso-width-relative:page;mso-height-relative:page;" filled="f" stroked="f" coordsize="21600,21600" o:gfxdata="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7/m99gAAAALAQAADwAAAAAAAAABACAAAAAiAAAAZHJzL2Rvd25yZXYueG1sUEsBAhQA&#10;FAAAAAgAh07iQNMirY25AQAAXgMAAA4AAAAAAAAAAQAgAAAAJwEAAGRycy9lMm9Eb2MueG1sUEsF&#10;BgAAAAAGAAYAWQEAAFIFAAAAAA==&#10;">
                <v:fill on="f" focussize="0,0"/>
                <v:stroke on="f"/>
                <v:imagedata o:title=""/>
                <o:lock v:ext="edit" aspectratio="f"/>
                <v:textbox>
                  <w:txbxContent>
                    <w:p>
                      <w:pPr>
                        <w:rPr>
                          <w:rFonts w:hint="default" w:eastAsia="宋体"/>
                          <w:highlight w:val="cyan"/>
                          <w:lang w:val="en-US" w:eastAsia="zh-CN"/>
                        </w:rPr>
                      </w:pPr>
                      <w:r>
                        <w:rPr>
                          <w:rFonts w:hint="eastAsia"/>
                          <w:highlight w:val="cyan"/>
                          <w:lang w:val="en-US" w:eastAsia="zh-CN"/>
                        </w:rPr>
                        <w:t>4</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1823720</wp:posOffset>
                </wp:positionH>
                <wp:positionV relativeFrom="paragraph">
                  <wp:posOffset>3377565</wp:posOffset>
                </wp:positionV>
                <wp:extent cx="220980" cy="304800"/>
                <wp:effectExtent l="0" t="0" r="0" b="0"/>
                <wp:wrapNone/>
                <wp:docPr id="83" name="文本框 609"/>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a:noFill/>
                        </a:ln>
                      </wps:spPr>
                      <wps:txbx>
                        <w:txbxContent>
                          <w:p>
                            <w:pPr>
                              <w:rPr>
                                <w:rFonts w:hint="default" w:eastAsia="宋体"/>
                                <w:highlight w:val="cyan"/>
                                <w:lang w:val="en-US" w:eastAsia="zh-CN"/>
                              </w:rPr>
                            </w:pPr>
                            <w:r>
                              <w:rPr>
                                <w:rFonts w:hint="eastAsia"/>
                                <w:highlight w:val="cyan"/>
                                <w:lang w:val="en-US" w:eastAsia="zh-CN"/>
                              </w:rPr>
                              <w:t>3</w:t>
                            </w:r>
                          </w:p>
                        </w:txbxContent>
                      </wps:txbx>
                      <wps:bodyPr wrap="square" upright="1"/>
                    </wps:wsp>
                  </a:graphicData>
                </a:graphic>
              </wp:anchor>
            </w:drawing>
          </mc:Choice>
          <mc:Fallback>
            <w:pict>
              <v:shape id="文本框 609" o:spid="_x0000_s1026" o:spt="202" type="#_x0000_t202" style="position:absolute;left:0pt;margin-left:143.6pt;margin-top:265.95pt;height:24pt;width:17.4pt;z-index:251743232;mso-width-relative:page;mso-height-relative:page;" filled="f" stroked="f" coordsize="21600,21600" o:gfxdata="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iPiKtgAAAALAQAADwAAAAAAAAABACAAAAAiAAAAZHJzL2Rvd25yZXYueG1sUEsBAhQA&#10;FAAAAAgAh07iQCX8D8S5AQAAXgMAAA4AAAAAAAAAAQAgAAAAJwEAAGRycy9lMm9Eb2MueG1sUEsF&#10;BgAAAAAGAAYAWQEAAFIFAAAAAA==&#10;">
                <v:fill on="f" focussize="0,0"/>
                <v:stroke on="f"/>
                <v:imagedata o:title=""/>
                <o:lock v:ext="edit" aspectratio="f"/>
                <v:textbox>
                  <w:txbxContent>
                    <w:p>
                      <w:pPr>
                        <w:rPr>
                          <w:rFonts w:hint="default" w:eastAsia="宋体"/>
                          <w:highlight w:val="cyan"/>
                          <w:lang w:val="en-US" w:eastAsia="zh-CN"/>
                        </w:rPr>
                      </w:pPr>
                      <w:r>
                        <w:rPr>
                          <w:rFonts w:hint="eastAsia"/>
                          <w:highlight w:val="cyan"/>
                          <w:lang w:val="en-US" w:eastAsia="zh-CN"/>
                        </w:rPr>
                        <w:t>3</w:t>
                      </w:r>
                    </w:p>
                  </w:txbxContent>
                </v:textbox>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2707640</wp:posOffset>
                </wp:positionH>
                <wp:positionV relativeFrom="paragraph">
                  <wp:posOffset>4470400</wp:posOffset>
                </wp:positionV>
                <wp:extent cx="220980" cy="304800"/>
                <wp:effectExtent l="0" t="0" r="0" b="0"/>
                <wp:wrapNone/>
                <wp:docPr id="82" name="文本框 610"/>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a:noFill/>
                        </a:ln>
                      </wps:spPr>
                      <wps:txbx>
                        <w:txbxContent>
                          <w:p>
                            <w:pPr>
                              <w:rPr>
                                <w:rFonts w:hint="default" w:eastAsia="宋体"/>
                                <w:highlight w:val="cyan"/>
                                <w:lang w:val="en-US" w:eastAsia="zh-CN"/>
                              </w:rPr>
                            </w:pPr>
                            <w:r>
                              <w:rPr>
                                <w:rFonts w:hint="eastAsia"/>
                                <w:highlight w:val="cyan"/>
                                <w:lang w:val="en-US" w:eastAsia="zh-CN"/>
                              </w:rPr>
                              <w:t>2</w:t>
                            </w:r>
                          </w:p>
                        </w:txbxContent>
                      </wps:txbx>
                      <wps:bodyPr wrap="square" upright="1"/>
                    </wps:wsp>
                  </a:graphicData>
                </a:graphic>
              </wp:anchor>
            </w:drawing>
          </mc:Choice>
          <mc:Fallback>
            <w:pict>
              <v:shape id="文本框 610" o:spid="_x0000_s1026" o:spt="202" type="#_x0000_t202" style="position:absolute;left:0pt;margin-left:213.2pt;margin-top:352pt;height:24pt;width:17.4pt;z-index:251742208;mso-width-relative:page;mso-height-relative:page;" filled="f" stroked="f" coordsize="21600,21600" o:gfxdata="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7Q/F1wAAAAsBAAAPAAAAAAAAAAEAIAAAACIAAABkcnMvZG93bnJldi54bWxQSwECFAAUAAAA&#10;CACHTuJAZH1oqrYBAABeAwAADgAAAAAAAAABACAAAAAmAQAAZHJzL2Uyb0RvYy54bWxQSwUGAAAA&#10;AAYABgBZAQAATgUAAAAA&#10;">
                <v:fill on="f" focussize="0,0"/>
                <v:stroke on="f"/>
                <v:imagedata o:title=""/>
                <o:lock v:ext="edit" aspectratio="f"/>
                <v:textbox>
                  <w:txbxContent>
                    <w:p>
                      <w:pPr>
                        <w:rPr>
                          <w:rFonts w:hint="default" w:eastAsia="宋体"/>
                          <w:highlight w:val="cyan"/>
                          <w:lang w:val="en-US" w:eastAsia="zh-CN"/>
                        </w:rPr>
                      </w:pPr>
                      <w:r>
                        <w:rPr>
                          <w:rFonts w:hint="eastAsia"/>
                          <w:highlight w:val="cyan"/>
                          <w:lang w:val="en-US" w:eastAsia="zh-CN"/>
                        </w:rPr>
                        <w:t>2</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2423795</wp:posOffset>
                </wp:positionH>
                <wp:positionV relativeFrom="paragraph">
                  <wp:posOffset>3088640</wp:posOffset>
                </wp:positionV>
                <wp:extent cx="220980" cy="304800"/>
                <wp:effectExtent l="0" t="0" r="0" b="0"/>
                <wp:wrapNone/>
                <wp:docPr id="81" name="文本框 611"/>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a:noFill/>
                        </a:ln>
                      </wps:spPr>
                      <wps:txbx>
                        <w:txbxContent>
                          <w:p>
                            <w:pPr>
                              <w:rPr>
                                <w:rFonts w:hint="eastAsia" w:eastAsia="宋体"/>
                                <w:highlight w:val="cyan"/>
                                <w:lang w:val="en-US" w:eastAsia="zh-CN"/>
                              </w:rPr>
                            </w:pPr>
                            <w:r>
                              <w:rPr>
                                <w:rFonts w:hint="eastAsia"/>
                                <w:highlight w:val="cyan"/>
                                <w:lang w:val="en-US" w:eastAsia="zh-CN"/>
                              </w:rPr>
                              <w:t>1</w:t>
                            </w:r>
                          </w:p>
                        </w:txbxContent>
                      </wps:txbx>
                      <wps:bodyPr wrap="square" upright="1"/>
                    </wps:wsp>
                  </a:graphicData>
                </a:graphic>
              </wp:anchor>
            </w:drawing>
          </mc:Choice>
          <mc:Fallback>
            <w:pict>
              <v:shape id="文本框 611" o:spid="_x0000_s1026" o:spt="202" type="#_x0000_t202" style="position:absolute;left:0pt;margin-left:190.85pt;margin-top:243.2pt;height:24pt;width:17.4pt;z-index:251741184;mso-width-relative:page;mso-height-relative:page;" filled="f" stroked="f" coordsize="21600,21600" o:gfxdata="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TIO82AAAAAsBAAAPAAAAAAAAAAEAIAAAACIAAABkcnMvZG93bnJldi54bWxQSwECFAAU&#10;AAAACACHTuJA3M17XrgBAABeAwAADgAAAAAAAAABACAAAAAnAQAAZHJzL2Uyb0RvYy54bWxQSwUG&#10;AAAAAAYABgBZAQAAUQUAAAAA&#10;">
                <v:fill on="f" focussize="0,0"/>
                <v:stroke on="f"/>
                <v:imagedata o:title=""/>
                <o:lock v:ext="edit" aspectratio="f"/>
                <v:textbox>
                  <w:txbxContent>
                    <w:p>
                      <w:pPr>
                        <w:rPr>
                          <w:rFonts w:hint="eastAsia" w:eastAsia="宋体"/>
                          <w:highlight w:val="cyan"/>
                          <w:lang w:val="en-US" w:eastAsia="zh-CN"/>
                        </w:rPr>
                      </w:pPr>
                      <w:r>
                        <w:rPr>
                          <w:rFonts w:hint="eastAsia"/>
                          <w:highlight w:val="cyan"/>
                          <w:lang w:val="en-US" w:eastAsia="zh-CN"/>
                        </w:rPr>
                        <w:t>1</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2656840</wp:posOffset>
                </wp:positionH>
                <wp:positionV relativeFrom="paragraph">
                  <wp:posOffset>4548505</wp:posOffset>
                </wp:positionV>
                <wp:extent cx="113030" cy="122555"/>
                <wp:effectExtent l="20955" t="24765" r="37465" b="24130"/>
                <wp:wrapNone/>
                <wp:docPr id="80" name="自选图形 612"/>
                <wp:cNvGraphicFramePr/>
                <a:graphic xmlns:a="http://schemas.openxmlformats.org/drawingml/2006/main">
                  <a:graphicData uri="http://schemas.microsoft.com/office/word/2010/wordprocessingShape">
                    <wps:wsp>
                      <wps:cNvSpPr/>
                      <wps:spPr>
                        <a:xfrm>
                          <a:off x="0" y="0"/>
                          <a:ext cx="113030" cy="122555"/>
                        </a:xfrm>
                        <a:prstGeom prst="star4">
                          <a:avLst>
                            <a:gd name="adj" fmla="val 12500"/>
                          </a:avLst>
                        </a:prstGeom>
                        <a:solidFill>
                          <a:srgbClr val="FFFFFF"/>
                        </a:solidFill>
                        <a:ln w="9525" cap="flat" cmpd="sng">
                          <a:solidFill>
                            <a:srgbClr val="00B0F0"/>
                          </a:solidFill>
                          <a:prstDash val="solid"/>
                          <a:miter/>
                          <a:headEnd type="none" w="med" len="med"/>
                          <a:tailEnd type="none" w="med" len="med"/>
                        </a:ln>
                      </wps:spPr>
                      <wps:bodyPr wrap="square" upright="1"/>
                    </wps:wsp>
                  </a:graphicData>
                </a:graphic>
              </wp:anchor>
            </w:drawing>
          </mc:Choice>
          <mc:Fallback>
            <w:pict>
              <v:shape id="自选图形 612" o:spid="_x0000_s1026" o:spt="187" type="#_x0000_t187" style="position:absolute;left:0pt;margin-left:209.2pt;margin-top:358.15pt;height:9.65pt;width:8.9pt;z-index:251740160;mso-width-relative:page;mso-height-relative:page;" fillcolor="#FFFFFF" filled="t" stroked="t" coordsize="21600,21600" o:gfxdata="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sB1y3AAAAAsBAAAPAAAAAAAAAAEAIAAAACIAAABkcnMvZG93bnJldi54&#10;bWxQSwECFAAUAAAACACHTuJAJR7ATi8CAABhBAAADgAAAAAAAAABACAAAAArAQAAZHJzL2Uyb0Rv&#10;Yy54bWxQSwUGAAAAAAYABgBZAQAAzAUAAAAA&#10;" adj="8100">
                <v:fill on="t" focussize="0,0"/>
                <v:stroke color="#00B0F0" joinstyle="miter"/>
                <v:imagedata o:title=""/>
                <o:lock v:ext="edit" aspectratio="f"/>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1986280</wp:posOffset>
                </wp:positionH>
                <wp:positionV relativeFrom="paragraph">
                  <wp:posOffset>3428365</wp:posOffset>
                </wp:positionV>
                <wp:extent cx="113030" cy="122555"/>
                <wp:effectExtent l="20955" t="24765" r="37465" b="24130"/>
                <wp:wrapNone/>
                <wp:docPr id="79" name="自选图形 613"/>
                <wp:cNvGraphicFramePr/>
                <a:graphic xmlns:a="http://schemas.openxmlformats.org/drawingml/2006/main">
                  <a:graphicData uri="http://schemas.microsoft.com/office/word/2010/wordprocessingShape">
                    <wps:wsp>
                      <wps:cNvSpPr/>
                      <wps:spPr>
                        <a:xfrm>
                          <a:off x="0" y="0"/>
                          <a:ext cx="113030" cy="122555"/>
                        </a:xfrm>
                        <a:prstGeom prst="star4">
                          <a:avLst>
                            <a:gd name="adj" fmla="val 12500"/>
                          </a:avLst>
                        </a:prstGeom>
                        <a:solidFill>
                          <a:srgbClr val="FFFFFF"/>
                        </a:solidFill>
                        <a:ln w="9525" cap="flat" cmpd="sng">
                          <a:solidFill>
                            <a:srgbClr val="00B0F0"/>
                          </a:solidFill>
                          <a:prstDash val="solid"/>
                          <a:miter/>
                          <a:headEnd type="none" w="med" len="med"/>
                          <a:tailEnd type="none" w="med" len="med"/>
                        </a:ln>
                      </wps:spPr>
                      <wps:bodyPr wrap="square" upright="1"/>
                    </wps:wsp>
                  </a:graphicData>
                </a:graphic>
              </wp:anchor>
            </w:drawing>
          </mc:Choice>
          <mc:Fallback>
            <w:pict>
              <v:shape id="自选图形 613" o:spid="_x0000_s1026" o:spt="187" type="#_x0000_t187" style="position:absolute;left:0pt;margin-left:156.4pt;margin-top:269.95pt;height:9.65pt;width:8.9pt;z-index:251739136;mso-width-relative:page;mso-height-relative:page;" fillcolor="#FFFFFF" filled="t" stroked="t" coordsize="21600,21600" o:gfxdata="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2AydwAAAALAQAADwAAAAAAAAABACAAAAAiAAAAZHJzL2Rvd25yZXYu&#10;eG1sUEsBAhQAFAAAAAgAh07iQFhpPsAwAgAAYQQAAA4AAAAAAAAAAQAgAAAAKwEAAGRycy9lMm9E&#10;b2MueG1sUEsFBgAAAAAGAAYAWQEAAM0FAAAAAA==&#10;" adj="8100">
                <v:fill on="t" focussize="0,0"/>
                <v:stroke color="#00B0F0" joinstyle="miter"/>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2366645</wp:posOffset>
                </wp:positionH>
                <wp:positionV relativeFrom="paragraph">
                  <wp:posOffset>3164840</wp:posOffset>
                </wp:positionV>
                <wp:extent cx="113030" cy="122555"/>
                <wp:effectExtent l="20955" t="24765" r="37465" b="24130"/>
                <wp:wrapNone/>
                <wp:docPr id="78" name="自选图形 614"/>
                <wp:cNvGraphicFramePr/>
                <a:graphic xmlns:a="http://schemas.openxmlformats.org/drawingml/2006/main">
                  <a:graphicData uri="http://schemas.microsoft.com/office/word/2010/wordprocessingShape">
                    <wps:wsp>
                      <wps:cNvSpPr/>
                      <wps:spPr>
                        <a:xfrm>
                          <a:off x="0" y="0"/>
                          <a:ext cx="113030" cy="122555"/>
                        </a:xfrm>
                        <a:prstGeom prst="star4">
                          <a:avLst>
                            <a:gd name="adj" fmla="val 12500"/>
                          </a:avLst>
                        </a:prstGeom>
                        <a:solidFill>
                          <a:srgbClr val="FFFFFF"/>
                        </a:solidFill>
                        <a:ln w="9525" cap="flat" cmpd="sng">
                          <a:solidFill>
                            <a:srgbClr val="00B0F0"/>
                          </a:solidFill>
                          <a:prstDash val="solid"/>
                          <a:miter/>
                          <a:headEnd type="none" w="med" len="med"/>
                          <a:tailEnd type="none" w="med" len="med"/>
                        </a:ln>
                      </wps:spPr>
                      <wps:bodyPr wrap="square" upright="1"/>
                    </wps:wsp>
                  </a:graphicData>
                </a:graphic>
              </wp:anchor>
            </w:drawing>
          </mc:Choice>
          <mc:Fallback>
            <w:pict>
              <v:shape id="自选图形 614" o:spid="_x0000_s1026" o:spt="187" type="#_x0000_t187" style="position:absolute;left:0pt;margin-left:186.35pt;margin-top:249.2pt;height:9.65pt;width:8.9pt;z-index:251738112;mso-width-relative:page;mso-height-relative:page;" fillcolor="#FFFFFF" filled="t" stroked="t" coordsize="21600,21600" o:gfxdata="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3WVL3AAAAAsBAAAPAAAAAAAAAAEAIAAAACIAAABkcnMvZG93bnJldi54&#10;bWxQSwECFAAUAAAACACHTuJA6ZCVvC8CAABhBAAADgAAAAAAAAABACAAAAArAQAAZHJzL2Uyb0Rv&#10;Yy54bWxQSwUGAAAAAAYABgBZAQAAzAUAAAAA&#10;" adj="8100">
                <v:fill on="t" focussize="0,0"/>
                <v:stroke color="#00B0F0" joinstyle="miter"/>
                <v:imagedata o:title=""/>
                <o:lock v:ext="edit" aspectratio="f"/>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2173605</wp:posOffset>
                </wp:positionH>
                <wp:positionV relativeFrom="paragraph">
                  <wp:posOffset>2894965</wp:posOffset>
                </wp:positionV>
                <wp:extent cx="113030" cy="122555"/>
                <wp:effectExtent l="20955" t="24765" r="37465" b="24130"/>
                <wp:wrapNone/>
                <wp:docPr id="77" name="自选图形 615"/>
                <wp:cNvGraphicFramePr/>
                <a:graphic xmlns:a="http://schemas.openxmlformats.org/drawingml/2006/main">
                  <a:graphicData uri="http://schemas.microsoft.com/office/word/2010/wordprocessingShape">
                    <wps:wsp>
                      <wps:cNvSpPr/>
                      <wps:spPr>
                        <a:xfrm>
                          <a:off x="0" y="0"/>
                          <a:ext cx="113030" cy="122555"/>
                        </a:xfrm>
                        <a:prstGeom prst="star4">
                          <a:avLst>
                            <a:gd name="adj" fmla="val 12500"/>
                          </a:avLst>
                        </a:prstGeom>
                        <a:solidFill>
                          <a:srgbClr val="FFFFFF"/>
                        </a:solidFill>
                        <a:ln w="9525" cap="flat" cmpd="sng">
                          <a:solidFill>
                            <a:srgbClr val="00B0F0"/>
                          </a:solidFill>
                          <a:prstDash val="solid"/>
                          <a:miter/>
                          <a:headEnd type="none" w="med" len="med"/>
                          <a:tailEnd type="none" w="med" len="med"/>
                        </a:ln>
                      </wps:spPr>
                      <wps:bodyPr wrap="square" upright="1"/>
                    </wps:wsp>
                  </a:graphicData>
                </a:graphic>
              </wp:anchor>
            </w:drawing>
          </mc:Choice>
          <mc:Fallback>
            <w:pict>
              <v:shape id="自选图形 615" o:spid="_x0000_s1026" o:spt="187" type="#_x0000_t187" style="position:absolute;left:0pt;margin-left:171.15pt;margin-top:227.95pt;height:9.65pt;width:8.9pt;z-index:251737088;mso-width-relative:page;mso-height-relative:page;" fillcolor="#FFFFFF" filled="t" stroked="t" coordsize="21600,21600" o:gfxdata="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MOAc3AAAAAsBAAAPAAAAAAAAAAEAIAAAACIAAABkcnMvZG93bnJldi54&#10;bWxQSwECFAAUAAAACACHTuJAdU5IKC8CAABhBAAADgAAAAAAAAABACAAAAArAQAAZHJzL2Uyb0Rv&#10;Yy54bWxQSwUGAAAAAAYABgBZAQAAzAUAAAAA&#10;" adj="8100">
                <v:fill on="t" focussize="0,0"/>
                <v:stroke color="#00B0F0" joinstyle="miter"/>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2199005</wp:posOffset>
                </wp:positionH>
                <wp:positionV relativeFrom="paragraph">
                  <wp:posOffset>4678680</wp:posOffset>
                </wp:positionV>
                <wp:extent cx="471170" cy="281305"/>
                <wp:effectExtent l="0" t="0" r="0" b="0"/>
                <wp:wrapNone/>
                <wp:docPr id="76" name="文本框 616"/>
                <wp:cNvGraphicFramePr/>
                <a:graphic xmlns:a="http://schemas.openxmlformats.org/drawingml/2006/main">
                  <a:graphicData uri="http://schemas.microsoft.com/office/word/2010/wordprocessingShape">
                    <wps:wsp>
                      <wps:cNvSpPr txBox="1"/>
                      <wps:spPr>
                        <a:xfrm>
                          <a:off x="0" y="0"/>
                          <a:ext cx="471170" cy="281305"/>
                        </a:xfrm>
                        <a:prstGeom prst="rect">
                          <a:avLst/>
                        </a:prstGeom>
                        <a:noFill/>
                        <a:ln>
                          <a:noFill/>
                        </a:ln>
                      </wps:spPr>
                      <wps:txbx>
                        <w:txbxContent>
                          <w:p>
                            <w:pPr>
                              <w:rPr>
                                <w:rFonts w:hint="eastAsia" w:eastAsia="宋体"/>
                                <w:highlight w:val="green"/>
                                <w:lang w:val="en-US" w:eastAsia="zh-CN"/>
                              </w:rPr>
                            </w:pPr>
                            <w:r>
                              <w:rPr>
                                <w:rFonts w:hint="eastAsia"/>
                                <w:highlight w:val="green"/>
                                <w:lang w:val="en-US" w:eastAsia="zh-CN"/>
                              </w:rPr>
                              <w:t>林地</w:t>
                            </w:r>
                          </w:p>
                        </w:txbxContent>
                      </wps:txbx>
                      <wps:bodyPr wrap="square" upright="1"/>
                    </wps:wsp>
                  </a:graphicData>
                </a:graphic>
              </wp:anchor>
            </w:drawing>
          </mc:Choice>
          <mc:Fallback>
            <w:pict>
              <v:shape id="文本框 616" o:spid="_x0000_s1026" o:spt="202" type="#_x0000_t202" style="position:absolute;left:0pt;margin-left:173.15pt;margin-top:368.4pt;height:22.15pt;width:37.1pt;z-index:251736064;mso-width-relative:page;mso-height-relative:page;" filled="f" stroked="f" coordsize="21600,21600" o:gfxdata="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RK4Z/2AAAAAsBAAAPAAAAAAAAAAEAIAAAACIAAABkcnMvZG93bnJldi54bWxQSwECFAAU&#10;AAAACACHTuJAhVD/x7gBAABeAwAADgAAAAAAAAABACAAAAAnAQAAZHJzL2Uyb0RvYy54bWxQSwUG&#10;AAAAAAYABgBZAQAAUQUAAAAA&#10;">
                <v:fill on="f" focussize="0,0"/>
                <v:stroke on="f"/>
                <v:imagedata o:title=""/>
                <o:lock v:ext="edit" aspectratio="f"/>
                <v:textbox>
                  <w:txbxContent>
                    <w:p>
                      <w:pPr>
                        <w:rPr>
                          <w:rFonts w:hint="eastAsia" w:eastAsia="宋体"/>
                          <w:highlight w:val="green"/>
                          <w:lang w:val="en-US" w:eastAsia="zh-CN"/>
                        </w:rPr>
                      </w:pPr>
                      <w:r>
                        <w:rPr>
                          <w:rFonts w:hint="eastAsia"/>
                          <w:highlight w:val="green"/>
                          <w:lang w:val="en-US" w:eastAsia="zh-CN"/>
                        </w:rPr>
                        <w:t>林地</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2956560</wp:posOffset>
                </wp:positionH>
                <wp:positionV relativeFrom="paragraph">
                  <wp:posOffset>4197985</wp:posOffset>
                </wp:positionV>
                <wp:extent cx="471170" cy="281305"/>
                <wp:effectExtent l="0" t="0" r="0" b="0"/>
                <wp:wrapNone/>
                <wp:docPr id="75" name="文本框 617"/>
                <wp:cNvGraphicFramePr/>
                <a:graphic xmlns:a="http://schemas.openxmlformats.org/drawingml/2006/main">
                  <a:graphicData uri="http://schemas.microsoft.com/office/word/2010/wordprocessingShape">
                    <wps:wsp>
                      <wps:cNvSpPr txBox="1"/>
                      <wps:spPr>
                        <a:xfrm>
                          <a:off x="0" y="0"/>
                          <a:ext cx="471170" cy="281305"/>
                        </a:xfrm>
                        <a:prstGeom prst="rect">
                          <a:avLst/>
                        </a:prstGeom>
                        <a:noFill/>
                        <a:ln>
                          <a:noFill/>
                        </a:ln>
                      </wps:spPr>
                      <wps:txbx>
                        <w:txbxContent>
                          <w:p>
                            <w:pPr>
                              <w:rPr>
                                <w:rFonts w:hint="eastAsia" w:eastAsia="宋体"/>
                                <w:highlight w:val="green"/>
                                <w:lang w:val="en-US" w:eastAsia="zh-CN"/>
                              </w:rPr>
                            </w:pPr>
                            <w:r>
                              <w:rPr>
                                <w:rFonts w:hint="eastAsia"/>
                                <w:highlight w:val="green"/>
                                <w:lang w:val="en-US" w:eastAsia="zh-CN"/>
                              </w:rPr>
                              <w:t>林地</w:t>
                            </w:r>
                          </w:p>
                        </w:txbxContent>
                      </wps:txbx>
                      <wps:bodyPr wrap="square" upright="1"/>
                    </wps:wsp>
                  </a:graphicData>
                </a:graphic>
              </wp:anchor>
            </w:drawing>
          </mc:Choice>
          <mc:Fallback>
            <w:pict>
              <v:shape id="文本框 617" o:spid="_x0000_s1026" o:spt="202" type="#_x0000_t202" style="position:absolute;left:0pt;margin-left:232.8pt;margin-top:330.55pt;height:22.15pt;width:37.1pt;z-index:251735040;mso-width-relative:page;mso-height-relative:page;" filled="f" stroked="f" coordsize="21600,21600" o:gfxdata="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rIIFNgAAAALAQAADwAAAAAAAAABACAAAAAiAAAAZHJzL2Rvd25yZXYueG1sUEsBAhQA&#10;FAAAAAgAh07iQD3g7DO5AQAAXgMAAA4AAAAAAAAAAQAgAAAAJwEAAGRycy9lMm9Eb2MueG1sUEsF&#10;BgAAAAAGAAYAWQEAAFIFAAAAAA==&#10;">
                <v:fill on="f" focussize="0,0"/>
                <v:stroke on="f"/>
                <v:imagedata o:title=""/>
                <o:lock v:ext="edit" aspectratio="f"/>
                <v:textbox>
                  <w:txbxContent>
                    <w:p>
                      <w:pPr>
                        <w:rPr>
                          <w:rFonts w:hint="eastAsia" w:eastAsia="宋体"/>
                          <w:highlight w:val="green"/>
                          <w:lang w:val="en-US" w:eastAsia="zh-CN"/>
                        </w:rPr>
                      </w:pPr>
                      <w:r>
                        <w:rPr>
                          <w:rFonts w:hint="eastAsia"/>
                          <w:highlight w:val="green"/>
                          <w:lang w:val="en-US" w:eastAsia="zh-CN"/>
                        </w:rPr>
                        <w:t>林地</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1477645</wp:posOffset>
                </wp:positionH>
                <wp:positionV relativeFrom="paragraph">
                  <wp:posOffset>2426970</wp:posOffset>
                </wp:positionV>
                <wp:extent cx="471170" cy="281305"/>
                <wp:effectExtent l="0" t="0" r="0" b="0"/>
                <wp:wrapNone/>
                <wp:docPr id="74" name="文本框 618"/>
                <wp:cNvGraphicFramePr/>
                <a:graphic xmlns:a="http://schemas.openxmlformats.org/drawingml/2006/main">
                  <a:graphicData uri="http://schemas.microsoft.com/office/word/2010/wordprocessingShape">
                    <wps:wsp>
                      <wps:cNvSpPr txBox="1"/>
                      <wps:spPr>
                        <a:xfrm>
                          <a:off x="0" y="0"/>
                          <a:ext cx="471170" cy="281305"/>
                        </a:xfrm>
                        <a:prstGeom prst="rect">
                          <a:avLst/>
                        </a:prstGeom>
                        <a:noFill/>
                        <a:ln>
                          <a:noFill/>
                        </a:ln>
                      </wps:spPr>
                      <wps:txbx>
                        <w:txbxContent>
                          <w:p>
                            <w:pPr>
                              <w:rPr>
                                <w:rFonts w:hint="eastAsia" w:eastAsia="宋体"/>
                                <w:highlight w:val="green"/>
                                <w:lang w:val="en-US" w:eastAsia="zh-CN"/>
                              </w:rPr>
                            </w:pPr>
                            <w:r>
                              <w:rPr>
                                <w:rFonts w:hint="eastAsia"/>
                                <w:highlight w:val="green"/>
                                <w:lang w:val="en-US" w:eastAsia="zh-CN"/>
                              </w:rPr>
                              <w:t>林地</w:t>
                            </w:r>
                          </w:p>
                        </w:txbxContent>
                      </wps:txbx>
                      <wps:bodyPr wrap="square" upright="1"/>
                    </wps:wsp>
                  </a:graphicData>
                </a:graphic>
              </wp:anchor>
            </w:drawing>
          </mc:Choice>
          <mc:Fallback>
            <w:pict>
              <v:shape id="文本框 618" o:spid="_x0000_s1026" o:spt="202" type="#_x0000_t202" style="position:absolute;left:0pt;margin-left:116.35pt;margin-top:191.1pt;height:22.15pt;width:37.1pt;z-index:251734016;mso-width-relative:page;mso-height-relative:page;" filled="f" stroked="f" coordsize="21600,21600" o:gfxdata="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y9CZ9kAAAALAQAADwAAAAAAAAABACAAAAAiAAAAZHJzL2Rvd25yZXYueG1sUEsBAhQA&#10;FAAAAAgAh07iQOnWCsS4AQAAXgMAAA4AAAAAAAAAAQAgAAAAKAEAAGRycy9lMm9Eb2MueG1sUEsF&#10;BgAAAAAGAAYAWQEAAFIFAAAAAA==&#10;">
                <v:fill on="f" focussize="0,0"/>
                <v:stroke on="f"/>
                <v:imagedata o:title=""/>
                <o:lock v:ext="edit" aspectratio="f"/>
                <v:textbox>
                  <w:txbxContent>
                    <w:p>
                      <w:pPr>
                        <w:rPr>
                          <w:rFonts w:hint="eastAsia" w:eastAsia="宋体"/>
                          <w:highlight w:val="green"/>
                          <w:lang w:val="en-US" w:eastAsia="zh-CN"/>
                        </w:rPr>
                      </w:pPr>
                      <w:r>
                        <w:rPr>
                          <w:rFonts w:hint="eastAsia"/>
                          <w:highlight w:val="green"/>
                          <w:lang w:val="en-US" w:eastAsia="zh-CN"/>
                        </w:rPr>
                        <w:t>林地</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1731645</wp:posOffset>
                </wp:positionH>
                <wp:positionV relativeFrom="paragraph">
                  <wp:posOffset>3649345</wp:posOffset>
                </wp:positionV>
                <wp:extent cx="471170" cy="281305"/>
                <wp:effectExtent l="0" t="0" r="0" b="0"/>
                <wp:wrapNone/>
                <wp:docPr id="73" name="文本框 619"/>
                <wp:cNvGraphicFramePr/>
                <a:graphic xmlns:a="http://schemas.openxmlformats.org/drawingml/2006/main">
                  <a:graphicData uri="http://schemas.microsoft.com/office/word/2010/wordprocessingShape">
                    <wps:wsp>
                      <wps:cNvSpPr txBox="1"/>
                      <wps:spPr>
                        <a:xfrm>
                          <a:off x="0" y="0"/>
                          <a:ext cx="471170" cy="281305"/>
                        </a:xfrm>
                        <a:prstGeom prst="rect">
                          <a:avLst/>
                        </a:prstGeom>
                        <a:noFill/>
                        <a:ln>
                          <a:noFill/>
                        </a:ln>
                      </wps:spPr>
                      <wps:txbx>
                        <w:txbxContent>
                          <w:p>
                            <w:pPr>
                              <w:rPr>
                                <w:rFonts w:hint="eastAsia" w:eastAsia="宋体"/>
                                <w:highlight w:val="green"/>
                                <w:lang w:val="en-US" w:eastAsia="zh-CN"/>
                              </w:rPr>
                            </w:pPr>
                            <w:r>
                              <w:rPr>
                                <w:rFonts w:hint="eastAsia"/>
                                <w:highlight w:val="green"/>
                                <w:lang w:val="en-US" w:eastAsia="zh-CN"/>
                              </w:rPr>
                              <w:t>林地</w:t>
                            </w:r>
                          </w:p>
                        </w:txbxContent>
                      </wps:txbx>
                      <wps:bodyPr wrap="square" upright="1"/>
                    </wps:wsp>
                  </a:graphicData>
                </a:graphic>
              </wp:anchor>
            </w:drawing>
          </mc:Choice>
          <mc:Fallback>
            <w:pict>
              <v:shape id="文本框 619" o:spid="_x0000_s1026" o:spt="202" type="#_x0000_t202" style="position:absolute;left:0pt;margin-left:136.35pt;margin-top:287.35pt;height:22.15pt;width:37.1pt;z-index:251732992;mso-width-relative:page;mso-height-relative:page;" filled="f" stroked="f" coordsize="21600,21600" o:gfxdata="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DlQnzZAAAACwEAAA8AAAAAAAAAAQAgAAAAIgAAAGRycy9kb3ducmV2LnhtbFBLAQIU&#10;ABQAAAAIAIdO4kAfCKiNuQEAAF4DAAAOAAAAAAAAAAEAIAAAACgBAABkcnMvZTJvRG9jLnhtbFBL&#10;BQYAAAAABgAGAFkBAABTBQAAAAA=&#10;">
                <v:fill on="f" focussize="0,0"/>
                <v:stroke on="f"/>
                <v:imagedata o:title=""/>
                <o:lock v:ext="edit" aspectratio="f"/>
                <v:textbox>
                  <w:txbxContent>
                    <w:p>
                      <w:pPr>
                        <w:rPr>
                          <w:rFonts w:hint="eastAsia" w:eastAsia="宋体"/>
                          <w:highlight w:val="green"/>
                          <w:lang w:val="en-US" w:eastAsia="zh-CN"/>
                        </w:rPr>
                      </w:pPr>
                      <w:r>
                        <w:rPr>
                          <w:rFonts w:hint="eastAsia"/>
                          <w:highlight w:val="green"/>
                          <w:lang w:val="en-US" w:eastAsia="zh-CN"/>
                        </w:rPr>
                        <w:t>林地</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2522855</wp:posOffset>
                </wp:positionH>
                <wp:positionV relativeFrom="paragraph">
                  <wp:posOffset>3446780</wp:posOffset>
                </wp:positionV>
                <wp:extent cx="471170" cy="281305"/>
                <wp:effectExtent l="0" t="0" r="0" b="0"/>
                <wp:wrapNone/>
                <wp:docPr id="72" name="文本框 620"/>
                <wp:cNvGraphicFramePr/>
                <a:graphic xmlns:a="http://schemas.openxmlformats.org/drawingml/2006/main">
                  <a:graphicData uri="http://schemas.microsoft.com/office/word/2010/wordprocessingShape">
                    <wps:wsp>
                      <wps:cNvSpPr txBox="1"/>
                      <wps:spPr>
                        <a:xfrm>
                          <a:off x="0" y="0"/>
                          <a:ext cx="471170" cy="281305"/>
                        </a:xfrm>
                        <a:prstGeom prst="rect">
                          <a:avLst/>
                        </a:prstGeom>
                        <a:noFill/>
                        <a:ln>
                          <a:noFill/>
                        </a:ln>
                      </wps:spPr>
                      <wps:txbx>
                        <w:txbxContent>
                          <w:p>
                            <w:pPr>
                              <w:rPr>
                                <w:rFonts w:hint="eastAsia" w:eastAsia="宋体"/>
                                <w:highlight w:val="green"/>
                                <w:lang w:val="en-US" w:eastAsia="zh-CN"/>
                              </w:rPr>
                            </w:pPr>
                            <w:r>
                              <w:rPr>
                                <w:rFonts w:hint="eastAsia"/>
                                <w:highlight w:val="green"/>
                                <w:lang w:val="en-US" w:eastAsia="zh-CN"/>
                              </w:rPr>
                              <w:t>林地</w:t>
                            </w:r>
                          </w:p>
                        </w:txbxContent>
                      </wps:txbx>
                      <wps:bodyPr wrap="square" upright="1"/>
                    </wps:wsp>
                  </a:graphicData>
                </a:graphic>
              </wp:anchor>
            </w:drawing>
          </mc:Choice>
          <mc:Fallback>
            <w:pict>
              <v:shape id="文本框 620" o:spid="_x0000_s1026" o:spt="202" type="#_x0000_t202" style="position:absolute;left:0pt;margin-left:198.65pt;margin-top:271.4pt;height:22.15pt;width:37.1pt;z-index:251731968;mso-width-relative:page;mso-height-relative:page;" filled="f" stroked="f" coordsize="21600,21600" o:gfxdata="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6FmYD2QAAAAsBAAAPAAAAAAAAAAEAIAAAACIAAABkcnMvZG93bnJldi54bWxQSwECFAAU&#10;AAAACACHTuJAJm+vhrcBAABeAwAADgAAAAAAAAABACAAAAAoAQAAZHJzL2Uyb0RvYy54bWxQSwUG&#10;AAAAAAYABgBZAQAAUQUAAAAA&#10;">
                <v:fill on="f" focussize="0,0"/>
                <v:stroke on="f"/>
                <v:imagedata o:title=""/>
                <o:lock v:ext="edit" aspectratio="f"/>
                <v:textbox>
                  <w:txbxContent>
                    <w:p>
                      <w:pPr>
                        <w:rPr>
                          <w:rFonts w:hint="eastAsia" w:eastAsia="宋体"/>
                          <w:highlight w:val="green"/>
                          <w:lang w:val="en-US" w:eastAsia="zh-CN"/>
                        </w:rPr>
                      </w:pPr>
                      <w:r>
                        <w:rPr>
                          <w:rFonts w:hint="eastAsia"/>
                          <w:highlight w:val="green"/>
                          <w:lang w:val="en-US" w:eastAsia="zh-CN"/>
                        </w:rPr>
                        <w:t>林地</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4939030</wp:posOffset>
                </wp:positionH>
                <wp:positionV relativeFrom="paragraph">
                  <wp:posOffset>7505700</wp:posOffset>
                </wp:positionV>
                <wp:extent cx="75565" cy="85725"/>
                <wp:effectExtent l="4445" t="4445" r="15240" b="5080"/>
                <wp:wrapNone/>
                <wp:docPr id="71" name="椭圆 621"/>
                <wp:cNvGraphicFramePr/>
                <a:graphic xmlns:a="http://schemas.openxmlformats.org/drawingml/2006/main">
                  <a:graphicData uri="http://schemas.microsoft.com/office/word/2010/wordprocessingShape">
                    <wps:wsp>
                      <wps:cNvSpPr/>
                      <wps:spPr>
                        <a:xfrm>
                          <a:off x="0" y="0"/>
                          <a:ext cx="75565" cy="85725"/>
                        </a:xfrm>
                        <a:prstGeom prst="ellipse">
                          <a:avLst/>
                        </a:prstGeom>
                        <a:solidFill>
                          <a:srgbClr val="FF0000"/>
                        </a:solidFill>
                        <a:ln w="9525" cap="flat" cmpd="sng">
                          <a:solidFill>
                            <a:srgbClr val="FF0000"/>
                          </a:solidFill>
                          <a:prstDash val="solid"/>
                          <a:headEnd type="none" w="med" len="med"/>
                          <a:tailEnd type="none" w="med" len="med"/>
                        </a:ln>
                      </wps:spPr>
                      <wps:bodyPr wrap="square" upright="1"/>
                    </wps:wsp>
                  </a:graphicData>
                </a:graphic>
              </wp:anchor>
            </w:drawing>
          </mc:Choice>
          <mc:Fallback>
            <w:pict>
              <v:shape id="椭圆 621" o:spid="_x0000_s1026" o:spt="3" type="#_x0000_t3" style="position:absolute;left:0pt;margin-left:388.9pt;margin-top:591pt;height:6.75pt;width:5.95pt;z-index:251730944;mso-width-relative:page;mso-height-relative:page;" fillcolor="#FF0000" filled="t" stroked="t" coordsize="21600,21600" o:gfxdata="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uY6X2AAAAA0BAAAPAAAAAAAAAAEAIAAAACIAAABkcnMvZG93bnJl&#10;di54bWxQSwECFAAUAAAACACHTuJArycewf0BAAAlBAAADgAAAAAAAAABACAAAAAnAQAAZHJzL2Uy&#10;b0RvYy54bWxQSwUGAAAAAAYABgBZAQAAlgUAAAAA&#10;">
                <v:fill on="t" focussize="0,0"/>
                <v:stroke color="#FF0000" joinstyle="round"/>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2214880</wp:posOffset>
                </wp:positionH>
                <wp:positionV relativeFrom="paragraph">
                  <wp:posOffset>3228975</wp:posOffset>
                </wp:positionV>
                <wp:extent cx="75565" cy="85725"/>
                <wp:effectExtent l="4445" t="4445" r="15240" b="5080"/>
                <wp:wrapNone/>
                <wp:docPr id="70" name="椭圆 622"/>
                <wp:cNvGraphicFramePr/>
                <a:graphic xmlns:a="http://schemas.openxmlformats.org/drawingml/2006/main">
                  <a:graphicData uri="http://schemas.microsoft.com/office/word/2010/wordprocessingShape">
                    <wps:wsp>
                      <wps:cNvSpPr/>
                      <wps:spPr>
                        <a:xfrm>
                          <a:off x="0" y="0"/>
                          <a:ext cx="75565" cy="85725"/>
                        </a:xfrm>
                        <a:prstGeom prst="ellipse">
                          <a:avLst/>
                        </a:prstGeom>
                        <a:solidFill>
                          <a:srgbClr val="FF0000"/>
                        </a:solidFill>
                        <a:ln w="9525" cap="flat" cmpd="sng">
                          <a:solidFill>
                            <a:srgbClr val="FF0000"/>
                          </a:solidFill>
                          <a:prstDash val="solid"/>
                          <a:headEnd type="none" w="med" len="med"/>
                          <a:tailEnd type="none" w="med" len="med"/>
                        </a:ln>
                      </wps:spPr>
                      <wps:bodyPr wrap="square" upright="1"/>
                    </wps:wsp>
                  </a:graphicData>
                </a:graphic>
              </wp:anchor>
            </w:drawing>
          </mc:Choice>
          <mc:Fallback>
            <w:pict>
              <v:shape id="椭圆 622" o:spid="_x0000_s1026" o:spt="3" type="#_x0000_t3" style="position:absolute;left:0pt;margin-left:174.4pt;margin-top:254.25pt;height:6.75pt;width:5.95pt;z-index:251729920;mso-width-relative:page;mso-height-relative:page;" fillcolor="#FF0000" filled="t" stroked="t" coordsize="21600,21600" o:gfxdata="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i31adgAAAALAQAADwAAAAAAAAABACAAAAAiAAAAZHJzL2Rvd25y&#10;ZXYueG1sUEsBAhQAFAAAAAgAh07iQI8DQF3+AQAAJQQAAA4AAAAAAAAAAQAgAAAAJwEAAGRycy9l&#10;Mm9Eb2MueG1sUEsFBgAAAAAGAAYAWQEAAJcFAAAAAA==&#10;">
                <v:fill on="t" focussize="0,0"/>
                <v:stroke color="#FF0000" joinstyle="round"/>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4824095</wp:posOffset>
                </wp:positionH>
                <wp:positionV relativeFrom="paragraph">
                  <wp:posOffset>7221855</wp:posOffset>
                </wp:positionV>
                <wp:extent cx="238125" cy="171450"/>
                <wp:effectExtent l="4445" t="4445" r="5080" b="14605"/>
                <wp:wrapNone/>
                <wp:docPr id="69" name="矩形 623"/>
                <wp:cNvGraphicFramePr/>
                <a:graphic xmlns:a="http://schemas.openxmlformats.org/drawingml/2006/main">
                  <a:graphicData uri="http://schemas.microsoft.com/office/word/2010/wordprocessingShape">
                    <wps:wsp>
                      <wps:cNvSpPr/>
                      <wps:spPr>
                        <a:xfrm>
                          <a:off x="0" y="0"/>
                          <a:ext cx="238125" cy="171450"/>
                        </a:xfrm>
                        <a:prstGeom prst="rect">
                          <a:avLst/>
                        </a:prstGeom>
                        <a:noFill/>
                        <a:ln w="9525" cap="flat" cmpd="sng">
                          <a:solidFill>
                            <a:srgbClr val="FFFF00"/>
                          </a:solidFill>
                          <a:prstDash val="solid"/>
                          <a:miter/>
                          <a:headEnd type="none" w="med" len="med"/>
                          <a:tailEnd type="none" w="med" len="med"/>
                        </a:ln>
                      </wps:spPr>
                      <wps:bodyPr wrap="square" upright="1"/>
                    </wps:wsp>
                  </a:graphicData>
                </a:graphic>
              </wp:anchor>
            </w:drawing>
          </mc:Choice>
          <mc:Fallback>
            <w:pict>
              <v:rect id="矩形 623" o:spid="_x0000_s1026" o:spt="1" style="position:absolute;left:0pt;margin-left:379.85pt;margin-top:568.65pt;height:13.5pt;width:18.75pt;z-index:251728896;mso-width-relative:page;mso-height-relative:page;" filled="f" stroked="t" coordsize="21600,21600" o:gfxdata="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fkh/3gAAAA0BAAAPAAAAAAAAAAEAIAAAACIA&#10;AABkcnMvZG93bnJldi54bWxQSwECFAAUAAAACACHTuJAXe6sXQMCAAAFBAAADgAAAAAAAAABACAA&#10;AAAtAQAAZHJzL2Uyb0RvYy54bWxQSwUGAAAAAAYABgBZAQAAogUAAAAA&#10;">
                <v:fill on="f" focussize="0,0"/>
                <v:stroke color="#FFFF00" joinstyle="miter"/>
                <v:imagedata o:title=""/>
                <o:lock v:ext="edit" aspectratio="f"/>
              </v:rect>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2516505</wp:posOffset>
                </wp:positionH>
                <wp:positionV relativeFrom="paragraph">
                  <wp:posOffset>4067810</wp:posOffset>
                </wp:positionV>
                <wp:extent cx="289560" cy="479425"/>
                <wp:effectExtent l="4445" t="4445" r="10795" b="11430"/>
                <wp:wrapNone/>
                <wp:docPr id="68" name="任意多边形 624"/>
                <wp:cNvGraphicFramePr/>
                <a:graphic xmlns:a="http://schemas.openxmlformats.org/drawingml/2006/main">
                  <a:graphicData uri="http://schemas.microsoft.com/office/word/2010/wordprocessingShape">
                    <wps:wsp>
                      <wps:cNvSpPr/>
                      <wps:spPr>
                        <a:xfrm>
                          <a:off x="0" y="0"/>
                          <a:ext cx="289560" cy="479425"/>
                        </a:xfrm>
                        <a:custGeom>
                          <a:avLst/>
                          <a:gdLst/>
                          <a:ahLst/>
                          <a:cxnLst/>
                          <a:pathLst>
                            <a:path w="456" h="755">
                              <a:moveTo>
                                <a:pt x="162" y="100"/>
                              </a:moveTo>
                              <a:lnTo>
                                <a:pt x="212" y="0"/>
                              </a:lnTo>
                              <a:lnTo>
                                <a:pt x="456" y="161"/>
                              </a:lnTo>
                              <a:lnTo>
                                <a:pt x="284" y="222"/>
                              </a:lnTo>
                              <a:lnTo>
                                <a:pt x="434" y="677"/>
                              </a:lnTo>
                              <a:lnTo>
                                <a:pt x="417" y="711"/>
                              </a:lnTo>
                              <a:lnTo>
                                <a:pt x="200" y="755"/>
                              </a:lnTo>
                              <a:lnTo>
                                <a:pt x="128" y="750"/>
                              </a:lnTo>
                              <a:lnTo>
                                <a:pt x="156" y="672"/>
                              </a:lnTo>
                              <a:lnTo>
                                <a:pt x="28" y="588"/>
                              </a:lnTo>
                              <a:lnTo>
                                <a:pt x="28" y="555"/>
                              </a:lnTo>
                              <a:lnTo>
                                <a:pt x="0" y="494"/>
                              </a:lnTo>
                              <a:lnTo>
                                <a:pt x="0" y="450"/>
                              </a:lnTo>
                              <a:lnTo>
                                <a:pt x="67" y="405"/>
                              </a:lnTo>
                              <a:lnTo>
                                <a:pt x="62" y="327"/>
                              </a:lnTo>
                              <a:lnTo>
                                <a:pt x="167" y="161"/>
                              </a:lnTo>
                              <a:lnTo>
                                <a:pt x="162" y="100"/>
                              </a:lnTo>
                              <a:close/>
                            </a:path>
                          </a:pathLst>
                        </a:custGeom>
                        <a:noFill/>
                        <a:ln w="9525" cap="flat" cmpd="sng">
                          <a:solidFill>
                            <a:srgbClr val="FFFF00"/>
                          </a:solidFill>
                          <a:prstDash val="solid"/>
                          <a:headEnd type="none" w="med" len="med"/>
                          <a:tailEnd type="none" w="med" len="med"/>
                        </a:ln>
                      </wps:spPr>
                      <wps:bodyPr wrap="square" upright="1"/>
                    </wps:wsp>
                  </a:graphicData>
                </a:graphic>
              </wp:anchor>
            </w:drawing>
          </mc:Choice>
          <mc:Fallback>
            <w:pict>
              <v:shape id="任意多边形 624" o:spid="_x0000_s1026" o:spt="100" style="position:absolute;left:0pt;margin-left:198.15pt;margin-top:320.3pt;height:37.75pt;width:22.8pt;z-index:251727872;mso-width-relative:page;mso-height-relative:page;" filled="f" stroked="t" coordsize="456,755" o:gfxdata="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TMdhNkAAAALAQAADwAAAAAAAAABACAAAAAiAAAAZHJzL2Rvd25yZXYueG1sUEsBAhQAFAAAAAgA&#10;h07iQBVtFeTPAgAA+wYAAA4AAAAAAAAAAQAgAAAAKAEAAGRycy9lMm9Eb2MueG1sUEsFBgAAAAAG&#10;AAYAWQEAAGkGAAAAAA==&#10;" path="m162,100l212,0,456,161,284,222,434,677,417,711,200,755,128,750,156,672,28,588,28,555,0,494,0,450,67,405,62,327,167,161,162,100xe">
                <v:fill on="f" focussize="0,0"/>
                <v:stroke color="#FFFF00" joinstyle="round"/>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1878330</wp:posOffset>
                </wp:positionH>
                <wp:positionV relativeFrom="paragraph">
                  <wp:posOffset>2808605</wp:posOffset>
                </wp:positionV>
                <wp:extent cx="744220" cy="1502410"/>
                <wp:effectExtent l="4445" t="4445" r="13335" b="17145"/>
                <wp:wrapNone/>
                <wp:docPr id="67" name="任意多边形 625"/>
                <wp:cNvGraphicFramePr/>
                <a:graphic xmlns:a="http://schemas.openxmlformats.org/drawingml/2006/main">
                  <a:graphicData uri="http://schemas.microsoft.com/office/word/2010/wordprocessingShape">
                    <wps:wsp>
                      <wps:cNvSpPr/>
                      <wps:spPr>
                        <a:xfrm>
                          <a:off x="0" y="0"/>
                          <a:ext cx="744220" cy="1502410"/>
                        </a:xfrm>
                        <a:custGeom>
                          <a:avLst/>
                          <a:gdLst/>
                          <a:ahLst/>
                          <a:cxnLst/>
                          <a:pathLst>
                            <a:path w="1172" h="2366">
                              <a:moveTo>
                                <a:pt x="0" y="0"/>
                              </a:moveTo>
                              <a:lnTo>
                                <a:pt x="61" y="0"/>
                              </a:lnTo>
                              <a:lnTo>
                                <a:pt x="189" y="94"/>
                              </a:lnTo>
                              <a:lnTo>
                                <a:pt x="322" y="272"/>
                              </a:lnTo>
                              <a:lnTo>
                                <a:pt x="539" y="416"/>
                              </a:lnTo>
                              <a:lnTo>
                                <a:pt x="678" y="505"/>
                              </a:lnTo>
                              <a:lnTo>
                                <a:pt x="689" y="561"/>
                              </a:lnTo>
                              <a:lnTo>
                                <a:pt x="833" y="1005"/>
                              </a:lnTo>
                              <a:lnTo>
                                <a:pt x="817" y="1172"/>
                              </a:lnTo>
                              <a:lnTo>
                                <a:pt x="800" y="1344"/>
                              </a:lnTo>
                              <a:lnTo>
                                <a:pt x="889" y="1633"/>
                              </a:lnTo>
                              <a:lnTo>
                                <a:pt x="939" y="1705"/>
                              </a:lnTo>
                              <a:lnTo>
                                <a:pt x="1122" y="1894"/>
                              </a:lnTo>
                              <a:lnTo>
                                <a:pt x="1172" y="1944"/>
                              </a:lnTo>
                              <a:lnTo>
                                <a:pt x="1100" y="2072"/>
                              </a:lnTo>
                              <a:lnTo>
                                <a:pt x="1061" y="2066"/>
                              </a:lnTo>
                              <a:lnTo>
                                <a:pt x="911" y="2366"/>
                              </a:lnTo>
                              <a:lnTo>
                                <a:pt x="605" y="1439"/>
                              </a:lnTo>
                              <a:lnTo>
                                <a:pt x="644" y="1422"/>
                              </a:lnTo>
                              <a:lnTo>
                                <a:pt x="533" y="1111"/>
                              </a:lnTo>
                              <a:lnTo>
                                <a:pt x="433" y="1133"/>
                              </a:lnTo>
                              <a:lnTo>
                                <a:pt x="383" y="961"/>
                              </a:lnTo>
                              <a:lnTo>
                                <a:pt x="272" y="950"/>
                              </a:lnTo>
                              <a:lnTo>
                                <a:pt x="0" y="0"/>
                              </a:lnTo>
                              <a:close/>
                            </a:path>
                          </a:pathLst>
                        </a:custGeom>
                        <a:noFill/>
                        <a:ln w="9525" cap="flat" cmpd="sng">
                          <a:solidFill>
                            <a:srgbClr val="FFFF00"/>
                          </a:solidFill>
                          <a:prstDash val="solid"/>
                          <a:headEnd type="none" w="med" len="med"/>
                          <a:tailEnd type="none" w="med" len="med"/>
                        </a:ln>
                      </wps:spPr>
                      <wps:bodyPr wrap="square" upright="1"/>
                    </wps:wsp>
                  </a:graphicData>
                </a:graphic>
              </wp:anchor>
            </w:drawing>
          </mc:Choice>
          <mc:Fallback>
            <w:pict>
              <v:shape id="任意多边形 625" o:spid="_x0000_s1026" o:spt="100" style="position:absolute;left:0pt;margin-left:147.9pt;margin-top:221.15pt;height:118.3pt;width:58.6pt;z-index:251726848;mso-width-relative:page;mso-height-relative:page;" filled="f" stroked="t" coordsize="1172,2366" o:gfxdata="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E2aydkAAAALAQAADwAAAAAAAAABACAAAAAiAAAAZHJzL2Rvd25yZXYueG1sUEsBAhQA&#10;FAAAAAgAh07iQN++IAYOAwAAJggAAA4AAAAAAAAAAQAgAAAAKAEAAGRycy9lMm9Eb2MueG1sUEsF&#10;BgAAAAAGAAYAWQEAAKgGAAAAAA==&#10;" path="m0,0l61,0,189,94,322,272,539,416,678,505,689,561,833,1005,817,1172,800,1344,889,1633,939,1705,1122,1894,1172,1944,1100,2072,1061,2066,911,2366,605,1439,644,1422,533,1111,433,1133,383,961,272,950,0,0xe">
                <v:fill on="f" focussize="0,0"/>
                <v:stroke color="#FFFF00" joinstyle="round"/>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4780280</wp:posOffset>
                </wp:positionH>
                <wp:positionV relativeFrom="paragraph">
                  <wp:posOffset>6969125</wp:posOffset>
                </wp:positionV>
                <wp:extent cx="1259205" cy="1143000"/>
                <wp:effectExtent l="4445" t="4445" r="12700" b="14605"/>
                <wp:wrapNone/>
                <wp:docPr id="66" name="文本框 626"/>
                <wp:cNvGraphicFramePr/>
                <a:graphic xmlns:a="http://schemas.openxmlformats.org/drawingml/2006/main">
                  <a:graphicData uri="http://schemas.microsoft.com/office/word/2010/wordprocessingShape">
                    <wps:wsp>
                      <wps:cNvSpPr txBox="1"/>
                      <wps:spPr>
                        <a:xfrm>
                          <a:off x="0" y="0"/>
                          <a:ext cx="1259205" cy="1143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图例</w:t>
                            </w:r>
                          </w:p>
                          <w:p>
                            <w:pPr>
                              <w:jc w:val="center"/>
                              <w:rPr>
                                <w:rFonts w:hint="eastAsia"/>
                                <w:lang w:val="en-US" w:eastAsia="zh-CN"/>
                              </w:rPr>
                            </w:pPr>
                            <w:r>
                              <w:rPr>
                                <w:rFonts w:hint="eastAsia"/>
                                <w:lang w:val="en-US" w:eastAsia="zh-CN"/>
                              </w:rPr>
                              <w:t xml:space="preserve">   制梁场厂界</w:t>
                            </w:r>
                          </w:p>
                          <w:p>
                            <w:pPr>
                              <w:jc w:val="center"/>
                              <w:rPr>
                                <w:rFonts w:hint="eastAsia"/>
                                <w:lang w:val="en-US" w:eastAsia="zh-CN"/>
                              </w:rPr>
                            </w:pPr>
                            <w:r>
                              <w:rPr>
                                <w:rFonts w:hint="eastAsia"/>
                                <w:lang w:val="en-US" w:eastAsia="zh-CN"/>
                              </w:rPr>
                              <w:t xml:space="preserve">  锅炉房位置</w:t>
                            </w:r>
                          </w:p>
                          <w:p>
                            <w:pPr>
                              <w:jc w:val="center"/>
                              <w:rPr>
                                <w:rFonts w:hint="default"/>
                                <w:lang w:val="en-US" w:eastAsia="zh-CN"/>
                              </w:rPr>
                            </w:pPr>
                            <w:r>
                              <w:rPr>
                                <w:rFonts w:hint="eastAsia"/>
                                <w:lang w:val="en-US" w:eastAsia="zh-CN"/>
                              </w:rPr>
                              <w:t xml:space="preserve">   噪声监测点位</w:t>
                            </w:r>
                          </w:p>
                        </w:txbxContent>
                      </wps:txbx>
                      <wps:bodyPr wrap="square" upright="1"/>
                    </wps:wsp>
                  </a:graphicData>
                </a:graphic>
              </wp:anchor>
            </w:drawing>
          </mc:Choice>
          <mc:Fallback>
            <w:pict>
              <v:shape id="文本框 626" o:spid="_x0000_s1026" o:spt="202" type="#_x0000_t202" style="position:absolute;left:0pt;margin-left:376.4pt;margin-top:548.75pt;height:90pt;width:99.15pt;z-index:251725824;mso-width-relative:page;mso-height-relative:page;" fillcolor="#FFFFFF" filled="t" stroked="t" coordsize="21600,21600" o:gfxdata="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y1ttoAAAAN&#10;AQAADwAAAAAAAAABACAAAAAiAAAAZHJzL2Rvd25yZXYueG1sUEsBAhQAFAAAAAgAh07iQCWfgqQa&#10;AgAASAQAAA4AAAAAAAAAAQAgAAAAKQEAAGRycy9lMm9Eb2MueG1sUEsFBgAAAAAGAAYAWQEAALUF&#10;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图例</w:t>
                      </w:r>
                    </w:p>
                    <w:p>
                      <w:pPr>
                        <w:jc w:val="center"/>
                        <w:rPr>
                          <w:rFonts w:hint="eastAsia"/>
                          <w:lang w:val="en-US" w:eastAsia="zh-CN"/>
                        </w:rPr>
                      </w:pPr>
                      <w:r>
                        <w:rPr>
                          <w:rFonts w:hint="eastAsia"/>
                          <w:lang w:val="en-US" w:eastAsia="zh-CN"/>
                        </w:rPr>
                        <w:t xml:space="preserve">   制梁场厂界</w:t>
                      </w:r>
                    </w:p>
                    <w:p>
                      <w:pPr>
                        <w:jc w:val="center"/>
                        <w:rPr>
                          <w:rFonts w:hint="eastAsia"/>
                          <w:lang w:val="en-US" w:eastAsia="zh-CN"/>
                        </w:rPr>
                      </w:pPr>
                      <w:r>
                        <w:rPr>
                          <w:rFonts w:hint="eastAsia"/>
                          <w:lang w:val="en-US" w:eastAsia="zh-CN"/>
                        </w:rPr>
                        <w:t xml:space="preserve">  锅炉房位置</w:t>
                      </w:r>
                    </w:p>
                    <w:p>
                      <w:pPr>
                        <w:jc w:val="center"/>
                        <w:rPr>
                          <w:rFonts w:hint="default"/>
                          <w:lang w:val="en-US" w:eastAsia="zh-CN"/>
                        </w:rPr>
                      </w:pPr>
                      <w:r>
                        <w:rPr>
                          <w:rFonts w:hint="eastAsia"/>
                          <w:lang w:val="en-US" w:eastAsia="zh-CN"/>
                        </w:rPr>
                        <w:t xml:space="preserve">   噪声监测点位</w:t>
                      </w:r>
                    </w:p>
                  </w:txbxContent>
                </v:textbox>
              </v:shape>
            </w:pict>
          </mc:Fallback>
        </mc:AlternateContent>
      </w:r>
      <w:r>
        <w:rPr>
          <w:rFonts w:hint="eastAsia" w:eastAsia="宋体"/>
          <w:lang w:eastAsia="zh-CN"/>
        </w:rPr>
        <w:drawing>
          <wp:inline distT="0" distB="0" distL="114300" distR="114300">
            <wp:extent cx="3699510" cy="8014970"/>
            <wp:effectExtent l="0" t="0" r="15240" b="5080"/>
            <wp:docPr id="110" name="图片 42" descr="微信图片_2023091408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2" descr="微信图片_20230914083420"/>
                    <pic:cNvPicPr>
                      <a:picLocks noChangeAspect="1"/>
                    </pic:cNvPicPr>
                  </pic:nvPicPr>
                  <pic:blipFill>
                    <a:blip r:embed="rId49"/>
                    <a:stretch>
                      <a:fillRect/>
                    </a:stretch>
                  </pic:blipFill>
                  <pic:spPr>
                    <a:xfrm>
                      <a:off x="0" y="0"/>
                      <a:ext cx="3699510" cy="8014970"/>
                    </a:xfrm>
                    <a:prstGeom prst="rect">
                      <a:avLst/>
                    </a:prstGeom>
                    <a:noFill/>
                    <a:ln>
                      <a:noFill/>
                    </a:ln>
                  </pic:spPr>
                </pic:pic>
              </a:graphicData>
            </a:graphic>
          </wp:inline>
        </w:drawing>
      </w:r>
    </w:p>
    <w:p>
      <w:pPr>
        <w:jc w:val="center"/>
        <w:rPr>
          <w:rFonts w:hint="eastAsia"/>
          <w:lang w:val="en-US" w:eastAsia="zh-CN"/>
        </w:rPr>
      </w:pPr>
    </w:p>
    <w:p>
      <w:pPr>
        <w:jc w:val="center"/>
        <w:rPr>
          <w:rFonts w:hint="eastAsia"/>
          <w:lang w:val="en-US" w:eastAsia="zh-CN"/>
        </w:rPr>
      </w:pPr>
    </w:p>
    <w:p>
      <w:pPr>
        <w:jc w:val="center"/>
        <w:rPr>
          <w:rFonts w:hint="eastAsia"/>
          <w:sz w:val="24"/>
          <w:szCs w:val="24"/>
          <w:lang w:val="en-US" w:eastAsia="zh-CN"/>
        </w:rPr>
      </w:pPr>
      <w:r>
        <w:rPr>
          <w:rFonts w:hint="eastAsia"/>
          <w:sz w:val="24"/>
          <w:szCs w:val="24"/>
          <w:lang w:val="en-US" w:eastAsia="zh-CN"/>
        </w:rPr>
        <w:t>附图6  本项目周围环境及噪声监测点位示意图</w:t>
      </w:r>
    </w:p>
    <w:p>
      <w:pPr>
        <w:jc w:val="left"/>
        <w:rPr>
          <w:rFonts w:hint="default"/>
          <w:b/>
          <w:bCs/>
          <w:sz w:val="28"/>
          <w:szCs w:val="28"/>
          <w:lang w:val="en-US" w:eastAsia="zh-CN"/>
        </w:rPr>
      </w:pPr>
      <w:r>
        <w:rPr>
          <w:rFonts w:hint="eastAsia"/>
          <w:b/>
          <w:bCs/>
          <w:sz w:val="28"/>
          <w:szCs w:val="28"/>
          <w:lang w:val="en-US" w:eastAsia="zh-CN"/>
        </w:rPr>
        <w:t>附件1</w:t>
      </w:r>
    </w:p>
    <w:p>
      <w:pPr>
        <w:rPr>
          <w:rFonts w:hint="eastAsia" w:eastAsia="宋体"/>
          <w:lang w:eastAsia="zh-CN"/>
        </w:rPr>
      </w:pPr>
      <w:r>
        <w:rPr>
          <w:rFonts w:hint="eastAsia" w:eastAsia="宋体"/>
          <w:lang w:eastAsia="zh-CN"/>
        </w:rPr>
        <w:drawing>
          <wp:inline distT="0" distB="0" distL="114300" distR="114300">
            <wp:extent cx="5261610" cy="7652385"/>
            <wp:effectExtent l="0" t="0" r="15240" b="5715"/>
            <wp:docPr id="111" name="图片 43" descr="微信图片_2023092708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 descr="微信图片_20230927081854"/>
                    <pic:cNvPicPr>
                      <a:picLocks noChangeAspect="1"/>
                    </pic:cNvPicPr>
                  </pic:nvPicPr>
                  <pic:blipFill>
                    <a:blip r:embed="rId50"/>
                    <a:stretch>
                      <a:fillRect/>
                    </a:stretch>
                  </pic:blipFill>
                  <pic:spPr>
                    <a:xfrm>
                      <a:off x="0" y="0"/>
                      <a:ext cx="5261610" cy="7652385"/>
                    </a:xfrm>
                    <a:prstGeom prst="rect">
                      <a:avLst/>
                    </a:prstGeom>
                    <a:noFill/>
                    <a:ln>
                      <a:noFill/>
                    </a:ln>
                  </pic:spPr>
                </pic:pic>
              </a:graphicData>
            </a:graphic>
          </wp:inline>
        </w:drawing>
      </w:r>
      <w:r>
        <w:rPr>
          <w:rFonts w:hint="eastAsia" w:eastAsia="宋体"/>
          <w:lang w:eastAsia="zh-CN"/>
        </w:rPr>
        <w:drawing>
          <wp:inline distT="0" distB="0" distL="114300" distR="114300">
            <wp:extent cx="5267325" cy="7320915"/>
            <wp:effectExtent l="0" t="0" r="9525" b="13335"/>
            <wp:docPr id="112" name="图片 44" descr="微信图片_2023092708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4" descr="微信图片_20230927081853"/>
                    <pic:cNvPicPr>
                      <a:picLocks noChangeAspect="1"/>
                    </pic:cNvPicPr>
                  </pic:nvPicPr>
                  <pic:blipFill>
                    <a:blip r:embed="rId51"/>
                    <a:stretch>
                      <a:fillRect/>
                    </a:stretch>
                  </pic:blipFill>
                  <pic:spPr>
                    <a:xfrm>
                      <a:off x="0" y="0"/>
                      <a:ext cx="5267325" cy="7320915"/>
                    </a:xfrm>
                    <a:prstGeom prst="rect">
                      <a:avLst/>
                    </a:prstGeom>
                    <a:noFill/>
                    <a:ln>
                      <a:noFill/>
                    </a:ln>
                  </pic:spPr>
                </pic:pic>
              </a:graphicData>
            </a:graphic>
          </wp:inline>
        </w:drawing>
      </w:r>
      <w:r>
        <w:rPr>
          <w:rFonts w:hint="eastAsia" w:eastAsia="宋体"/>
          <w:lang w:eastAsia="zh-CN"/>
        </w:rPr>
        <w:drawing>
          <wp:inline distT="0" distB="0" distL="114300" distR="114300">
            <wp:extent cx="5263515" cy="7287895"/>
            <wp:effectExtent l="0" t="0" r="13335" b="8255"/>
            <wp:docPr id="113" name="图片 45" descr="微信图片_202309270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5" descr="微信图片_20230927081852"/>
                    <pic:cNvPicPr>
                      <a:picLocks noChangeAspect="1"/>
                    </pic:cNvPicPr>
                  </pic:nvPicPr>
                  <pic:blipFill>
                    <a:blip r:embed="rId52"/>
                    <a:stretch>
                      <a:fillRect/>
                    </a:stretch>
                  </pic:blipFill>
                  <pic:spPr>
                    <a:xfrm>
                      <a:off x="0" y="0"/>
                      <a:ext cx="5263515" cy="7287895"/>
                    </a:xfrm>
                    <a:prstGeom prst="rect">
                      <a:avLst/>
                    </a:prstGeom>
                    <a:noFill/>
                    <a:ln>
                      <a:noFill/>
                    </a:ln>
                  </pic:spPr>
                </pic:pic>
              </a:graphicData>
            </a:graphic>
          </wp:inline>
        </w:drawing>
      </w:r>
      <w:r>
        <w:rPr>
          <w:rFonts w:hint="eastAsia" w:eastAsia="宋体"/>
          <w:lang w:eastAsia="zh-CN"/>
        </w:rPr>
        <w:drawing>
          <wp:inline distT="0" distB="0" distL="114300" distR="114300">
            <wp:extent cx="5261610" cy="7185660"/>
            <wp:effectExtent l="0" t="0" r="15240" b="15240"/>
            <wp:docPr id="114" name="图片 46" descr="微信图片_202309270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6" descr="微信图片_20230927081851"/>
                    <pic:cNvPicPr>
                      <a:picLocks noChangeAspect="1"/>
                    </pic:cNvPicPr>
                  </pic:nvPicPr>
                  <pic:blipFill>
                    <a:blip r:embed="rId53"/>
                    <a:stretch>
                      <a:fillRect/>
                    </a:stretch>
                  </pic:blipFill>
                  <pic:spPr>
                    <a:xfrm>
                      <a:off x="0" y="0"/>
                      <a:ext cx="5261610" cy="7185660"/>
                    </a:xfrm>
                    <a:prstGeom prst="rect">
                      <a:avLst/>
                    </a:prstGeom>
                    <a:noFill/>
                    <a:ln>
                      <a:noFill/>
                    </a:ln>
                  </pic:spPr>
                </pic:pic>
              </a:graphicData>
            </a:graphic>
          </wp:inline>
        </w:drawing>
      </w:r>
      <w:r>
        <w:rPr>
          <w:rFonts w:hint="eastAsia" w:eastAsia="宋体"/>
          <w:lang w:eastAsia="zh-CN"/>
        </w:rPr>
        <w:drawing>
          <wp:inline distT="0" distB="0" distL="114300" distR="114300">
            <wp:extent cx="5273675" cy="7332345"/>
            <wp:effectExtent l="0" t="0" r="3175" b="1905"/>
            <wp:docPr id="115" name="图片 47" descr="微信图片_202309270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7" descr="微信图片_20230927081850"/>
                    <pic:cNvPicPr>
                      <a:picLocks noChangeAspect="1"/>
                    </pic:cNvPicPr>
                  </pic:nvPicPr>
                  <pic:blipFill>
                    <a:blip r:embed="rId54"/>
                    <a:stretch>
                      <a:fillRect/>
                    </a:stretch>
                  </pic:blipFill>
                  <pic:spPr>
                    <a:xfrm>
                      <a:off x="0" y="0"/>
                      <a:ext cx="5273675" cy="7332345"/>
                    </a:xfrm>
                    <a:prstGeom prst="rect">
                      <a:avLst/>
                    </a:prstGeom>
                    <a:noFill/>
                    <a:ln>
                      <a:noFill/>
                    </a:ln>
                  </pic:spPr>
                </pic:pic>
              </a:graphicData>
            </a:graphic>
          </wp:inline>
        </w:drawing>
      </w:r>
      <w:r>
        <w:rPr>
          <w:rFonts w:hint="eastAsia" w:eastAsia="宋体"/>
          <w:lang w:eastAsia="zh-CN"/>
        </w:rPr>
        <w:drawing>
          <wp:inline distT="0" distB="0" distL="114300" distR="114300">
            <wp:extent cx="5307965" cy="7402830"/>
            <wp:effectExtent l="0" t="0" r="6985" b="7620"/>
            <wp:docPr id="116" name="图片 48" descr="169578305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8" descr="1695783053793"/>
                    <pic:cNvPicPr>
                      <a:picLocks noChangeAspect="1"/>
                    </pic:cNvPicPr>
                  </pic:nvPicPr>
                  <pic:blipFill>
                    <a:blip r:embed="rId55"/>
                    <a:stretch>
                      <a:fillRect/>
                    </a:stretch>
                  </pic:blipFill>
                  <pic:spPr>
                    <a:xfrm>
                      <a:off x="0" y="0"/>
                      <a:ext cx="5307965" cy="7402830"/>
                    </a:xfrm>
                    <a:prstGeom prst="rect">
                      <a:avLst/>
                    </a:prstGeom>
                    <a:noFill/>
                    <a:ln>
                      <a:noFill/>
                    </a:ln>
                  </pic:spPr>
                </pic:pic>
              </a:graphicData>
            </a:graphic>
          </wp:inline>
        </w:drawing>
      </w:r>
      <w:r>
        <w:rPr>
          <w:rFonts w:hint="eastAsia" w:eastAsia="宋体"/>
          <w:lang w:eastAsia="zh-CN"/>
        </w:rPr>
        <w:drawing>
          <wp:inline distT="0" distB="0" distL="114300" distR="114300">
            <wp:extent cx="5403215" cy="7502525"/>
            <wp:effectExtent l="0" t="0" r="6985" b="3175"/>
            <wp:docPr id="117" name="图片 49" descr="169578306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9" descr="1695783066777"/>
                    <pic:cNvPicPr>
                      <a:picLocks noChangeAspect="1"/>
                    </pic:cNvPicPr>
                  </pic:nvPicPr>
                  <pic:blipFill>
                    <a:blip r:embed="rId56"/>
                    <a:stretch>
                      <a:fillRect/>
                    </a:stretch>
                  </pic:blipFill>
                  <pic:spPr>
                    <a:xfrm>
                      <a:off x="0" y="0"/>
                      <a:ext cx="5403215" cy="7502525"/>
                    </a:xfrm>
                    <a:prstGeom prst="rect">
                      <a:avLst/>
                    </a:prstGeom>
                    <a:noFill/>
                    <a:ln>
                      <a:noFill/>
                    </a:ln>
                  </pic:spPr>
                </pic:pic>
              </a:graphicData>
            </a:graphic>
          </wp:inline>
        </w:drawing>
      </w:r>
      <w:r>
        <w:rPr>
          <w:rFonts w:hint="eastAsia" w:eastAsia="宋体"/>
          <w:lang w:eastAsia="zh-CN"/>
        </w:rPr>
        <w:drawing>
          <wp:inline distT="0" distB="0" distL="114300" distR="114300">
            <wp:extent cx="5354320" cy="7490460"/>
            <wp:effectExtent l="0" t="0" r="17780" b="15240"/>
            <wp:docPr id="118" name="图片 50" descr="169578307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0" descr="1695783077020"/>
                    <pic:cNvPicPr>
                      <a:picLocks noChangeAspect="1"/>
                    </pic:cNvPicPr>
                  </pic:nvPicPr>
                  <pic:blipFill>
                    <a:blip r:embed="rId57"/>
                    <a:stretch>
                      <a:fillRect/>
                    </a:stretch>
                  </pic:blipFill>
                  <pic:spPr>
                    <a:xfrm>
                      <a:off x="0" y="0"/>
                      <a:ext cx="5354320" cy="7490460"/>
                    </a:xfrm>
                    <a:prstGeom prst="rect">
                      <a:avLst/>
                    </a:prstGeom>
                    <a:noFill/>
                    <a:ln>
                      <a:noFill/>
                    </a:ln>
                  </pic:spPr>
                </pic:pic>
              </a:graphicData>
            </a:graphic>
          </wp:inline>
        </w:drawing>
      </w:r>
      <w:r>
        <w:rPr>
          <w:rFonts w:hint="eastAsia" w:eastAsia="宋体"/>
          <w:lang w:eastAsia="zh-CN"/>
        </w:rPr>
        <w:drawing>
          <wp:inline distT="0" distB="0" distL="114300" distR="114300">
            <wp:extent cx="5441315" cy="7499985"/>
            <wp:effectExtent l="0" t="0" r="6985" b="5715"/>
            <wp:docPr id="119" name="图片 51" descr="169578308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1" descr="1695783085830"/>
                    <pic:cNvPicPr>
                      <a:picLocks noChangeAspect="1"/>
                    </pic:cNvPicPr>
                  </pic:nvPicPr>
                  <pic:blipFill>
                    <a:blip r:embed="rId58"/>
                    <a:stretch>
                      <a:fillRect/>
                    </a:stretch>
                  </pic:blipFill>
                  <pic:spPr>
                    <a:xfrm>
                      <a:off x="0" y="0"/>
                      <a:ext cx="5441315" cy="7499985"/>
                    </a:xfrm>
                    <a:prstGeom prst="rect">
                      <a:avLst/>
                    </a:prstGeom>
                    <a:noFill/>
                    <a:ln>
                      <a:noFill/>
                    </a:ln>
                  </pic:spPr>
                </pic:pic>
              </a:graphicData>
            </a:graphic>
          </wp:inline>
        </w:drawing>
      </w: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rPr>
          <w:rFonts w:ascii="Times New Roman"/>
          <w:snapToGrid w:val="0"/>
          <w:spacing w:val="-6"/>
          <w:kern w:val="21"/>
          <w:szCs w:val="21"/>
          <w:highlight w:val="none"/>
        </w:rPr>
      </w:pPr>
    </w:p>
    <w:p>
      <w:pPr>
        <w:jc w:val="left"/>
        <w:rPr>
          <w:rFonts w:hint="default"/>
          <w:b/>
          <w:bCs/>
          <w:sz w:val="28"/>
          <w:szCs w:val="28"/>
          <w:lang w:val="en-US" w:eastAsia="zh-CN"/>
        </w:rPr>
      </w:pPr>
      <w:r>
        <w:rPr>
          <w:rFonts w:hint="eastAsia"/>
          <w:b/>
          <w:bCs/>
          <w:sz w:val="28"/>
          <w:szCs w:val="28"/>
          <w:lang w:val="en-US" w:eastAsia="zh-CN"/>
        </w:rPr>
        <w:t>附件2</w:t>
      </w:r>
    </w:p>
    <w:p>
      <w:pPr>
        <w:rPr>
          <w:rFonts w:ascii="Times New Roman"/>
          <w:snapToGrid w:val="0"/>
          <w:spacing w:val="-6"/>
          <w:kern w:val="21"/>
          <w:szCs w:val="21"/>
          <w:highlight w:val="none"/>
        </w:rPr>
      </w:pPr>
    </w:p>
    <w:p>
      <w:pPr>
        <w:jc w:val="center"/>
        <w:rPr>
          <w:rFonts w:hint="eastAsia" w:ascii="Times New Roman" w:eastAsia="宋体"/>
          <w:snapToGrid w:val="0"/>
          <w:spacing w:val="-6"/>
          <w:kern w:val="21"/>
          <w:szCs w:val="21"/>
          <w:highlight w:val="none"/>
          <w:lang w:eastAsia="zh-CN"/>
        </w:rPr>
      </w:pPr>
      <w:r>
        <w:rPr>
          <w:rFonts w:hint="eastAsia" w:ascii="Times New Roman" w:eastAsia="宋体"/>
          <w:snapToGrid w:val="0"/>
          <w:spacing w:val="-6"/>
          <w:kern w:val="21"/>
          <w:szCs w:val="21"/>
          <w:highlight w:val="none"/>
          <w:lang w:eastAsia="zh-CN"/>
        </w:rPr>
        <w:drawing>
          <wp:inline distT="0" distB="0" distL="114300" distR="114300">
            <wp:extent cx="3096260" cy="3524250"/>
            <wp:effectExtent l="0" t="0" r="8890" b="0"/>
            <wp:docPr id="120" name="图片 52" descr="16967483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2" descr="1696748337988"/>
                    <pic:cNvPicPr>
                      <a:picLocks noChangeAspect="1"/>
                    </pic:cNvPicPr>
                  </pic:nvPicPr>
                  <pic:blipFill>
                    <a:blip r:embed="rId59"/>
                    <a:stretch>
                      <a:fillRect/>
                    </a:stretch>
                  </pic:blipFill>
                  <pic:spPr>
                    <a:xfrm>
                      <a:off x="0" y="0"/>
                      <a:ext cx="3096260" cy="352425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752090" cy="3905885"/>
            <wp:effectExtent l="0" t="0" r="10160" b="18415"/>
            <wp:docPr id="121" name="图片 53" descr="169674834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3" descr="1696748349042"/>
                    <pic:cNvPicPr>
                      <a:picLocks noChangeAspect="1"/>
                    </pic:cNvPicPr>
                  </pic:nvPicPr>
                  <pic:blipFill>
                    <a:blip r:embed="rId60"/>
                    <a:stretch>
                      <a:fillRect/>
                    </a:stretch>
                  </pic:blipFill>
                  <pic:spPr>
                    <a:xfrm>
                      <a:off x="0" y="0"/>
                      <a:ext cx="2752090" cy="390588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3115310" cy="4445635"/>
            <wp:effectExtent l="0" t="0" r="8890" b="12065"/>
            <wp:docPr id="122" name="图片 54" descr="169674835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4" descr="1696748358426"/>
                    <pic:cNvPicPr>
                      <a:picLocks noChangeAspect="1"/>
                    </pic:cNvPicPr>
                  </pic:nvPicPr>
                  <pic:blipFill>
                    <a:blip r:embed="rId61"/>
                    <a:stretch>
                      <a:fillRect/>
                    </a:stretch>
                  </pic:blipFill>
                  <pic:spPr>
                    <a:xfrm>
                      <a:off x="0" y="0"/>
                      <a:ext cx="3115310" cy="444563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886710" cy="4082415"/>
            <wp:effectExtent l="0" t="0" r="8890" b="13335"/>
            <wp:docPr id="123" name="图片 55" descr="16967483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5" descr="1696748367428"/>
                    <pic:cNvPicPr>
                      <a:picLocks noChangeAspect="1"/>
                    </pic:cNvPicPr>
                  </pic:nvPicPr>
                  <pic:blipFill>
                    <a:blip r:embed="rId62"/>
                    <a:stretch>
                      <a:fillRect/>
                    </a:stretch>
                  </pic:blipFill>
                  <pic:spPr>
                    <a:xfrm>
                      <a:off x="0" y="0"/>
                      <a:ext cx="2886710" cy="408241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3086100" cy="4391660"/>
            <wp:effectExtent l="0" t="0" r="0" b="8890"/>
            <wp:docPr id="124" name="图片 56" descr="169674837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6" descr="1696748377255"/>
                    <pic:cNvPicPr>
                      <a:picLocks noChangeAspect="1"/>
                    </pic:cNvPicPr>
                  </pic:nvPicPr>
                  <pic:blipFill>
                    <a:blip r:embed="rId63"/>
                    <a:stretch>
                      <a:fillRect/>
                    </a:stretch>
                  </pic:blipFill>
                  <pic:spPr>
                    <a:xfrm>
                      <a:off x="0" y="0"/>
                      <a:ext cx="3086100" cy="439166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71800" cy="4229100"/>
            <wp:effectExtent l="0" t="0" r="0" b="0"/>
            <wp:docPr id="125" name="图片 67" descr="169674838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7" descr="1696748385610"/>
                    <pic:cNvPicPr>
                      <a:picLocks noChangeAspect="1"/>
                    </pic:cNvPicPr>
                  </pic:nvPicPr>
                  <pic:blipFill>
                    <a:blip r:embed="rId64"/>
                    <a:stretch>
                      <a:fillRect/>
                    </a:stretch>
                  </pic:blipFill>
                  <pic:spPr>
                    <a:xfrm>
                      <a:off x="0" y="0"/>
                      <a:ext cx="2971800" cy="422910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54020" cy="4166235"/>
            <wp:effectExtent l="0" t="0" r="17780" b="5715"/>
            <wp:docPr id="126" name="图片 58" descr="169674839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8" descr="1696748395703"/>
                    <pic:cNvPicPr>
                      <a:picLocks noChangeAspect="1"/>
                    </pic:cNvPicPr>
                  </pic:nvPicPr>
                  <pic:blipFill>
                    <a:blip r:embed="rId65"/>
                    <a:stretch>
                      <a:fillRect/>
                    </a:stretch>
                  </pic:blipFill>
                  <pic:spPr>
                    <a:xfrm>
                      <a:off x="0" y="0"/>
                      <a:ext cx="2954020" cy="416623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05760" cy="4109085"/>
            <wp:effectExtent l="0" t="0" r="8890" b="5715"/>
            <wp:docPr id="127" name="图片 59" descr="169674840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9" descr="1696748404134"/>
                    <pic:cNvPicPr>
                      <a:picLocks noChangeAspect="1"/>
                    </pic:cNvPicPr>
                  </pic:nvPicPr>
                  <pic:blipFill>
                    <a:blip r:embed="rId66"/>
                    <a:stretch>
                      <a:fillRect/>
                    </a:stretch>
                  </pic:blipFill>
                  <pic:spPr>
                    <a:xfrm>
                      <a:off x="0" y="0"/>
                      <a:ext cx="2905760" cy="410908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52750" cy="4215765"/>
            <wp:effectExtent l="0" t="0" r="0" b="13335"/>
            <wp:docPr id="128" name="图片 60" descr="169674841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0" descr="1696748411368"/>
                    <pic:cNvPicPr>
                      <a:picLocks noChangeAspect="1"/>
                    </pic:cNvPicPr>
                  </pic:nvPicPr>
                  <pic:blipFill>
                    <a:blip r:embed="rId67"/>
                    <a:stretch>
                      <a:fillRect/>
                    </a:stretch>
                  </pic:blipFill>
                  <pic:spPr>
                    <a:xfrm>
                      <a:off x="0" y="0"/>
                      <a:ext cx="2952750" cy="421576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24175" cy="4164965"/>
            <wp:effectExtent l="0" t="0" r="9525" b="6985"/>
            <wp:docPr id="129" name="图片 61" descr="16967484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descr="1696748463940"/>
                    <pic:cNvPicPr>
                      <a:picLocks noChangeAspect="1"/>
                    </pic:cNvPicPr>
                  </pic:nvPicPr>
                  <pic:blipFill>
                    <a:blip r:embed="rId68"/>
                    <a:stretch>
                      <a:fillRect/>
                    </a:stretch>
                  </pic:blipFill>
                  <pic:spPr>
                    <a:xfrm>
                      <a:off x="0" y="0"/>
                      <a:ext cx="2924175" cy="416496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2924810" cy="4158615"/>
            <wp:effectExtent l="0" t="0" r="8890" b="13335"/>
            <wp:docPr id="130" name="图片 62" descr="16967484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2" descr="1696748471827"/>
                    <pic:cNvPicPr>
                      <a:picLocks noChangeAspect="1"/>
                    </pic:cNvPicPr>
                  </pic:nvPicPr>
                  <pic:blipFill>
                    <a:blip r:embed="rId69"/>
                    <a:stretch>
                      <a:fillRect/>
                    </a:stretch>
                  </pic:blipFill>
                  <pic:spPr>
                    <a:xfrm>
                      <a:off x="0" y="0"/>
                      <a:ext cx="2924810" cy="4158615"/>
                    </a:xfrm>
                    <a:prstGeom prst="rect">
                      <a:avLst/>
                    </a:prstGeom>
                    <a:noFill/>
                    <a:ln>
                      <a:noFill/>
                    </a:ln>
                  </pic:spPr>
                </pic:pic>
              </a:graphicData>
            </a:graphic>
          </wp:inline>
        </w:drawing>
      </w:r>
    </w:p>
    <w:p>
      <w:pPr>
        <w:jc w:val="center"/>
        <w:rPr>
          <w:rFonts w:hint="eastAsia" w:ascii="Times New Roman" w:eastAsia="宋体"/>
          <w:snapToGrid w:val="0"/>
          <w:spacing w:val="-6"/>
          <w:kern w:val="21"/>
          <w:szCs w:val="21"/>
          <w:highlight w:val="none"/>
          <w:lang w:eastAsia="zh-CN"/>
        </w:rPr>
      </w:pPr>
      <w:r>
        <w:rPr>
          <w:rFonts w:hint="eastAsia" w:ascii="Times New Roman" w:eastAsia="宋体"/>
          <w:snapToGrid w:val="0"/>
          <w:spacing w:val="-6"/>
          <w:kern w:val="21"/>
          <w:szCs w:val="21"/>
          <w:highlight w:val="none"/>
          <w:lang w:eastAsia="zh-CN"/>
        </w:rPr>
        <w:drawing>
          <wp:inline distT="0" distB="0" distL="114300" distR="114300">
            <wp:extent cx="2819400" cy="3954780"/>
            <wp:effectExtent l="0" t="0" r="0" b="7620"/>
            <wp:docPr id="131" name="图片 63" descr="169674847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3" descr="1696748478630"/>
                    <pic:cNvPicPr>
                      <a:picLocks noChangeAspect="1"/>
                    </pic:cNvPicPr>
                  </pic:nvPicPr>
                  <pic:blipFill>
                    <a:blip r:embed="rId70"/>
                    <a:stretch>
                      <a:fillRect/>
                    </a:stretch>
                  </pic:blipFill>
                  <pic:spPr>
                    <a:xfrm>
                      <a:off x="0" y="0"/>
                      <a:ext cx="2819400" cy="3954780"/>
                    </a:xfrm>
                    <a:prstGeom prst="rect">
                      <a:avLst/>
                    </a:prstGeom>
                    <a:noFill/>
                    <a:ln>
                      <a:noFill/>
                    </a:ln>
                  </pic:spPr>
                </pic:pic>
              </a:graphicData>
            </a:graphic>
          </wp:inline>
        </w:drawing>
      </w:r>
    </w:p>
    <w:p>
      <w:pPr>
        <w:jc w:val="left"/>
        <w:rPr>
          <w:rFonts w:hint="eastAsia"/>
          <w:b/>
          <w:bCs/>
          <w:sz w:val="28"/>
          <w:szCs w:val="28"/>
          <w:lang w:val="en-US" w:eastAsia="zh-CN"/>
        </w:rPr>
      </w:pPr>
    </w:p>
    <w:p>
      <w:pPr>
        <w:jc w:val="left"/>
        <w:rPr>
          <w:rFonts w:hint="eastAsia"/>
          <w:b/>
          <w:bCs/>
          <w:sz w:val="28"/>
          <w:szCs w:val="28"/>
          <w:lang w:val="en-US" w:eastAsia="zh-CN"/>
        </w:rPr>
      </w:pPr>
    </w:p>
    <w:p>
      <w:pPr>
        <w:jc w:val="left"/>
        <w:rPr>
          <w:rFonts w:hint="default"/>
          <w:b/>
          <w:bCs/>
          <w:sz w:val="28"/>
          <w:szCs w:val="28"/>
          <w:lang w:val="en-US" w:eastAsia="zh-CN"/>
        </w:rPr>
      </w:pPr>
      <w:r>
        <w:rPr>
          <w:rFonts w:hint="eastAsia"/>
          <w:b/>
          <w:bCs/>
          <w:sz w:val="28"/>
          <w:szCs w:val="28"/>
          <w:lang w:val="en-US" w:eastAsia="zh-CN"/>
        </w:rPr>
        <w:t>附件3</w:t>
      </w: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r>
        <w:rPr>
          <w:rFonts w:hint="eastAsia" w:ascii="Times New Roman" w:eastAsia="宋体"/>
          <w:snapToGrid w:val="0"/>
          <w:spacing w:val="-6"/>
          <w:kern w:val="21"/>
          <w:szCs w:val="21"/>
          <w:highlight w:val="none"/>
          <w:lang w:eastAsia="zh-CN"/>
        </w:rPr>
        <w:drawing>
          <wp:inline distT="0" distB="0" distL="114300" distR="114300">
            <wp:extent cx="5266690" cy="7022465"/>
            <wp:effectExtent l="0" t="0" r="10160" b="6985"/>
            <wp:docPr id="132" name="图片 64" descr="附件3 生物质颗粒成分检测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4" descr="附件3 生物质颗粒成分检测报告"/>
                    <pic:cNvPicPr>
                      <a:picLocks noChangeAspect="1"/>
                    </pic:cNvPicPr>
                  </pic:nvPicPr>
                  <pic:blipFill>
                    <a:blip r:embed="rId71"/>
                    <a:stretch>
                      <a:fillRect/>
                    </a:stretch>
                  </pic:blipFill>
                  <pic:spPr>
                    <a:xfrm>
                      <a:off x="0" y="0"/>
                      <a:ext cx="5266690" cy="7022465"/>
                    </a:xfrm>
                    <a:prstGeom prst="rect">
                      <a:avLst/>
                    </a:prstGeom>
                    <a:noFill/>
                    <a:ln>
                      <a:noFill/>
                    </a:ln>
                  </pic:spPr>
                </pic:pic>
              </a:graphicData>
            </a:graphic>
          </wp:inline>
        </w:drawing>
      </w:r>
    </w:p>
    <w:p>
      <w:pPr>
        <w:jc w:val="center"/>
        <w:rPr>
          <w:rFonts w:hint="eastAsia" w:ascii="Times New Roman" w:eastAsia="宋体"/>
          <w:snapToGrid w:val="0"/>
          <w:spacing w:val="-6"/>
          <w:kern w:val="21"/>
          <w:szCs w:val="21"/>
          <w:highlight w:val="none"/>
          <w:lang w:eastAsia="zh-CN"/>
        </w:rPr>
      </w:pPr>
    </w:p>
    <w:p>
      <w:pPr>
        <w:jc w:val="left"/>
        <w:rPr>
          <w:rFonts w:hint="eastAsia"/>
          <w:b/>
          <w:bCs/>
          <w:sz w:val="28"/>
          <w:szCs w:val="28"/>
          <w:lang w:val="en-US" w:eastAsia="zh-CN"/>
        </w:rPr>
      </w:pPr>
    </w:p>
    <w:p>
      <w:pPr>
        <w:jc w:val="left"/>
        <w:rPr>
          <w:rFonts w:hint="eastAsia"/>
          <w:b/>
          <w:bCs/>
          <w:sz w:val="28"/>
          <w:szCs w:val="28"/>
          <w:lang w:val="en-US" w:eastAsia="zh-CN"/>
        </w:rPr>
      </w:pPr>
    </w:p>
    <w:p>
      <w:pPr>
        <w:jc w:val="left"/>
        <w:rPr>
          <w:rFonts w:hint="default"/>
          <w:b/>
          <w:bCs/>
          <w:sz w:val="28"/>
          <w:szCs w:val="28"/>
          <w:lang w:val="en-US" w:eastAsia="zh-CN"/>
        </w:rPr>
      </w:pPr>
      <w:r>
        <w:rPr>
          <w:rFonts w:hint="eastAsia"/>
          <w:b/>
          <w:bCs/>
          <w:sz w:val="28"/>
          <w:szCs w:val="28"/>
          <w:lang w:val="en-US" w:eastAsia="zh-CN"/>
        </w:rPr>
        <w:t>附件4</w:t>
      </w:r>
    </w:p>
    <w:p>
      <w:pPr>
        <w:jc w:val="center"/>
        <w:rPr>
          <w:rFonts w:hint="eastAsia" w:ascii="Times New Roman" w:eastAsia="宋体"/>
          <w:snapToGrid w:val="0"/>
          <w:spacing w:val="-6"/>
          <w:kern w:val="21"/>
          <w:szCs w:val="21"/>
          <w:highlight w:val="none"/>
          <w:lang w:eastAsia="zh-CN"/>
        </w:rPr>
      </w:pPr>
      <w:r>
        <w:rPr>
          <w:rFonts w:hint="eastAsia" w:ascii="Times New Roman" w:eastAsia="宋体"/>
          <w:snapToGrid w:val="0"/>
          <w:spacing w:val="-6"/>
          <w:kern w:val="21"/>
          <w:szCs w:val="21"/>
          <w:highlight w:val="none"/>
          <w:lang w:eastAsia="zh-CN"/>
        </w:rPr>
        <w:drawing>
          <wp:inline distT="0" distB="0" distL="114300" distR="114300">
            <wp:extent cx="5085715" cy="7153275"/>
            <wp:effectExtent l="0" t="0" r="635" b="9525"/>
            <wp:docPr id="133" name="图片 65" descr="16967485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descr="1696748511630"/>
                    <pic:cNvPicPr>
                      <a:picLocks noChangeAspect="1"/>
                    </pic:cNvPicPr>
                  </pic:nvPicPr>
                  <pic:blipFill>
                    <a:blip r:embed="rId72"/>
                    <a:stretch>
                      <a:fillRect/>
                    </a:stretch>
                  </pic:blipFill>
                  <pic:spPr>
                    <a:xfrm>
                      <a:off x="0" y="0"/>
                      <a:ext cx="5085715" cy="715327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100955" cy="7296150"/>
            <wp:effectExtent l="0" t="0" r="4445" b="0"/>
            <wp:docPr id="134" name="图片 66" descr="169674851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6" descr="1696748518468"/>
                    <pic:cNvPicPr>
                      <a:picLocks noChangeAspect="1"/>
                    </pic:cNvPicPr>
                  </pic:nvPicPr>
                  <pic:blipFill>
                    <a:blip r:embed="rId73"/>
                    <a:stretch>
                      <a:fillRect/>
                    </a:stretch>
                  </pic:blipFill>
                  <pic:spPr>
                    <a:xfrm>
                      <a:off x="0" y="0"/>
                      <a:ext cx="5100955" cy="7296150"/>
                    </a:xfrm>
                    <a:prstGeom prst="rect">
                      <a:avLst/>
                    </a:prstGeom>
                    <a:noFill/>
                    <a:ln>
                      <a:noFill/>
                    </a:ln>
                  </pic:spPr>
                </pic:pic>
              </a:graphicData>
            </a:graphic>
          </wp:inline>
        </w:drawing>
      </w: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center"/>
        <w:rPr>
          <w:rFonts w:hint="eastAsia" w:ascii="Times New Roman" w:eastAsia="宋体"/>
          <w:snapToGrid w:val="0"/>
          <w:spacing w:val="-6"/>
          <w:kern w:val="21"/>
          <w:szCs w:val="21"/>
          <w:highlight w:val="none"/>
          <w:lang w:eastAsia="zh-CN"/>
        </w:rPr>
      </w:pPr>
    </w:p>
    <w:p>
      <w:pPr>
        <w:jc w:val="left"/>
        <w:rPr>
          <w:rFonts w:hint="eastAsia"/>
          <w:b/>
          <w:bCs/>
          <w:sz w:val="28"/>
          <w:szCs w:val="28"/>
          <w:lang w:val="en-US" w:eastAsia="zh-CN"/>
        </w:rPr>
      </w:pPr>
      <w:r>
        <w:rPr>
          <w:rFonts w:hint="eastAsia"/>
          <w:b/>
          <w:bCs/>
          <w:sz w:val="28"/>
          <w:szCs w:val="28"/>
          <w:lang w:val="en-US" w:eastAsia="zh-CN"/>
        </w:rPr>
        <w:t>附件5</w:t>
      </w:r>
    </w:p>
    <w:p>
      <w:p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263515" cy="3854450"/>
            <wp:effectExtent l="0" t="0" r="12700" b="13335"/>
            <wp:docPr id="135" name="图片 83" descr="复核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复核意见"/>
                    <pic:cNvPicPr>
                      <a:picLocks noChangeAspect="1"/>
                    </pic:cNvPicPr>
                  </pic:nvPicPr>
                  <pic:blipFill>
                    <a:blip r:embed="rId74"/>
                    <a:stretch>
                      <a:fillRect/>
                    </a:stretch>
                  </pic:blipFill>
                  <pic:spPr>
                    <a:xfrm rot="5400000">
                      <a:off x="0" y="0"/>
                      <a:ext cx="5263515" cy="3854450"/>
                    </a:xfrm>
                    <a:prstGeom prst="rect">
                      <a:avLst/>
                    </a:prstGeom>
                    <a:noFill/>
                    <a:ln>
                      <a:noFill/>
                    </a:ln>
                  </pic:spPr>
                </pic:pic>
              </a:graphicData>
            </a:graphic>
          </wp:inline>
        </w:drawing>
      </w:r>
    </w:p>
    <w:p>
      <w:pPr>
        <w:jc w:val="left"/>
        <w:rPr>
          <w:rFonts w:hint="default"/>
          <w:b/>
          <w:bCs/>
          <w:sz w:val="28"/>
          <w:szCs w:val="28"/>
          <w:lang w:val="en-US" w:eastAsia="zh-CN"/>
        </w:rPr>
      </w:pPr>
      <w:r>
        <w:rPr>
          <w:rFonts w:hint="default"/>
          <w:b/>
          <w:bCs/>
          <w:sz w:val="28"/>
          <w:szCs w:val="28"/>
          <w:lang w:val="en-US" w:eastAsia="zh-CN"/>
        </w:rPr>
        <w:drawing>
          <wp:inline distT="0" distB="0" distL="114300" distR="114300">
            <wp:extent cx="5266690" cy="8023860"/>
            <wp:effectExtent l="0" t="0" r="10160" b="15240"/>
            <wp:docPr id="136" name="图片 72" descr="综合意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2" descr="综合意见 (1)"/>
                    <pic:cNvPicPr>
                      <a:picLocks noChangeAspect="1"/>
                    </pic:cNvPicPr>
                  </pic:nvPicPr>
                  <pic:blipFill>
                    <a:blip r:embed="rId75"/>
                    <a:stretch>
                      <a:fillRect/>
                    </a:stretch>
                  </pic:blipFill>
                  <pic:spPr>
                    <a:xfrm>
                      <a:off x="0" y="0"/>
                      <a:ext cx="5266690" cy="8023860"/>
                    </a:xfrm>
                    <a:prstGeom prst="rect">
                      <a:avLst/>
                    </a:prstGeom>
                    <a:noFill/>
                    <a:ln>
                      <a:noFill/>
                    </a:ln>
                  </pic:spPr>
                </pic:pic>
              </a:graphicData>
            </a:graphic>
          </wp:inline>
        </w:drawing>
      </w:r>
      <w:r>
        <w:rPr>
          <w:rFonts w:hint="default"/>
          <w:b/>
          <w:bCs/>
          <w:sz w:val="28"/>
          <w:szCs w:val="28"/>
          <w:lang w:val="en-US" w:eastAsia="zh-CN"/>
        </w:rPr>
        <w:drawing>
          <wp:inline distT="0" distB="0" distL="114300" distR="114300">
            <wp:extent cx="5266690" cy="8418830"/>
            <wp:effectExtent l="0" t="0" r="10160" b="1270"/>
            <wp:docPr id="137" name="图片 73" descr="综合意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3" descr="综合意见 (3)"/>
                    <pic:cNvPicPr>
                      <a:picLocks noChangeAspect="1"/>
                    </pic:cNvPicPr>
                  </pic:nvPicPr>
                  <pic:blipFill>
                    <a:blip r:embed="rId76"/>
                    <a:stretch>
                      <a:fillRect/>
                    </a:stretch>
                  </pic:blipFill>
                  <pic:spPr>
                    <a:xfrm>
                      <a:off x="0" y="0"/>
                      <a:ext cx="5266690" cy="8418830"/>
                    </a:xfrm>
                    <a:prstGeom prst="rect">
                      <a:avLst/>
                    </a:prstGeom>
                    <a:noFill/>
                    <a:ln>
                      <a:noFill/>
                    </a:ln>
                  </pic:spPr>
                </pic:pic>
              </a:graphicData>
            </a:graphic>
          </wp:inline>
        </w:drawing>
      </w:r>
      <w:r>
        <w:rPr>
          <w:rFonts w:hint="default"/>
          <w:b/>
          <w:bCs/>
          <w:sz w:val="28"/>
          <w:szCs w:val="28"/>
          <w:lang w:val="en-US" w:eastAsia="zh-CN"/>
        </w:rPr>
        <w:drawing>
          <wp:inline distT="0" distB="0" distL="114300" distR="114300">
            <wp:extent cx="5266690" cy="8221345"/>
            <wp:effectExtent l="0" t="0" r="10160" b="8255"/>
            <wp:docPr id="138" name="图片 74" descr="综合意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4" descr="综合意见 (2)"/>
                    <pic:cNvPicPr>
                      <a:picLocks noChangeAspect="1"/>
                    </pic:cNvPicPr>
                  </pic:nvPicPr>
                  <pic:blipFill>
                    <a:blip r:embed="rId77"/>
                    <a:stretch>
                      <a:fillRect/>
                    </a:stretch>
                  </pic:blipFill>
                  <pic:spPr>
                    <a:xfrm>
                      <a:off x="0" y="0"/>
                      <a:ext cx="5266690" cy="8221345"/>
                    </a:xfrm>
                    <a:prstGeom prst="rect">
                      <a:avLst/>
                    </a:prstGeom>
                    <a:noFill/>
                    <a:ln>
                      <a:noFill/>
                    </a:ln>
                  </pic:spPr>
                </pic:pic>
              </a:graphicData>
            </a:graphic>
          </wp:inline>
        </w:drawing>
      </w:r>
    </w:p>
    <w:p>
      <w:pPr>
        <w:jc w:val="center"/>
        <w:rPr>
          <w:rFonts w:hint="eastAsia" w:ascii="Times New Roman" w:eastAsia="宋体"/>
          <w:snapToGrid w:val="0"/>
          <w:spacing w:val="-6"/>
          <w:kern w:val="21"/>
          <w:szCs w:val="21"/>
          <w:highlight w:val="none"/>
          <w:lang w:eastAsia="zh-CN"/>
        </w:rPr>
      </w:pPr>
      <w:r>
        <w:rPr>
          <w:rFonts w:hint="eastAsia" w:ascii="Times New Roman" w:eastAsia="宋体"/>
          <w:snapToGrid w:val="0"/>
          <w:spacing w:val="-6"/>
          <w:kern w:val="21"/>
          <w:szCs w:val="21"/>
          <w:highlight w:val="none"/>
          <w:lang w:eastAsia="zh-CN"/>
        </w:rPr>
        <w:drawing>
          <wp:inline distT="0" distB="0" distL="114300" distR="114300">
            <wp:extent cx="5266690" cy="8073390"/>
            <wp:effectExtent l="0" t="0" r="10160" b="3810"/>
            <wp:docPr id="139" name="图片 68" descr="龙振永老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8" descr="龙振永老师 (1)"/>
                    <pic:cNvPicPr>
                      <a:picLocks noChangeAspect="1"/>
                    </pic:cNvPicPr>
                  </pic:nvPicPr>
                  <pic:blipFill>
                    <a:blip r:embed="rId78"/>
                    <a:stretch>
                      <a:fillRect/>
                    </a:stretch>
                  </pic:blipFill>
                  <pic:spPr>
                    <a:xfrm>
                      <a:off x="0" y="0"/>
                      <a:ext cx="5266690" cy="807339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7678420"/>
            <wp:effectExtent l="0" t="0" r="10160" b="17780"/>
            <wp:docPr id="140" name="图片 69" descr="龙振永老师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9" descr="龙振永老师 (3)"/>
                    <pic:cNvPicPr>
                      <a:picLocks noChangeAspect="1"/>
                    </pic:cNvPicPr>
                  </pic:nvPicPr>
                  <pic:blipFill>
                    <a:blip r:embed="rId79"/>
                    <a:stretch>
                      <a:fillRect/>
                    </a:stretch>
                  </pic:blipFill>
                  <pic:spPr>
                    <a:xfrm>
                      <a:off x="0" y="0"/>
                      <a:ext cx="5266690" cy="767842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1610" cy="7951470"/>
            <wp:effectExtent l="0" t="0" r="15240" b="11430"/>
            <wp:docPr id="141" name="图片 70" descr="龙振永老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descr="龙振永老师 (2)"/>
                    <pic:cNvPicPr>
                      <a:picLocks noChangeAspect="1"/>
                    </pic:cNvPicPr>
                  </pic:nvPicPr>
                  <pic:blipFill>
                    <a:blip r:embed="rId80"/>
                    <a:stretch>
                      <a:fillRect/>
                    </a:stretch>
                  </pic:blipFill>
                  <pic:spPr>
                    <a:xfrm>
                      <a:off x="0" y="0"/>
                      <a:ext cx="5261610" cy="795147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7960" cy="8342630"/>
            <wp:effectExtent l="0" t="0" r="8890" b="1270"/>
            <wp:docPr id="142" name="图片 75" descr="耿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5" descr="耿辉1"/>
                    <pic:cNvPicPr>
                      <a:picLocks noChangeAspect="1"/>
                    </pic:cNvPicPr>
                  </pic:nvPicPr>
                  <pic:blipFill>
                    <a:blip r:embed="rId81"/>
                    <a:stretch>
                      <a:fillRect/>
                    </a:stretch>
                  </pic:blipFill>
                  <pic:spPr>
                    <a:xfrm>
                      <a:off x="0" y="0"/>
                      <a:ext cx="5267960" cy="834263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8147050"/>
            <wp:effectExtent l="0" t="0" r="10160" b="6350"/>
            <wp:docPr id="143" name="图片 76" descr="耿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6" descr="耿辉2"/>
                    <pic:cNvPicPr>
                      <a:picLocks noChangeAspect="1"/>
                    </pic:cNvPicPr>
                  </pic:nvPicPr>
                  <pic:blipFill>
                    <a:blip r:embed="rId82"/>
                    <a:stretch>
                      <a:fillRect/>
                    </a:stretch>
                  </pic:blipFill>
                  <pic:spPr>
                    <a:xfrm>
                      <a:off x="0" y="0"/>
                      <a:ext cx="5266690" cy="814705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8270875"/>
            <wp:effectExtent l="0" t="0" r="10160" b="15875"/>
            <wp:docPr id="144" name="图片 77" descr="耿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7" descr="耿辉3"/>
                    <pic:cNvPicPr>
                      <a:picLocks noChangeAspect="1"/>
                    </pic:cNvPicPr>
                  </pic:nvPicPr>
                  <pic:blipFill>
                    <a:blip r:embed="rId83"/>
                    <a:stretch>
                      <a:fillRect/>
                    </a:stretch>
                  </pic:blipFill>
                  <pic:spPr>
                    <a:xfrm>
                      <a:off x="0" y="0"/>
                      <a:ext cx="5266690" cy="827087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7662545"/>
            <wp:effectExtent l="0" t="0" r="10160" b="14605"/>
            <wp:docPr id="145" name="图片 78" descr="刘显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8" descr="刘显臣1"/>
                    <pic:cNvPicPr>
                      <a:picLocks noChangeAspect="1"/>
                    </pic:cNvPicPr>
                  </pic:nvPicPr>
                  <pic:blipFill>
                    <a:blip r:embed="rId84"/>
                    <a:stretch>
                      <a:fillRect/>
                    </a:stretch>
                  </pic:blipFill>
                  <pic:spPr>
                    <a:xfrm>
                      <a:off x="0" y="0"/>
                      <a:ext cx="5266690" cy="766254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7332345"/>
            <wp:effectExtent l="0" t="0" r="10160" b="1905"/>
            <wp:docPr id="146" name="图片 79" descr="刘显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9" descr="刘显臣2"/>
                    <pic:cNvPicPr>
                      <a:picLocks noChangeAspect="1"/>
                    </pic:cNvPicPr>
                  </pic:nvPicPr>
                  <pic:blipFill>
                    <a:blip r:embed="rId85"/>
                    <a:stretch>
                      <a:fillRect/>
                    </a:stretch>
                  </pic:blipFill>
                  <pic:spPr>
                    <a:xfrm>
                      <a:off x="0" y="0"/>
                      <a:ext cx="5266690" cy="7332345"/>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7283450"/>
            <wp:effectExtent l="0" t="0" r="10160" b="12700"/>
            <wp:docPr id="147" name="图片 80" descr="刘显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0" descr="刘显臣3"/>
                    <pic:cNvPicPr>
                      <a:picLocks noChangeAspect="1"/>
                    </pic:cNvPicPr>
                  </pic:nvPicPr>
                  <pic:blipFill>
                    <a:blip r:embed="rId86"/>
                    <a:stretch>
                      <a:fillRect/>
                    </a:stretch>
                  </pic:blipFill>
                  <pic:spPr>
                    <a:xfrm>
                      <a:off x="0" y="0"/>
                      <a:ext cx="5266690" cy="728345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6690" cy="7628890"/>
            <wp:effectExtent l="0" t="0" r="10160" b="10160"/>
            <wp:docPr id="148" name="图片 81" descr="刘显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1" descr="刘显臣4"/>
                    <pic:cNvPicPr>
                      <a:picLocks noChangeAspect="1"/>
                    </pic:cNvPicPr>
                  </pic:nvPicPr>
                  <pic:blipFill>
                    <a:blip r:embed="rId87"/>
                    <a:stretch>
                      <a:fillRect/>
                    </a:stretch>
                  </pic:blipFill>
                  <pic:spPr>
                    <a:xfrm>
                      <a:off x="0" y="0"/>
                      <a:ext cx="5266690" cy="7628890"/>
                    </a:xfrm>
                    <a:prstGeom prst="rect">
                      <a:avLst/>
                    </a:prstGeom>
                    <a:noFill/>
                    <a:ln>
                      <a:noFill/>
                    </a:ln>
                  </pic:spPr>
                </pic:pic>
              </a:graphicData>
            </a:graphic>
          </wp:inline>
        </w:drawing>
      </w:r>
      <w:r>
        <w:rPr>
          <w:rFonts w:hint="eastAsia" w:ascii="Times New Roman" w:eastAsia="宋体"/>
          <w:snapToGrid w:val="0"/>
          <w:spacing w:val="-6"/>
          <w:kern w:val="21"/>
          <w:szCs w:val="21"/>
          <w:highlight w:val="none"/>
          <w:lang w:eastAsia="zh-CN"/>
        </w:rPr>
        <w:drawing>
          <wp:inline distT="0" distB="0" distL="114300" distR="114300">
            <wp:extent cx="5267325" cy="8013700"/>
            <wp:effectExtent l="0" t="0" r="9525" b="6350"/>
            <wp:docPr id="149" name="图片 82" descr="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2" descr="签到表"/>
                    <pic:cNvPicPr>
                      <a:picLocks noChangeAspect="1"/>
                    </pic:cNvPicPr>
                  </pic:nvPicPr>
                  <pic:blipFill>
                    <a:blip r:embed="rId88"/>
                    <a:stretch>
                      <a:fillRect/>
                    </a:stretch>
                  </pic:blipFill>
                  <pic:spPr>
                    <a:xfrm>
                      <a:off x="0" y="0"/>
                      <a:ext cx="5267325" cy="801370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font>
  <w:font w:name="TimesNewRomanPSMT">
    <w:altName w:val="MS Gothic"/>
    <w:panose1 w:val="00000000000000000000"/>
    <w:charset w:val="80"/>
    <w:family w:val="auto"/>
    <w:pitch w:val="default"/>
    <w:sig w:usb0="00000000" w:usb1="00000000" w:usb2="00000000" w:usb3="00000000" w:csb0="00020000" w:csb1="00000000"/>
  </w:font>
  <w:font w:name="TimesNewRomanPS-BoldMT">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47</w:t>
    </w:r>
    <w:r>
      <w:rPr>
        <w:sz w:val="24"/>
        <w:szCs w:val="24"/>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49</w:t>
    </w:r>
    <w:r>
      <w:rPr>
        <w:rStyle w:val="26"/>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075B8"/>
    <w:multiLevelType w:val="singleLevel"/>
    <w:tmpl w:val="80D075B8"/>
    <w:lvl w:ilvl="0" w:tentative="0">
      <w:start w:val="1"/>
      <w:numFmt w:val="decimal"/>
      <w:suff w:val="nothing"/>
      <w:lvlText w:val="%1、"/>
      <w:lvlJc w:val="left"/>
      <w:rPr>
        <w:rFonts w:hint="default"/>
        <w:b/>
        <w:bCs/>
      </w:rPr>
    </w:lvl>
  </w:abstractNum>
  <w:abstractNum w:abstractNumId="1">
    <w:nsid w:val="CC8176B1"/>
    <w:multiLevelType w:val="singleLevel"/>
    <w:tmpl w:val="CC8176B1"/>
    <w:lvl w:ilvl="0" w:tentative="0">
      <w:start w:val="5"/>
      <w:numFmt w:val="chineseCounting"/>
      <w:suff w:val="nothing"/>
      <w:lvlText w:val="%1、"/>
      <w:lvlJc w:val="left"/>
      <w:rPr>
        <w:rFonts w:hint="eastAsia"/>
      </w:rPr>
    </w:lvl>
  </w:abstractNum>
  <w:abstractNum w:abstractNumId="2">
    <w:nsid w:val="EBF2579B"/>
    <w:multiLevelType w:val="singleLevel"/>
    <w:tmpl w:val="EBF2579B"/>
    <w:lvl w:ilvl="0" w:tentative="0">
      <w:start w:val="2"/>
      <w:numFmt w:val="decimal"/>
      <w:suff w:val="nothing"/>
      <w:lvlText w:val="（%1）"/>
      <w:lvlJc w:val="left"/>
    </w:lvl>
  </w:abstractNum>
  <w:abstractNum w:abstractNumId="3">
    <w:nsid w:val="00000010"/>
    <w:multiLevelType w:val="singleLevel"/>
    <w:tmpl w:val="00000010"/>
    <w:lvl w:ilvl="0" w:tentative="0">
      <w:start w:val="1"/>
      <w:numFmt w:val="decimal"/>
      <w:lvlText w:val="%1."/>
      <w:lvlJc w:val="left"/>
      <w:pPr>
        <w:tabs>
          <w:tab w:val="left" w:pos="312"/>
        </w:tabs>
      </w:pPr>
      <w:rPr>
        <w:rFonts w:cs="Times New Roman"/>
      </w:rPr>
    </w:lvl>
  </w:abstractNum>
  <w:abstractNum w:abstractNumId="4">
    <w:nsid w:val="0000001A"/>
    <w:multiLevelType w:val="singleLevel"/>
    <w:tmpl w:val="0000001A"/>
    <w:lvl w:ilvl="0" w:tentative="0">
      <w:start w:val="1"/>
      <w:numFmt w:val="decimal"/>
      <w:lvlText w:val="%1."/>
      <w:lvlJc w:val="left"/>
      <w:pPr>
        <w:tabs>
          <w:tab w:val="left" w:pos="312"/>
        </w:tabs>
      </w:pPr>
      <w:rPr>
        <w:rFonts w:cs="Times New Roman"/>
      </w:rPr>
    </w:lvl>
  </w:abstractNum>
  <w:abstractNum w:abstractNumId="5">
    <w:nsid w:val="00000021"/>
    <w:multiLevelType w:val="singleLevel"/>
    <w:tmpl w:val="00000021"/>
    <w:lvl w:ilvl="0" w:tentative="0">
      <w:start w:val="1"/>
      <w:numFmt w:val="decimal"/>
      <w:lvlText w:val="%1."/>
      <w:lvlJc w:val="left"/>
      <w:pPr>
        <w:tabs>
          <w:tab w:val="left" w:pos="312"/>
        </w:tabs>
      </w:pPr>
      <w:rPr>
        <w:rFonts w:cs="Times New Roman"/>
      </w:rPr>
    </w:lvl>
  </w:abstractNum>
  <w:abstractNum w:abstractNumId="6">
    <w:nsid w:val="10E71C0C"/>
    <w:multiLevelType w:val="multilevel"/>
    <w:tmpl w:val="10E71C0C"/>
    <w:lvl w:ilvl="0" w:tentative="0">
      <w:start w:val="1"/>
      <w:numFmt w:val="decimalEnclosedParen"/>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64FB4CD0"/>
    <w:multiLevelType w:val="multilevel"/>
    <w:tmpl w:val="64FB4CD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E8EDDC2"/>
    <w:multiLevelType w:val="singleLevel"/>
    <w:tmpl w:val="6E8EDDC2"/>
    <w:lvl w:ilvl="0" w:tentative="0">
      <w:start w:val="1"/>
      <w:numFmt w:val="decimal"/>
      <w:suff w:val="nothing"/>
      <w:lvlText w:val="%1、"/>
      <w:lvlJc w:val="left"/>
    </w:lvl>
  </w:abstractNum>
  <w:abstractNum w:abstractNumId="9">
    <w:nsid w:val="7FA77011"/>
    <w:multiLevelType w:val="multilevel"/>
    <w:tmpl w:val="7FA77011"/>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9"/>
  </w:num>
  <w:num w:numId="3">
    <w:abstractNumId w:val="4"/>
  </w:num>
  <w:num w:numId="4">
    <w:abstractNumId w:val="3"/>
  </w:num>
  <w:num w:numId="5">
    <w:abstractNumId w:val="5"/>
  </w:num>
  <w:num w:numId="6">
    <w:abstractNumId w:val="2"/>
  </w:num>
  <w:num w:numId="7">
    <w:abstractNumId w:val="0"/>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iZDMwZGNmZjg1NThiNjViNWM3YjI5YjRmODRmYWMifQ=="/>
  </w:docVars>
  <w:rsids>
    <w:rsidRoot w:val="00A14947"/>
    <w:rsid w:val="00000354"/>
    <w:rsid w:val="00001C86"/>
    <w:rsid w:val="00001C87"/>
    <w:rsid w:val="00004749"/>
    <w:rsid w:val="000060B3"/>
    <w:rsid w:val="00007B93"/>
    <w:rsid w:val="000113ED"/>
    <w:rsid w:val="00011A98"/>
    <w:rsid w:val="00012A82"/>
    <w:rsid w:val="000139BE"/>
    <w:rsid w:val="0001448D"/>
    <w:rsid w:val="00014617"/>
    <w:rsid w:val="000147FE"/>
    <w:rsid w:val="00015A15"/>
    <w:rsid w:val="000209FE"/>
    <w:rsid w:val="000214FC"/>
    <w:rsid w:val="00024CD4"/>
    <w:rsid w:val="0002676A"/>
    <w:rsid w:val="00026D99"/>
    <w:rsid w:val="00030AF7"/>
    <w:rsid w:val="0003272C"/>
    <w:rsid w:val="000333E5"/>
    <w:rsid w:val="00036D28"/>
    <w:rsid w:val="0003779B"/>
    <w:rsid w:val="00037A3B"/>
    <w:rsid w:val="0004239D"/>
    <w:rsid w:val="0004364B"/>
    <w:rsid w:val="000460F7"/>
    <w:rsid w:val="00050B31"/>
    <w:rsid w:val="000515C2"/>
    <w:rsid w:val="00053DD2"/>
    <w:rsid w:val="0005440D"/>
    <w:rsid w:val="00057269"/>
    <w:rsid w:val="0006066C"/>
    <w:rsid w:val="000617F4"/>
    <w:rsid w:val="00061805"/>
    <w:rsid w:val="00061B1F"/>
    <w:rsid w:val="00062C68"/>
    <w:rsid w:val="000640F0"/>
    <w:rsid w:val="00066E5A"/>
    <w:rsid w:val="00067A1C"/>
    <w:rsid w:val="00072130"/>
    <w:rsid w:val="00072635"/>
    <w:rsid w:val="000733C4"/>
    <w:rsid w:val="00074783"/>
    <w:rsid w:val="00075AE0"/>
    <w:rsid w:val="00076F37"/>
    <w:rsid w:val="0008070B"/>
    <w:rsid w:val="000810AC"/>
    <w:rsid w:val="00081613"/>
    <w:rsid w:val="00081A02"/>
    <w:rsid w:val="00082231"/>
    <w:rsid w:val="00082B43"/>
    <w:rsid w:val="00083247"/>
    <w:rsid w:val="000847E4"/>
    <w:rsid w:val="00086052"/>
    <w:rsid w:val="000868D7"/>
    <w:rsid w:val="00087097"/>
    <w:rsid w:val="00087654"/>
    <w:rsid w:val="000902C1"/>
    <w:rsid w:val="0009080A"/>
    <w:rsid w:val="00090906"/>
    <w:rsid w:val="00091B4F"/>
    <w:rsid w:val="00091B84"/>
    <w:rsid w:val="00092D38"/>
    <w:rsid w:val="0009377B"/>
    <w:rsid w:val="00093D4A"/>
    <w:rsid w:val="0009422E"/>
    <w:rsid w:val="00095461"/>
    <w:rsid w:val="00095AB7"/>
    <w:rsid w:val="0009798C"/>
    <w:rsid w:val="000A0CD1"/>
    <w:rsid w:val="000A16F0"/>
    <w:rsid w:val="000A20C9"/>
    <w:rsid w:val="000A47D6"/>
    <w:rsid w:val="000A4C09"/>
    <w:rsid w:val="000A5549"/>
    <w:rsid w:val="000A78A8"/>
    <w:rsid w:val="000B058F"/>
    <w:rsid w:val="000B0ABE"/>
    <w:rsid w:val="000B1438"/>
    <w:rsid w:val="000B3027"/>
    <w:rsid w:val="000B3F13"/>
    <w:rsid w:val="000B43B4"/>
    <w:rsid w:val="000B4467"/>
    <w:rsid w:val="000B4B0F"/>
    <w:rsid w:val="000B4DB9"/>
    <w:rsid w:val="000C04C5"/>
    <w:rsid w:val="000C09AC"/>
    <w:rsid w:val="000C1AF6"/>
    <w:rsid w:val="000C29E2"/>
    <w:rsid w:val="000C5F19"/>
    <w:rsid w:val="000C5F8D"/>
    <w:rsid w:val="000C6683"/>
    <w:rsid w:val="000C7446"/>
    <w:rsid w:val="000C767F"/>
    <w:rsid w:val="000D0E53"/>
    <w:rsid w:val="000D1A2B"/>
    <w:rsid w:val="000D3EB7"/>
    <w:rsid w:val="000D5A44"/>
    <w:rsid w:val="000D5C90"/>
    <w:rsid w:val="000E02E4"/>
    <w:rsid w:val="000E29DD"/>
    <w:rsid w:val="000E2B6D"/>
    <w:rsid w:val="000E3183"/>
    <w:rsid w:val="000E3ED2"/>
    <w:rsid w:val="000E3EFA"/>
    <w:rsid w:val="000E5610"/>
    <w:rsid w:val="000E664D"/>
    <w:rsid w:val="000E6EB9"/>
    <w:rsid w:val="000E7934"/>
    <w:rsid w:val="000F072B"/>
    <w:rsid w:val="000F07B1"/>
    <w:rsid w:val="000F0C9C"/>
    <w:rsid w:val="000F4FAD"/>
    <w:rsid w:val="0010245C"/>
    <w:rsid w:val="00103AB8"/>
    <w:rsid w:val="00104B7F"/>
    <w:rsid w:val="0010666E"/>
    <w:rsid w:val="00107FFC"/>
    <w:rsid w:val="0011047B"/>
    <w:rsid w:val="00111B90"/>
    <w:rsid w:val="00112D24"/>
    <w:rsid w:val="0011381C"/>
    <w:rsid w:val="00120926"/>
    <w:rsid w:val="00120C4C"/>
    <w:rsid w:val="00120C63"/>
    <w:rsid w:val="00121C04"/>
    <w:rsid w:val="001222C6"/>
    <w:rsid w:val="0013041C"/>
    <w:rsid w:val="00131F42"/>
    <w:rsid w:val="0013573A"/>
    <w:rsid w:val="001357F1"/>
    <w:rsid w:val="00137517"/>
    <w:rsid w:val="0013797A"/>
    <w:rsid w:val="00140FA8"/>
    <w:rsid w:val="00141AA9"/>
    <w:rsid w:val="00142FEB"/>
    <w:rsid w:val="00143A2D"/>
    <w:rsid w:val="00144D72"/>
    <w:rsid w:val="00145A41"/>
    <w:rsid w:val="0014620F"/>
    <w:rsid w:val="001463E1"/>
    <w:rsid w:val="001478C4"/>
    <w:rsid w:val="0015090F"/>
    <w:rsid w:val="00151675"/>
    <w:rsid w:val="00153980"/>
    <w:rsid w:val="00154281"/>
    <w:rsid w:val="0015551E"/>
    <w:rsid w:val="00155DA0"/>
    <w:rsid w:val="00157435"/>
    <w:rsid w:val="00160430"/>
    <w:rsid w:val="00160AFC"/>
    <w:rsid w:val="00161086"/>
    <w:rsid w:val="00161726"/>
    <w:rsid w:val="00161802"/>
    <w:rsid w:val="00162CF1"/>
    <w:rsid w:val="001630E5"/>
    <w:rsid w:val="00163D82"/>
    <w:rsid w:val="00164D48"/>
    <w:rsid w:val="00164E39"/>
    <w:rsid w:val="00167EAA"/>
    <w:rsid w:val="00167EBA"/>
    <w:rsid w:val="001704F1"/>
    <w:rsid w:val="00171407"/>
    <w:rsid w:val="001749F6"/>
    <w:rsid w:val="0017504D"/>
    <w:rsid w:val="00176538"/>
    <w:rsid w:val="0017671A"/>
    <w:rsid w:val="0017730E"/>
    <w:rsid w:val="00177422"/>
    <w:rsid w:val="0017787D"/>
    <w:rsid w:val="00177917"/>
    <w:rsid w:val="00183E8D"/>
    <w:rsid w:val="00184590"/>
    <w:rsid w:val="00184A27"/>
    <w:rsid w:val="00184D46"/>
    <w:rsid w:val="00185B0A"/>
    <w:rsid w:val="00186111"/>
    <w:rsid w:val="001868CF"/>
    <w:rsid w:val="00186D85"/>
    <w:rsid w:val="00186E6F"/>
    <w:rsid w:val="001870D1"/>
    <w:rsid w:val="0018781E"/>
    <w:rsid w:val="00190879"/>
    <w:rsid w:val="0019262D"/>
    <w:rsid w:val="001932C4"/>
    <w:rsid w:val="00193C97"/>
    <w:rsid w:val="001A195A"/>
    <w:rsid w:val="001A1B35"/>
    <w:rsid w:val="001A233F"/>
    <w:rsid w:val="001A281C"/>
    <w:rsid w:val="001A348D"/>
    <w:rsid w:val="001A48A2"/>
    <w:rsid w:val="001A6495"/>
    <w:rsid w:val="001A6F61"/>
    <w:rsid w:val="001B179A"/>
    <w:rsid w:val="001B1E61"/>
    <w:rsid w:val="001B22FB"/>
    <w:rsid w:val="001B483B"/>
    <w:rsid w:val="001B48AA"/>
    <w:rsid w:val="001B4C62"/>
    <w:rsid w:val="001B4EF4"/>
    <w:rsid w:val="001B687C"/>
    <w:rsid w:val="001B6F3A"/>
    <w:rsid w:val="001B72B8"/>
    <w:rsid w:val="001B74D9"/>
    <w:rsid w:val="001B7F87"/>
    <w:rsid w:val="001C0446"/>
    <w:rsid w:val="001C048E"/>
    <w:rsid w:val="001C0AD6"/>
    <w:rsid w:val="001C0B02"/>
    <w:rsid w:val="001C0EBF"/>
    <w:rsid w:val="001C42EB"/>
    <w:rsid w:val="001C4CC9"/>
    <w:rsid w:val="001C52B8"/>
    <w:rsid w:val="001C5DE8"/>
    <w:rsid w:val="001C6638"/>
    <w:rsid w:val="001C69B3"/>
    <w:rsid w:val="001C6FDC"/>
    <w:rsid w:val="001C736A"/>
    <w:rsid w:val="001D16E2"/>
    <w:rsid w:val="001D230A"/>
    <w:rsid w:val="001D25D4"/>
    <w:rsid w:val="001D2C61"/>
    <w:rsid w:val="001D378B"/>
    <w:rsid w:val="001D3930"/>
    <w:rsid w:val="001D4DD6"/>
    <w:rsid w:val="001D5595"/>
    <w:rsid w:val="001D6DF2"/>
    <w:rsid w:val="001D7874"/>
    <w:rsid w:val="001D7F22"/>
    <w:rsid w:val="001E5EB0"/>
    <w:rsid w:val="001E6C12"/>
    <w:rsid w:val="001E7219"/>
    <w:rsid w:val="001F0F17"/>
    <w:rsid w:val="001F1BD5"/>
    <w:rsid w:val="001F2A71"/>
    <w:rsid w:val="001F3347"/>
    <w:rsid w:val="001F69E4"/>
    <w:rsid w:val="00202A81"/>
    <w:rsid w:val="002034F8"/>
    <w:rsid w:val="00204412"/>
    <w:rsid w:val="002058F6"/>
    <w:rsid w:val="00206834"/>
    <w:rsid w:val="00207757"/>
    <w:rsid w:val="00207E85"/>
    <w:rsid w:val="002103BC"/>
    <w:rsid w:val="002105D1"/>
    <w:rsid w:val="002112D4"/>
    <w:rsid w:val="002125B4"/>
    <w:rsid w:val="002155B8"/>
    <w:rsid w:val="00215EAA"/>
    <w:rsid w:val="002167A5"/>
    <w:rsid w:val="00216BD8"/>
    <w:rsid w:val="002178D0"/>
    <w:rsid w:val="00220163"/>
    <w:rsid w:val="00220BAB"/>
    <w:rsid w:val="002228F7"/>
    <w:rsid w:val="00223EBC"/>
    <w:rsid w:val="00224839"/>
    <w:rsid w:val="002249B2"/>
    <w:rsid w:val="002250B5"/>
    <w:rsid w:val="00226574"/>
    <w:rsid w:val="00226770"/>
    <w:rsid w:val="00226D37"/>
    <w:rsid w:val="00227744"/>
    <w:rsid w:val="002278EC"/>
    <w:rsid w:val="00230988"/>
    <w:rsid w:val="0023280E"/>
    <w:rsid w:val="00232AB1"/>
    <w:rsid w:val="00233B9B"/>
    <w:rsid w:val="00235655"/>
    <w:rsid w:val="00235ED3"/>
    <w:rsid w:val="00236007"/>
    <w:rsid w:val="002361C1"/>
    <w:rsid w:val="002377D1"/>
    <w:rsid w:val="00237948"/>
    <w:rsid w:val="00242AC7"/>
    <w:rsid w:val="00243944"/>
    <w:rsid w:val="00245C92"/>
    <w:rsid w:val="00245E3D"/>
    <w:rsid w:val="002462AC"/>
    <w:rsid w:val="0024772E"/>
    <w:rsid w:val="002477F1"/>
    <w:rsid w:val="002506BC"/>
    <w:rsid w:val="00253213"/>
    <w:rsid w:val="00253AA8"/>
    <w:rsid w:val="00254345"/>
    <w:rsid w:val="00254E55"/>
    <w:rsid w:val="0025654F"/>
    <w:rsid w:val="00256E6A"/>
    <w:rsid w:val="002630FA"/>
    <w:rsid w:val="00263AF0"/>
    <w:rsid w:val="00264557"/>
    <w:rsid w:val="00264701"/>
    <w:rsid w:val="00264725"/>
    <w:rsid w:val="002654FF"/>
    <w:rsid w:val="00265D77"/>
    <w:rsid w:val="00267C6F"/>
    <w:rsid w:val="00270BD8"/>
    <w:rsid w:val="0027328D"/>
    <w:rsid w:val="0027333D"/>
    <w:rsid w:val="002753B4"/>
    <w:rsid w:val="002755A4"/>
    <w:rsid w:val="002805AB"/>
    <w:rsid w:val="00282B18"/>
    <w:rsid w:val="0028323F"/>
    <w:rsid w:val="00283B20"/>
    <w:rsid w:val="00284204"/>
    <w:rsid w:val="00291053"/>
    <w:rsid w:val="00291773"/>
    <w:rsid w:val="00292CDE"/>
    <w:rsid w:val="00294158"/>
    <w:rsid w:val="00295701"/>
    <w:rsid w:val="002A0241"/>
    <w:rsid w:val="002A0E51"/>
    <w:rsid w:val="002A168C"/>
    <w:rsid w:val="002A1C39"/>
    <w:rsid w:val="002A3024"/>
    <w:rsid w:val="002A3DC7"/>
    <w:rsid w:val="002A4D88"/>
    <w:rsid w:val="002A5E2B"/>
    <w:rsid w:val="002B1040"/>
    <w:rsid w:val="002B1243"/>
    <w:rsid w:val="002B1D4F"/>
    <w:rsid w:val="002B49E2"/>
    <w:rsid w:val="002B7B00"/>
    <w:rsid w:val="002B7C44"/>
    <w:rsid w:val="002B7F41"/>
    <w:rsid w:val="002C2B17"/>
    <w:rsid w:val="002C2FC3"/>
    <w:rsid w:val="002C3CFF"/>
    <w:rsid w:val="002C4618"/>
    <w:rsid w:val="002C4942"/>
    <w:rsid w:val="002C4CBE"/>
    <w:rsid w:val="002D008C"/>
    <w:rsid w:val="002D20DB"/>
    <w:rsid w:val="002D3DD0"/>
    <w:rsid w:val="002D3FFA"/>
    <w:rsid w:val="002D5994"/>
    <w:rsid w:val="002E10F3"/>
    <w:rsid w:val="002E11C3"/>
    <w:rsid w:val="002E1F3A"/>
    <w:rsid w:val="002E298A"/>
    <w:rsid w:val="002E31E9"/>
    <w:rsid w:val="002E6DED"/>
    <w:rsid w:val="002F02CE"/>
    <w:rsid w:val="002F20E4"/>
    <w:rsid w:val="002F2ABA"/>
    <w:rsid w:val="002F4EE4"/>
    <w:rsid w:val="002F68AE"/>
    <w:rsid w:val="002F6DB4"/>
    <w:rsid w:val="0030037F"/>
    <w:rsid w:val="00300ED7"/>
    <w:rsid w:val="00301978"/>
    <w:rsid w:val="0030215D"/>
    <w:rsid w:val="0030332C"/>
    <w:rsid w:val="00303E49"/>
    <w:rsid w:val="00304D1B"/>
    <w:rsid w:val="003051C2"/>
    <w:rsid w:val="003056C6"/>
    <w:rsid w:val="00307645"/>
    <w:rsid w:val="003104D6"/>
    <w:rsid w:val="00310859"/>
    <w:rsid w:val="00312296"/>
    <w:rsid w:val="003124B2"/>
    <w:rsid w:val="00312A70"/>
    <w:rsid w:val="00313965"/>
    <w:rsid w:val="00314069"/>
    <w:rsid w:val="003145BE"/>
    <w:rsid w:val="00314E53"/>
    <w:rsid w:val="00314F0E"/>
    <w:rsid w:val="003157A0"/>
    <w:rsid w:val="003174F5"/>
    <w:rsid w:val="0032093D"/>
    <w:rsid w:val="00321D8E"/>
    <w:rsid w:val="0032370B"/>
    <w:rsid w:val="00323CEE"/>
    <w:rsid w:val="00323D35"/>
    <w:rsid w:val="003246FF"/>
    <w:rsid w:val="00324EB1"/>
    <w:rsid w:val="00325280"/>
    <w:rsid w:val="00325928"/>
    <w:rsid w:val="00330CB6"/>
    <w:rsid w:val="003320D3"/>
    <w:rsid w:val="0033235B"/>
    <w:rsid w:val="00332863"/>
    <w:rsid w:val="0033369E"/>
    <w:rsid w:val="00333F60"/>
    <w:rsid w:val="003347A4"/>
    <w:rsid w:val="00335F26"/>
    <w:rsid w:val="0033684D"/>
    <w:rsid w:val="003373EC"/>
    <w:rsid w:val="00337B42"/>
    <w:rsid w:val="00337FE4"/>
    <w:rsid w:val="003402DF"/>
    <w:rsid w:val="0034054B"/>
    <w:rsid w:val="003413FA"/>
    <w:rsid w:val="00341B42"/>
    <w:rsid w:val="0034348F"/>
    <w:rsid w:val="00345E81"/>
    <w:rsid w:val="00346337"/>
    <w:rsid w:val="003471CE"/>
    <w:rsid w:val="0034754C"/>
    <w:rsid w:val="00350559"/>
    <w:rsid w:val="003506AB"/>
    <w:rsid w:val="0035095E"/>
    <w:rsid w:val="003517E9"/>
    <w:rsid w:val="0035190A"/>
    <w:rsid w:val="00351E6B"/>
    <w:rsid w:val="003537F7"/>
    <w:rsid w:val="003563A5"/>
    <w:rsid w:val="00356653"/>
    <w:rsid w:val="00356FD8"/>
    <w:rsid w:val="0035743F"/>
    <w:rsid w:val="0035746A"/>
    <w:rsid w:val="00357BE2"/>
    <w:rsid w:val="003611AC"/>
    <w:rsid w:val="00361334"/>
    <w:rsid w:val="0036170C"/>
    <w:rsid w:val="00362BCB"/>
    <w:rsid w:val="00362CF8"/>
    <w:rsid w:val="00364749"/>
    <w:rsid w:val="00365914"/>
    <w:rsid w:val="003659BA"/>
    <w:rsid w:val="00365C75"/>
    <w:rsid w:val="00366E0F"/>
    <w:rsid w:val="00370C08"/>
    <w:rsid w:val="00370C38"/>
    <w:rsid w:val="003715E4"/>
    <w:rsid w:val="00371715"/>
    <w:rsid w:val="00372C5F"/>
    <w:rsid w:val="00374143"/>
    <w:rsid w:val="00375F25"/>
    <w:rsid w:val="00376432"/>
    <w:rsid w:val="0038127E"/>
    <w:rsid w:val="00381A72"/>
    <w:rsid w:val="0038309F"/>
    <w:rsid w:val="003842B5"/>
    <w:rsid w:val="00384676"/>
    <w:rsid w:val="003851DA"/>
    <w:rsid w:val="00385C59"/>
    <w:rsid w:val="00385CF6"/>
    <w:rsid w:val="00385DED"/>
    <w:rsid w:val="00385F51"/>
    <w:rsid w:val="003870DE"/>
    <w:rsid w:val="00390008"/>
    <w:rsid w:val="00390593"/>
    <w:rsid w:val="00390857"/>
    <w:rsid w:val="00392BD6"/>
    <w:rsid w:val="003933DA"/>
    <w:rsid w:val="0039582A"/>
    <w:rsid w:val="003968B5"/>
    <w:rsid w:val="003969DA"/>
    <w:rsid w:val="00397408"/>
    <w:rsid w:val="00397421"/>
    <w:rsid w:val="003A03C0"/>
    <w:rsid w:val="003A2D69"/>
    <w:rsid w:val="003A3A65"/>
    <w:rsid w:val="003A3C87"/>
    <w:rsid w:val="003A4BF3"/>
    <w:rsid w:val="003A5E69"/>
    <w:rsid w:val="003B084D"/>
    <w:rsid w:val="003B0D3A"/>
    <w:rsid w:val="003B0E70"/>
    <w:rsid w:val="003B420D"/>
    <w:rsid w:val="003B4391"/>
    <w:rsid w:val="003B44AD"/>
    <w:rsid w:val="003B4FC5"/>
    <w:rsid w:val="003B69D8"/>
    <w:rsid w:val="003C3084"/>
    <w:rsid w:val="003C32C1"/>
    <w:rsid w:val="003C36CC"/>
    <w:rsid w:val="003C3DA7"/>
    <w:rsid w:val="003C6192"/>
    <w:rsid w:val="003C6C16"/>
    <w:rsid w:val="003C6D60"/>
    <w:rsid w:val="003C6EEF"/>
    <w:rsid w:val="003C77CA"/>
    <w:rsid w:val="003D32B1"/>
    <w:rsid w:val="003D33C0"/>
    <w:rsid w:val="003D3696"/>
    <w:rsid w:val="003D630B"/>
    <w:rsid w:val="003D6348"/>
    <w:rsid w:val="003D6A3E"/>
    <w:rsid w:val="003D794D"/>
    <w:rsid w:val="003D7D0B"/>
    <w:rsid w:val="003E2430"/>
    <w:rsid w:val="003E2FF4"/>
    <w:rsid w:val="003E3058"/>
    <w:rsid w:val="003E6919"/>
    <w:rsid w:val="003E76A9"/>
    <w:rsid w:val="003F0809"/>
    <w:rsid w:val="003F1411"/>
    <w:rsid w:val="003F1B7A"/>
    <w:rsid w:val="003F29C2"/>
    <w:rsid w:val="003F45CC"/>
    <w:rsid w:val="003F5DDD"/>
    <w:rsid w:val="003F64BA"/>
    <w:rsid w:val="003F64E1"/>
    <w:rsid w:val="003F6A8C"/>
    <w:rsid w:val="003F7430"/>
    <w:rsid w:val="003F755C"/>
    <w:rsid w:val="003F7736"/>
    <w:rsid w:val="004002EC"/>
    <w:rsid w:val="004003B8"/>
    <w:rsid w:val="0040335D"/>
    <w:rsid w:val="00403BF8"/>
    <w:rsid w:val="00403E68"/>
    <w:rsid w:val="004055BB"/>
    <w:rsid w:val="00405E56"/>
    <w:rsid w:val="00406F01"/>
    <w:rsid w:val="00406FCA"/>
    <w:rsid w:val="004108B1"/>
    <w:rsid w:val="00410CBA"/>
    <w:rsid w:val="004128D4"/>
    <w:rsid w:val="004133EC"/>
    <w:rsid w:val="004138E1"/>
    <w:rsid w:val="00413AF3"/>
    <w:rsid w:val="0041447E"/>
    <w:rsid w:val="004144D8"/>
    <w:rsid w:val="00414E9F"/>
    <w:rsid w:val="00416D50"/>
    <w:rsid w:val="00416FD5"/>
    <w:rsid w:val="00417772"/>
    <w:rsid w:val="00420571"/>
    <w:rsid w:val="00420E6A"/>
    <w:rsid w:val="00425077"/>
    <w:rsid w:val="00425A9E"/>
    <w:rsid w:val="004268A0"/>
    <w:rsid w:val="00426AA8"/>
    <w:rsid w:val="00426D6B"/>
    <w:rsid w:val="0043090D"/>
    <w:rsid w:val="00430D4A"/>
    <w:rsid w:val="004317C9"/>
    <w:rsid w:val="00431E1D"/>
    <w:rsid w:val="00431E6C"/>
    <w:rsid w:val="004327C6"/>
    <w:rsid w:val="00432AFA"/>
    <w:rsid w:val="00432BD7"/>
    <w:rsid w:val="00433CE7"/>
    <w:rsid w:val="00434457"/>
    <w:rsid w:val="00442766"/>
    <w:rsid w:val="00445476"/>
    <w:rsid w:val="00446335"/>
    <w:rsid w:val="004466BA"/>
    <w:rsid w:val="0044694E"/>
    <w:rsid w:val="00446E4B"/>
    <w:rsid w:val="004518E3"/>
    <w:rsid w:val="00451CB1"/>
    <w:rsid w:val="00452179"/>
    <w:rsid w:val="00452738"/>
    <w:rsid w:val="0045386F"/>
    <w:rsid w:val="004550CB"/>
    <w:rsid w:val="00456091"/>
    <w:rsid w:val="00456269"/>
    <w:rsid w:val="004574B6"/>
    <w:rsid w:val="00457BC7"/>
    <w:rsid w:val="00457CD6"/>
    <w:rsid w:val="00461A99"/>
    <w:rsid w:val="00461BA4"/>
    <w:rsid w:val="00462590"/>
    <w:rsid w:val="004659C3"/>
    <w:rsid w:val="00466321"/>
    <w:rsid w:val="00466C13"/>
    <w:rsid w:val="0046707B"/>
    <w:rsid w:val="00467891"/>
    <w:rsid w:val="00474CA1"/>
    <w:rsid w:val="00475A47"/>
    <w:rsid w:val="004771AC"/>
    <w:rsid w:val="00477C77"/>
    <w:rsid w:val="00477CAA"/>
    <w:rsid w:val="004809DD"/>
    <w:rsid w:val="00480AAE"/>
    <w:rsid w:val="00484B9B"/>
    <w:rsid w:val="00485495"/>
    <w:rsid w:val="004855F6"/>
    <w:rsid w:val="00485D75"/>
    <w:rsid w:val="0048661E"/>
    <w:rsid w:val="00486D0D"/>
    <w:rsid w:val="00492101"/>
    <w:rsid w:val="00492CA1"/>
    <w:rsid w:val="00493054"/>
    <w:rsid w:val="004941AE"/>
    <w:rsid w:val="00494670"/>
    <w:rsid w:val="004958E0"/>
    <w:rsid w:val="00496843"/>
    <w:rsid w:val="004A15F3"/>
    <w:rsid w:val="004A37F0"/>
    <w:rsid w:val="004A3823"/>
    <w:rsid w:val="004A3A6A"/>
    <w:rsid w:val="004A4BF2"/>
    <w:rsid w:val="004A600F"/>
    <w:rsid w:val="004A645E"/>
    <w:rsid w:val="004B1081"/>
    <w:rsid w:val="004B5810"/>
    <w:rsid w:val="004B5949"/>
    <w:rsid w:val="004B5975"/>
    <w:rsid w:val="004B6E2B"/>
    <w:rsid w:val="004C15FA"/>
    <w:rsid w:val="004C1E56"/>
    <w:rsid w:val="004C245F"/>
    <w:rsid w:val="004C4431"/>
    <w:rsid w:val="004C62F4"/>
    <w:rsid w:val="004C7597"/>
    <w:rsid w:val="004D349D"/>
    <w:rsid w:val="004D3E50"/>
    <w:rsid w:val="004E0077"/>
    <w:rsid w:val="004E112B"/>
    <w:rsid w:val="004E26F1"/>
    <w:rsid w:val="004E2D89"/>
    <w:rsid w:val="004E307A"/>
    <w:rsid w:val="004E3C4A"/>
    <w:rsid w:val="004E4F24"/>
    <w:rsid w:val="004E6946"/>
    <w:rsid w:val="004E767E"/>
    <w:rsid w:val="004E7C20"/>
    <w:rsid w:val="004E7FBE"/>
    <w:rsid w:val="004E7FF2"/>
    <w:rsid w:val="004F070F"/>
    <w:rsid w:val="004F1AD8"/>
    <w:rsid w:val="004F3096"/>
    <w:rsid w:val="004F3946"/>
    <w:rsid w:val="004F5C4B"/>
    <w:rsid w:val="0050090A"/>
    <w:rsid w:val="00500B36"/>
    <w:rsid w:val="00500B4B"/>
    <w:rsid w:val="00500C99"/>
    <w:rsid w:val="00501F9A"/>
    <w:rsid w:val="005039CB"/>
    <w:rsid w:val="00503A7F"/>
    <w:rsid w:val="0050558F"/>
    <w:rsid w:val="00506077"/>
    <w:rsid w:val="00506286"/>
    <w:rsid w:val="00506BE0"/>
    <w:rsid w:val="00507551"/>
    <w:rsid w:val="005100E1"/>
    <w:rsid w:val="00510813"/>
    <w:rsid w:val="00510B3C"/>
    <w:rsid w:val="00511990"/>
    <w:rsid w:val="00511D2B"/>
    <w:rsid w:val="00511DE0"/>
    <w:rsid w:val="00512EDC"/>
    <w:rsid w:val="00514870"/>
    <w:rsid w:val="00514B9B"/>
    <w:rsid w:val="00515343"/>
    <w:rsid w:val="0051553E"/>
    <w:rsid w:val="00517B52"/>
    <w:rsid w:val="00517F02"/>
    <w:rsid w:val="00520F81"/>
    <w:rsid w:val="00521307"/>
    <w:rsid w:val="00522152"/>
    <w:rsid w:val="00523418"/>
    <w:rsid w:val="005239D8"/>
    <w:rsid w:val="00524303"/>
    <w:rsid w:val="005258A2"/>
    <w:rsid w:val="00526DC5"/>
    <w:rsid w:val="00527C73"/>
    <w:rsid w:val="0053052A"/>
    <w:rsid w:val="005339A6"/>
    <w:rsid w:val="0053427D"/>
    <w:rsid w:val="00535668"/>
    <w:rsid w:val="00537135"/>
    <w:rsid w:val="005401AE"/>
    <w:rsid w:val="00540BAB"/>
    <w:rsid w:val="005413E3"/>
    <w:rsid w:val="005421F8"/>
    <w:rsid w:val="00542E07"/>
    <w:rsid w:val="005434DA"/>
    <w:rsid w:val="00543A28"/>
    <w:rsid w:val="00544206"/>
    <w:rsid w:val="005447A7"/>
    <w:rsid w:val="005452E6"/>
    <w:rsid w:val="00545424"/>
    <w:rsid w:val="0054691A"/>
    <w:rsid w:val="00546E1A"/>
    <w:rsid w:val="005504F7"/>
    <w:rsid w:val="005527F5"/>
    <w:rsid w:val="00552CC6"/>
    <w:rsid w:val="005540AF"/>
    <w:rsid w:val="00554A7B"/>
    <w:rsid w:val="0055572C"/>
    <w:rsid w:val="00557F56"/>
    <w:rsid w:val="0056032A"/>
    <w:rsid w:val="00560D59"/>
    <w:rsid w:val="0056106A"/>
    <w:rsid w:val="00561583"/>
    <w:rsid w:val="00562EA5"/>
    <w:rsid w:val="00565773"/>
    <w:rsid w:val="005720AE"/>
    <w:rsid w:val="005728EF"/>
    <w:rsid w:val="00572E4C"/>
    <w:rsid w:val="00577F0B"/>
    <w:rsid w:val="00581A29"/>
    <w:rsid w:val="00581FE2"/>
    <w:rsid w:val="005825DB"/>
    <w:rsid w:val="00583D5D"/>
    <w:rsid w:val="005858D3"/>
    <w:rsid w:val="00590816"/>
    <w:rsid w:val="00591D82"/>
    <w:rsid w:val="00592311"/>
    <w:rsid w:val="00593939"/>
    <w:rsid w:val="00594303"/>
    <w:rsid w:val="0059479D"/>
    <w:rsid w:val="00594D77"/>
    <w:rsid w:val="005969E4"/>
    <w:rsid w:val="005A0447"/>
    <w:rsid w:val="005A06B7"/>
    <w:rsid w:val="005A0BF5"/>
    <w:rsid w:val="005A0C38"/>
    <w:rsid w:val="005A0D08"/>
    <w:rsid w:val="005A0FF6"/>
    <w:rsid w:val="005A11FC"/>
    <w:rsid w:val="005A16EE"/>
    <w:rsid w:val="005A1759"/>
    <w:rsid w:val="005A2707"/>
    <w:rsid w:val="005A3229"/>
    <w:rsid w:val="005A46FD"/>
    <w:rsid w:val="005A49D7"/>
    <w:rsid w:val="005A4C3F"/>
    <w:rsid w:val="005A4C9F"/>
    <w:rsid w:val="005A4FCC"/>
    <w:rsid w:val="005A52F4"/>
    <w:rsid w:val="005A604B"/>
    <w:rsid w:val="005A6361"/>
    <w:rsid w:val="005A68A7"/>
    <w:rsid w:val="005B047D"/>
    <w:rsid w:val="005B1643"/>
    <w:rsid w:val="005B1DA1"/>
    <w:rsid w:val="005B3B23"/>
    <w:rsid w:val="005B3B71"/>
    <w:rsid w:val="005B4551"/>
    <w:rsid w:val="005B4AD3"/>
    <w:rsid w:val="005B64D0"/>
    <w:rsid w:val="005B6DA3"/>
    <w:rsid w:val="005B7830"/>
    <w:rsid w:val="005C20DD"/>
    <w:rsid w:val="005C2711"/>
    <w:rsid w:val="005C3FCD"/>
    <w:rsid w:val="005C45C6"/>
    <w:rsid w:val="005C5804"/>
    <w:rsid w:val="005C6431"/>
    <w:rsid w:val="005C6E92"/>
    <w:rsid w:val="005D1B99"/>
    <w:rsid w:val="005D36AB"/>
    <w:rsid w:val="005D4E2F"/>
    <w:rsid w:val="005D4F83"/>
    <w:rsid w:val="005D5ADF"/>
    <w:rsid w:val="005E0BBC"/>
    <w:rsid w:val="005E1F4A"/>
    <w:rsid w:val="005E2061"/>
    <w:rsid w:val="005E2763"/>
    <w:rsid w:val="005E3C91"/>
    <w:rsid w:val="005E5029"/>
    <w:rsid w:val="005E5E69"/>
    <w:rsid w:val="005F1BF9"/>
    <w:rsid w:val="005F39E4"/>
    <w:rsid w:val="005F6AD2"/>
    <w:rsid w:val="006010C5"/>
    <w:rsid w:val="0060117F"/>
    <w:rsid w:val="00603503"/>
    <w:rsid w:val="0060606B"/>
    <w:rsid w:val="0060785E"/>
    <w:rsid w:val="00610C4D"/>
    <w:rsid w:val="00612C7B"/>
    <w:rsid w:val="00613EDA"/>
    <w:rsid w:val="00617CC3"/>
    <w:rsid w:val="006224E2"/>
    <w:rsid w:val="006224F7"/>
    <w:rsid w:val="0062336F"/>
    <w:rsid w:val="006238C2"/>
    <w:rsid w:val="00623B53"/>
    <w:rsid w:val="00625485"/>
    <w:rsid w:val="0062585A"/>
    <w:rsid w:val="00625ACB"/>
    <w:rsid w:val="0062646C"/>
    <w:rsid w:val="0063049A"/>
    <w:rsid w:val="00631C7F"/>
    <w:rsid w:val="00634F3E"/>
    <w:rsid w:val="00636385"/>
    <w:rsid w:val="0063756A"/>
    <w:rsid w:val="006377A6"/>
    <w:rsid w:val="00637A3D"/>
    <w:rsid w:val="00640968"/>
    <w:rsid w:val="006411EF"/>
    <w:rsid w:val="00641630"/>
    <w:rsid w:val="00641993"/>
    <w:rsid w:val="006422B3"/>
    <w:rsid w:val="00642335"/>
    <w:rsid w:val="00642A91"/>
    <w:rsid w:val="00643114"/>
    <w:rsid w:val="006436B5"/>
    <w:rsid w:val="00645F6E"/>
    <w:rsid w:val="00646CD2"/>
    <w:rsid w:val="00647C4B"/>
    <w:rsid w:val="00650151"/>
    <w:rsid w:val="00651100"/>
    <w:rsid w:val="00654FE2"/>
    <w:rsid w:val="0065690C"/>
    <w:rsid w:val="00657C9A"/>
    <w:rsid w:val="00660F91"/>
    <w:rsid w:val="00661A9E"/>
    <w:rsid w:val="00662CEC"/>
    <w:rsid w:val="00664F6D"/>
    <w:rsid w:val="00665054"/>
    <w:rsid w:val="00665C21"/>
    <w:rsid w:val="00670B98"/>
    <w:rsid w:val="00671C32"/>
    <w:rsid w:val="00671EFF"/>
    <w:rsid w:val="00672073"/>
    <w:rsid w:val="00673AFE"/>
    <w:rsid w:val="006748B8"/>
    <w:rsid w:val="0067682C"/>
    <w:rsid w:val="006775C3"/>
    <w:rsid w:val="006777B6"/>
    <w:rsid w:val="00680BB8"/>
    <w:rsid w:val="00681E31"/>
    <w:rsid w:val="00682A6D"/>
    <w:rsid w:val="006865AB"/>
    <w:rsid w:val="00686D45"/>
    <w:rsid w:val="006909E1"/>
    <w:rsid w:val="0069290A"/>
    <w:rsid w:val="006965C7"/>
    <w:rsid w:val="00696BB9"/>
    <w:rsid w:val="0069775A"/>
    <w:rsid w:val="00697813"/>
    <w:rsid w:val="006A1B99"/>
    <w:rsid w:val="006A349E"/>
    <w:rsid w:val="006A3EE8"/>
    <w:rsid w:val="006A3F3D"/>
    <w:rsid w:val="006A49FC"/>
    <w:rsid w:val="006A5ADD"/>
    <w:rsid w:val="006A5E43"/>
    <w:rsid w:val="006A72BF"/>
    <w:rsid w:val="006A7B27"/>
    <w:rsid w:val="006B03F2"/>
    <w:rsid w:val="006B07E8"/>
    <w:rsid w:val="006B37DC"/>
    <w:rsid w:val="006B4F68"/>
    <w:rsid w:val="006B5A7B"/>
    <w:rsid w:val="006B61C0"/>
    <w:rsid w:val="006B6C6B"/>
    <w:rsid w:val="006B6CDA"/>
    <w:rsid w:val="006C00B9"/>
    <w:rsid w:val="006C0592"/>
    <w:rsid w:val="006C0626"/>
    <w:rsid w:val="006C24A7"/>
    <w:rsid w:val="006C272E"/>
    <w:rsid w:val="006C3A9B"/>
    <w:rsid w:val="006C50FC"/>
    <w:rsid w:val="006C5479"/>
    <w:rsid w:val="006C6702"/>
    <w:rsid w:val="006C677E"/>
    <w:rsid w:val="006C7347"/>
    <w:rsid w:val="006D13B5"/>
    <w:rsid w:val="006D2CF9"/>
    <w:rsid w:val="006D4F5C"/>
    <w:rsid w:val="006D5B27"/>
    <w:rsid w:val="006D6E7D"/>
    <w:rsid w:val="006D76D9"/>
    <w:rsid w:val="006E12FF"/>
    <w:rsid w:val="006E28EB"/>
    <w:rsid w:val="006E3F76"/>
    <w:rsid w:val="006E5FE4"/>
    <w:rsid w:val="006E607E"/>
    <w:rsid w:val="006E6419"/>
    <w:rsid w:val="006E690A"/>
    <w:rsid w:val="006F0204"/>
    <w:rsid w:val="006F2110"/>
    <w:rsid w:val="006F67CF"/>
    <w:rsid w:val="006F7046"/>
    <w:rsid w:val="006F7467"/>
    <w:rsid w:val="006F7823"/>
    <w:rsid w:val="00700E65"/>
    <w:rsid w:val="00702009"/>
    <w:rsid w:val="007026DD"/>
    <w:rsid w:val="0070356A"/>
    <w:rsid w:val="00703F7B"/>
    <w:rsid w:val="0070412C"/>
    <w:rsid w:val="00704452"/>
    <w:rsid w:val="00706C5D"/>
    <w:rsid w:val="00707CD6"/>
    <w:rsid w:val="00710219"/>
    <w:rsid w:val="00710F12"/>
    <w:rsid w:val="00711537"/>
    <w:rsid w:val="00713D49"/>
    <w:rsid w:val="00717CFA"/>
    <w:rsid w:val="007200AE"/>
    <w:rsid w:val="007212EB"/>
    <w:rsid w:val="007216B7"/>
    <w:rsid w:val="00721D36"/>
    <w:rsid w:val="00721FE0"/>
    <w:rsid w:val="007224B8"/>
    <w:rsid w:val="00722D9E"/>
    <w:rsid w:val="00725CE7"/>
    <w:rsid w:val="00725D71"/>
    <w:rsid w:val="0072658B"/>
    <w:rsid w:val="00732922"/>
    <w:rsid w:val="0073345B"/>
    <w:rsid w:val="007348E7"/>
    <w:rsid w:val="00735BCD"/>
    <w:rsid w:val="0073627D"/>
    <w:rsid w:val="00736403"/>
    <w:rsid w:val="007367A4"/>
    <w:rsid w:val="00740218"/>
    <w:rsid w:val="00740431"/>
    <w:rsid w:val="00740D1F"/>
    <w:rsid w:val="0074183F"/>
    <w:rsid w:val="007427A1"/>
    <w:rsid w:val="00743C27"/>
    <w:rsid w:val="00746209"/>
    <w:rsid w:val="007471BB"/>
    <w:rsid w:val="0075162E"/>
    <w:rsid w:val="00752B1D"/>
    <w:rsid w:val="00754034"/>
    <w:rsid w:val="0075480E"/>
    <w:rsid w:val="00754C1E"/>
    <w:rsid w:val="00755899"/>
    <w:rsid w:val="00756556"/>
    <w:rsid w:val="0075734A"/>
    <w:rsid w:val="00760098"/>
    <w:rsid w:val="007618C4"/>
    <w:rsid w:val="00762C1E"/>
    <w:rsid w:val="00763B08"/>
    <w:rsid w:val="0076626F"/>
    <w:rsid w:val="00766EE1"/>
    <w:rsid w:val="00767980"/>
    <w:rsid w:val="00770B19"/>
    <w:rsid w:val="00771076"/>
    <w:rsid w:val="0077127F"/>
    <w:rsid w:val="007715E6"/>
    <w:rsid w:val="00771E0C"/>
    <w:rsid w:val="00771E89"/>
    <w:rsid w:val="00774564"/>
    <w:rsid w:val="0077463F"/>
    <w:rsid w:val="00774DB9"/>
    <w:rsid w:val="00775296"/>
    <w:rsid w:val="00780B8F"/>
    <w:rsid w:val="007836EA"/>
    <w:rsid w:val="00783814"/>
    <w:rsid w:val="00783BDA"/>
    <w:rsid w:val="00784B84"/>
    <w:rsid w:val="00784CDA"/>
    <w:rsid w:val="007853EE"/>
    <w:rsid w:val="007857D7"/>
    <w:rsid w:val="00786116"/>
    <w:rsid w:val="007901CC"/>
    <w:rsid w:val="007906C4"/>
    <w:rsid w:val="00790CF1"/>
    <w:rsid w:val="007916F0"/>
    <w:rsid w:val="007917F8"/>
    <w:rsid w:val="007918DD"/>
    <w:rsid w:val="007940EA"/>
    <w:rsid w:val="007967E8"/>
    <w:rsid w:val="00797C6E"/>
    <w:rsid w:val="007A2170"/>
    <w:rsid w:val="007A22BF"/>
    <w:rsid w:val="007A32AB"/>
    <w:rsid w:val="007A3323"/>
    <w:rsid w:val="007A33D3"/>
    <w:rsid w:val="007A4611"/>
    <w:rsid w:val="007A4D99"/>
    <w:rsid w:val="007A7B84"/>
    <w:rsid w:val="007A7DFA"/>
    <w:rsid w:val="007B18BF"/>
    <w:rsid w:val="007B28C4"/>
    <w:rsid w:val="007B3F9A"/>
    <w:rsid w:val="007B514C"/>
    <w:rsid w:val="007B5C0C"/>
    <w:rsid w:val="007B7217"/>
    <w:rsid w:val="007B72B8"/>
    <w:rsid w:val="007B7A58"/>
    <w:rsid w:val="007C1112"/>
    <w:rsid w:val="007C21B5"/>
    <w:rsid w:val="007C3EFF"/>
    <w:rsid w:val="007C4901"/>
    <w:rsid w:val="007C52C2"/>
    <w:rsid w:val="007C5547"/>
    <w:rsid w:val="007C5AFA"/>
    <w:rsid w:val="007C6C49"/>
    <w:rsid w:val="007C7862"/>
    <w:rsid w:val="007D0D4D"/>
    <w:rsid w:val="007D1AAC"/>
    <w:rsid w:val="007D2160"/>
    <w:rsid w:val="007D420A"/>
    <w:rsid w:val="007D615E"/>
    <w:rsid w:val="007D63B9"/>
    <w:rsid w:val="007D687C"/>
    <w:rsid w:val="007D689C"/>
    <w:rsid w:val="007D7426"/>
    <w:rsid w:val="007E10CC"/>
    <w:rsid w:val="007E4BD2"/>
    <w:rsid w:val="007E5216"/>
    <w:rsid w:val="007E5D99"/>
    <w:rsid w:val="007E62A2"/>
    <w:rsid w:val="007E6DA1"/>
    <w:rsid w:val="007F0D53"/>
    <w:rsid w:val="007F1848"/>
    <w:rsid w:val="007F42AB"/>
    <w:rsid w:val="007F517E"/>
    <w:rsid w:val="007F5BB5"/>
    <w:rsid w:val="007F698A"/>
    <w:rsid w:val="007F7453"/>
    <w:rsid w:val="007F79F4"/>
    <w:rsid w:val="00800F78"/>
    <w:rsid w:val="00801393"/>
    <w:rsid w:val="0080170D"/>
    <w:rsid w:val="00802F88"/>
    <w:rsid w:val="008053B1"/>
    <w:rsid w:val="00807DF8"/>
    <w:rsid w:val="00810691"/>
    <w:rsid w:val="0081225A"/>
    <w:rsid w:val="0081293E"/>
    <w:rsid w:val="00812941"/>
    <w:rsid w:val="008136B0"/>
    <w:rsid w:val="00813A50"/>
    <w:rsid w:val="008145A7"/>
    <w:rsid w:val="00815465"/>
    <w:rsid w:val="0081629B"/>
    <w:rsid w:val="00816B18"/>
    <w:rsid w:val="00817835"/>
    <w:rsid w:val="00817E9A"/>
    <w:rsid w:val="00820991"/>
    <w:rsid w:val="00822890"/>
    <w:rsid w:val="00822FD9"/>
    <w:rsid w:val="00825416"/>
    <w:rsid w:val="00827B4F"/>
    <w:rsid w:val="008306BD"/>
    <w:rsid w:val="00831A80"/>
    <w:rsid w:val="00831CB0"/>
    <w:rsid w:val="00832719"/>
    <w:rsid w:val="00833743"/>
    <w:rsid w:val="008339F8"/>
    <w:rsid w:val="00833D82"/>
    <w:rsid w:val="008340A4"/>
    <w:rsid w:val="00836C9C"/>
    <w:rsid w:val="0084194B"/>
    <w:rsid w:val="008419BF"/>
    <w:rsid w:val="00844140"/>
    <w:rsid w:val="00844A03"/>
    <w:rsid w:val="00844FF1"/>
    <w:rsid w:val="00845630"/>
    <w:rsid w:val="00846910"/>
    <w:rsid w:val="00847199"/>
    <w:rsid w:val="00847403"/>
    <w:rsid w:val="00851C47"/>
    <w:rsid w:val="0085252D"/>
    <w:rsid w:val="0085272E"/>
    <w:rsid w:val="00852AAD"/>
    <w:rsid w:val="008535D0"/>
    <w:rsid w:val="00853C87"/>
    <w:rsid w:val="0085421A"/>
    <w:rsid w:val="00856900"/>
    <w:rsid w:val="00856DB5"/>
    <w:rsid w:val="00857167"/>
    <w:rsid w:val="00860D0C"/>
    <w:rsid w:val="008615AF"/>
    <w:rsid w:val="008616BC"/>
    <w:rsid w:val="00862A94"/>
    <w:rsid w:val="00866B8C"/>
    <w:rsid w:val="00870A43"/>
    <w:rsid w:val="0087135F"/>
    <w:rsid w:val="0087179E"/>
    <w:rsid w:val="008724C8"/>
    <w:rsid w:val="00872D94"/>
    <w:rsid w:val="00873621"/>
    <w:rsid w:val="0087616D"/>
    <w:rsid w:val="00877529"/>
    <w:rsid w:val="00877751"/>
    <w:rsid w:val="00880364"/>
    <w:rsid w:val="008809BF"/>
    <w:rsid w:val="008814DF"/>
    <w:rsid w:val="0088362F"/>
    <w:rsid w:val="00884F61"/>
    <w:rsid w:val="00887137"/>
    <w:rsid w:val="008872EF"/>
    <w:rsid w:val="00887B55"/>
    <w:rsid w:val="00890231"/>
    <w:rsid w:val="00891592"/>
    <w:rsid w:val="008916D9"/>
    <w:rsid w:val="00891CE7"/>
    <w:rsid w:val="00891E9E"/>
    <w:rsid w:val="00892D08"/>
    <w:rsid w:val="00893BA2"/>
    <w:rsid w:val="00893BC2"/>
    <w:rsid w:val="008942D5"/>
    <w:rsid w:val="00894910"/>
    <w:rsid w:val="008A1F02"/>
    <w:rsid w:val="008A2F68"/>
    <w:rsid w:val="008A336E"/>
    <w:rsid w:val="008A41B4"/>
    <w:rsid w:val="008A474A"/>
    <w:rsid w:val="008A6302"/>
    <w:rsid w:val="008A63C3"/>
    <w:rsid w:val="008A7935"/>
    <w:rsid w:val="008B041C"/>
    <w:rsid w:val="008B0424"/>
    <w:rsid w:val="008B1140"/>
    <w:rsid w:val="008B11EE"/>
    <w:rsid w:val="008B1AB6"/>
    <w:rsid w:val="008B2B7B"/>
    <w:rsid w:val="008B4414"/>
    <w:rsid w:val="008B47C0"/>
    <w:rsid w:val="008B4FA6"/>
    <w:rsid w:val="008B5282"/>
    <w:rsid w:val="008B71AE"/>
    <w:rsid w:val="008B7C17"/>
    <w:rsid w:val="008C044E"/>
    <w:rsid w:val="008C277C"/>
    <w:rsid w:val="008C2C1E"/>
    <w:rsid w:val="008C2CDC"/>
    <w:rsid w:val="008C2D01"/>
    <w:rsid w:val="008C3C93"/>
    <w:rsid w:val="008C3F09"/>
    <w:rsid w:val="008C40E6"/>
    <w:rsid w:val="008C7478"/>
    <w:rsid w:val="008D0F7A"/>
    <w:rsid w:val="008D138C"/>
    <w:rsid w:val="008D2991"/>
    <w:rsid w:val="008D2ABF"/>
    <w:rsid w:val="008D3166"/>
    <w:rsid w:val="008D36E5"/>
    <w:rsid w:val="008D63BB"/>
    <w:rsid w:val="008D68E4"/>
    <w:rsid w:val="008D6ABC"/>
    <w:rsid w:val="008D7617"/>
    <w:rsid w:val="008D7982"/>
    <w:rsid w:val="008E0506"/>
    <w:rsid w:val="008E0CFF"/>
    <w:rsid w:val="008E3A27"/>
    <w:rsid w:val="008E4F8E"/>
    <w:rsid w:val="008E5375"/>
    <w:rsid w:val="008E5D6B"/>
    <w:rsid w:val="008E705B"/>
    <w:rsid w:val="008E76F0"/>
    <w:rsid w:val="008F15FE"/>
    <w:rsid w:val="008F2307"/>
    <w:rsid w:val="008F2C29"/>
    <w:rsid w:val="008F2D29"/>
    <w:rsid w:val="008F3418"/>
    <w:rsid w:val="008F3872"/>
    <w:rsid w:val="008F3F65"/>
    <w:rsid w:val="008F419B"/>
    <w:rsid w:val="008F5187"/>
    <w:rsid w:val="008F60C5"/>
    <w:rsid w:val="008F60D8"/>
    <w:rsid w:val="008F61C2"/>
    <w:rsid w:val="008F6AB7"/>
    <w:rsid w:val="008F6F76"/>
    <w:rsid w:val="008F7E82"/>
    <w:rsid w:val="00900AE5"/>
    <w:rsid w:val="00902727"/>
    <w:rsid w:val="0090312B"/>
    <w:rsid w:val="00904D6A"/>
    <w:rsid w:val="0090730E"/>
    <w:rsid w:val="00907AB8"/>
    <w:rsid w:val="00910666"/>
    <w:rsid w:val="0091268A"/>
    <w:rsid w:val="00913202"/>
    <w:rsid w:val="00914B8F"/>
    <w:rsid w:val="0091736D"/>
    <w:rsid w:val="00917AF2"/>
    <w:rsid w:val="00921B65"/>
    <w:rsid w:val="00922A19"/>
    <w:rsid w:val="0092375F"/>
    <w:rsid w:val="00924505"/>
    <w:rsid w:val="00926C2C"/>
    <w:rsid w:val="0093037A"/>
    <w:rsid w:val="00931C18"/>
    <w:rsid w:val="00931DB2"/>
    <w:rsid w:val="00932966"/>
    <w:rsid w:val="009335A8"/>
    <w:rsid w:val="00934750"/>
    <w:rsid w:val="00934F16"/>
    <w:rsid w:val="00935EAC"/>
    <w:rsid w:val="00940613"/>
    <w:rsid w:val="00940E6E"/>
    <w:rsid w:val="0094154D"/>
    <w:rsid w:val="00942C9B"/>
    <w:rsid w:val="00942D63"/>
    <w:rsid w:val="0094447A"/>
    <w:rsid w:val="00945044"/>
    <w:rsid w:val="00945461"/>
    <w:rsid w:val="00945DEC"/>
    <w:rsid w:val="00946BA4"/>
    <w:rsid w:val="00947415"/>
    <w:rsid w:val="00947ECE"/>
    <w:rsid w:val="0095035A"/>
    <w:rsid w:val="0095155F"/>
    <w:rsid w:val="00952617"/>
    <w:rsid w:val="00952E9B"/>
    <w:rsid w:val="00953835"/>
    <w:rsid w:val="00953D9C"/>
    <w:rsid w:val="00954429"/>
    <w:rsid w:val="009563CE"/>
    <w:rsid w:val="00956AEA"/>
    <w:rsid w:val="00960E28"/>
    <w:rsid w:val="0096202F"/>
    <w:rsid w:val="009623E8"/>
    <w:rsid w:val="0096271B"/>
    <w:rsid w:val="00963480"/>
    <w:rsid w:val="00963A7D"/>
    <w:rsid w:val="00963AB5"/>
    <w:rsid w:val="00965ACF"/>
    <w:rsid w:val="009669B5"/>
    <w:rsid w:val="00966CE6"/>
    <w:rsid w:val="00967A3A"/>
    <w:rsid w:val="00970A5F"/>
    <w:rsid w:val="00971789"/>
    <w:rsid w:val="0097195C"/>
    <w:rsid w:val="009739BF"/>
    <w:rsid w:val="00973C17"/>
    <w:rsid w:val="00973C2B"/>
    <w:rsid w:val="00976328"/>
    <w:rsid w:val="0097680D"/>
    <w:rsid w:val="00982438"/>
    <w:rsid w:val="0098404C"/>
    <w:rsid w:val="00985283"/>
    <w:rsid w:val="00986305"/>
    <w:rsid w:val="00986C99"/>
    <w:rsid w:val="00986F45"/>
    <w:rsid w:val="009913D1"/>
    <w:rsid w:val="00993982"/>
    <w:rsid w:val="009943F6"/>
    <w:rsid w:val="0099484F"/>
    <w:rsid w:val="0099552F"/>
    <w:rsid w:val="00995945"/>
    <w:rsid w:val="00995992"/>
    <w:rsid w:val="009A03E5"/>
    <w:rsid w:val="009A0BCD"/>
    <w:rsid w:val="009A0F3B"/>
    <w:rsid w:val="009A152C"/>
    <w:rsid w:val="009A1BB4"/>
    <w:rsid w:val="009A2628"/>
    <w:rsid w:val="009A2F27"/>
    <w:rsid w:val="009A3200"/>
    <w:rsid w:val="009A3BCF"/>
    <w:rsid w:val="009A4BA3"/>
    <w:rsid w:val="009A54AD"/>
    <w:rsid w:val="009A67E8"/>
    <w:rsid w:val="009A7D6B"/>
    <w:rsid w:val="009B0897"/>
    <w:rsid w:val="009B36BE"/>
    <w:rsid w:val="009B3FFB"/>
    <w:rsid w:val="009B4704"/>
    <w:rsid w:val="009B5256"/>
    <w:rsid w:val="009B7506"/>
    <w:rsid w:val="009B7BD9"/>
    <w:rsid w:val="009C051B"/>
    <w:rsid w:val="009C0588"/>
    <w:rsid w:val="009C1278"/>
    <w:rsid w:val="009C26CF"/>
    <w:rsid w:val="009C3006"/>
    <w:rsid w:val="009C3833"/>
    <w:rsid w:val="009C4639"/>
    <w:rsid w:val="009C5114"/>
    <w:rsid w:val="009C5BEE"/>
    <w:rsid w:val="009C7507"/>
    <w:rsid w:val="009C7DD5"/>
    <w:rsid w:val="009D0370"/>
    <w:rsid w:val="009D2085"/>
    <w:rsid w:val="009D38AA"/>
    <w:rsid w:val="009D3CF8"/>
    <w:rsid w:val="009D4321"/>
    <w:rsid w:val="009D539D"/>
    <w:rsid w:val="009D5EAB"/>
    <w:rsid w:val="009D62F8"/>
    <w:rsid w:val="009D6A37"/>
    <w:rsid w:val="009D7EAA"/>
    <w:rsid w:val="009E227D"/>
    <w:rsid w:val="009E2ADE"/>
    <w:rsid w:val="009E5019"/>
    <w:rsid w:val="009E5278"/>
    <w:rsid w:val="009E5613"/>
    <w:rsid w:val="009E5BF0"/>
    <w:rsid w:val="009E6886"/>
    <w:rsid w:val="009E79EB"/>
    <w:rsid w:val="009F0AE0"/>
    <w:rsid w:val="009F15D2"/>
    <w:rsid w:val="009F214C"/>
    <w:rsid w:val="009F3C21"/>
    <w:rsid w:val="009F4333"/>
    <w:rsid w:val="009F4E1E"/>
    <w:rsid w:val="009F6044"/>
    <w:rsid w:val="00A02999"/>
    <w:rsid w:val="00A04F1B"/>
    <w:rsid w:val="00A04FE2"/>
    <w:rsid w:val="00A0501B"/>
    <w:rsid w:val="00A063D9"/>
    <w:rsid w:val="00A06D1D"/>
    <w:rsid w:val="00A0709B"/>
    <w:rsid w:val="00A12964"/>
    <w:rsid w:val="00A1452F"/>
    <w:rsid w:val="00A14947"/>
    <w:rsid w:val="00A16AC3"/>
    <w:rsid w:val="00A16D2A"/>
    <w:rsid w:val="00A210FE"/>
    <w:rsid w:val="00A2444F"/>
    <w:rsid w:val="00A24ADF"/>
    <w:rsid w:val="00A2513B"/>
    <w:rsid w:val="00A274B7"/>
    <w:rsid w:val="00A27946"/>
    <w:rsid w:val="00A27E3E"/>
    <w:rsid w:val="00A31DF7"/>
    <w:rsid w:val="00A32A83"/>
    <w:rsid w:val="00A32C9F"/>
    <w:rsid w:val="00A339A3"/>
    <w:rsid w:val="00A33CCB"/>
    <w:rsid w:val="00A361C6"/>
    <w:rsid w:val="00A368DB"/>
    <w:rsid w:val="00A402C3"/>
    <w:rsid w:val="00A41A87"/>
    <w:rsid w:val="00A423AA"/>
    <w:rsid w:val="00A4326A"/>
    <w:rsid w:val="00A436D6"/>
    <w:rsid w:val="00A43C09"/>
    <w:rsid w:val="00A45542"/>
    <w:rsid w:val="00A47429"/>
    <w:rsid w:val="00A51A48"/>
    <w:rsid w:val="00A529C4"/>
    <w:rsid w:val="00A53EC6"/>
    <w:rsid w:val="00A53FBB"/>
    <w:rsid w:val="00A54BA0"/>
    <w:rsid w:val="00A5557A"/>
    <w:rsid w:val="00A55845"/>
    <w:rsid w:val="00A55C0F"/>
    <w:rsid w:val="00A569F1"/>
    <w:rsid w:val="00A56FEA"/>
    <w:rsid w:val="00A57CDF"/>
    <w:rsid w:val="00A6192D"/>
    <w:rsid w:val="00A641FB"/>
    <w:rsid w:val="00A66B39"/>
    <w:rsid w:val="00A672D2"/>
    <w:rsid w:val="00A704CD"/>
    <w:rsid w:val="00A707A0"/>
    <w:rsid w:val="00A70A53"/>
    <w:rsid w:val="00A759C7"/>
    <w:rsid w:val="00A769D2"/>
    <w:rsid w:val="00A77499"/>
    <w:rsid w:val="00A816F3"/>
    <w:rsid w:val="00A82316"/>
    <w:rsid w:val="00A82BE3"/>
    <w:rsid w:val="00A8367B"/>
    <w:rsid w:val="00A85394"/>
    <w:rsid w:val="00A863BA"/>
    <w:rsid w:val="00A86F2C"/>
    <w:rsid w:val="00A87005"/>
    <w:rsid w:val="00A8713F"/>
    <w:rsid w:val="00A8723B"/>
    <w:rsid w:val="00A90924"/>
    <w:rsid w:val="00A90BA1"/>
    <w:rsid w:val="00A919EB"/>
    <w:rsid w:val="00A92588"/>
    <w:rsid w:val="00A9285A"/>
    <w:rsid w:val="00A93F86"/>
    <w:rsid w:val="00A9481E"/>
    <w:rsid w:val="00A94933"/>
    <w:rsid w:val="00A94B52"/>
    <w:rsid w:val="00A95357"/>
    <w:rsid w:val="00A95640"/>
    <w:rsid w:val="00A9566F"/>
    <w:rsid w:val="00A956D2"/>
    <w:rsid w:val="00A95E05"/>
    <w:rsid w:val="00A96524"/>
    <w:rsid w:val="00A9661E"/>
    <w:rsid w:val="00A97A9A"/>
    <w:rsid w:val="00A97C02"/>
    <w:rsid w:val="00AA0671"/>
    <w:rsid w:val="00AA2269"/>
    <w:rsid w:val="00AA2531"/>
    <w:rsid w:val="00AA4944"/>
    <w:rsid w:val="00AA766C"/>
    <w:rsid w:val="00AB0B26"/>
    <w:rsid w:val="00AB0E0F"/>
    <w:rsid w:val="00AB12FF"/>
    <w:rsid w:val="00AB151F"/>
    <w:rsid w:val="00AB1E09"/>
    <w:rsid w:val="00AB2D84"/>
    <w:rsid w:val="00AB303C"/>
    <w:rsid w:val="00AB3452"/>
    <w:rsid w:val="00AB36DB"/>
    <w:rsid w:val="00AB3817"/>
    <w:rsid w:val="00AB3C1F"/>
    <w:rsid w:val="00AB5330"/>
    <w:rsid w:val="00AB71C6"/>
    <w:rsid w:val="00AB7269"/>
    <w:rsid w:val="00AB74C3"/>
    <w:rsid w:val="00AB7747"/>
    <w:rsid w:val="00AC0A37"/>
    <w:rsid w:val="00AC14CE"/>
    <w:rsid w:val="00AC1CA0"/>
    <w:rsid w:val="00AC2A56"/>
    <w:rsid w:val="00AC40BF"/>
    <w:rsid w:val="00AC487B"/>
    <w:rsid w:val="00AC58DD"/>
    <w:rsid w:val="00AC6514"/>
    <w:rsid w:val="00AC7DBA"/>
    <w:rsid w:val="00AD055E"/>
    <w:rsid w:val="00AD07EE"/>
    <w:rsid w:val="00AD0F08"/>
    <w:rsid w:val="00AD3072"/>
    <w:rsid w:val="00AD47A7"/>
    <w:rsid w:val="00AD5D21"/>
    <w:rsid w:val="00AD5EA0"/>
    <w:rsid w:val="00AD6711"/>
    <w:rsid w:val="00AD67AF"/>
    <w:rsid w:val="00AE1C7D"/>
    <w:rsid w:val="00AE378C"/>
    <w:rsid w:val="00AE3D12"/>
    <w:rsid w:val="00AE6522"/>
    <w:rsid w:val="00AF0A3C"/>
    <w:rsid w:val="00AF0CBF"/>
    <w:rsid w:val="00AF10DA"/>
    <w:rsid w:val="00AF13D5"/>
    <w:rsid w:val="00AF1E2B"/>
    <w:rsid w:val="00AF257F"/>
    <w:rsid w:val="00AF258C"/>
    <w:rsid w:val="00AF2FED"/>
    <w:rsid w:val="00AF33CF"/>
    <w:rsid w:val="00AF4D50"/>
    <w:rsid w:val="00AF58BF"/>
    <w:rsid w:val="00AF6179"/>
    <w:rsid w:val="00AF7DCF"/>
    <w:rsid w:val="00B00A37"/>
    <w:rsid w:val="00B01025"/>
    <w:rsid w:val="00B01D97"/>
    <w:rsid w:val="00B03506"/>
    <w:rsid w:val="00B03FCE"/>
    <w:rsid w:val="00B05646"/>
    <w:rsid w:val="00B07417"/>
    <w:rsid w:val="00B10058"/>
    <w:rsid w:val="00B102BA"/>
    <w:rsid w:val="00B10685"/>
    <w:rsid w:val="00B11923"/>
    <w:rsid w:val="00B1290C"/>
    <w:rsid w:val="00B1295A"/>
    <w:rsid w:val="00B1334D"/>
    <w:rsid w:val="00B138C9"/>
    <w:rsid w:val="00B1452E"/>
    <w:rsid w:val="00B147E6"/>
    <w:rsid w:val="00B14D91"/>
    <w:rsid w:val="00B14F13"/>
    <w:rsid w:val="00B17F2D"/>
    <w:rsid w:val="00B20744"/>
    <w:rsid w:val="00B20A45"/>
    <w:rsid w:val="00B20DCB"/>
    <w:rsid w:val="00B22C5C"/>
    <w:rsid w:val="00B235BB"/>
    <w:rsid w:val="00B23BCE"/>
    <w:rsid w:val="00B24F30"/>
    <w:rsid w:val="00B259E6"/>
    <w:rsid w:val="00B26BAD"/>
    <w:rsid w:val="00B31477"/>
    <w:rsid w:val="00B31ABF"/>
    <w:rsid w:val="00B32EB8"/>
    <w:rsid w:val="00B33BE3"/>
    <w:rsid w:val="00B34324"/>
    <w:rsid w:val="00B35FAE"/>
    <w:rsid w:val="00B44559"/>
    <w:rsid w:val="00B47824"/>
    <w:rsid w:val="00B50AB4"/>
    <w:rsid w:val="00B50BF5"/>
    <w:rsid w:val="00B50E00"/>
    <w:rsid w:val="00B5275A"/>
    <w:rsid w:val="00B53B5D"/>
    <w:rsid w:val="00B55D76"/>
    <w:rsid w:val="00B55F08"/>
    <w:rsid w:val="00B5798A"/>
    <w:rsid w:val="00B6055E"/>
    <w:rsid w:val="00B61600"/>
    <w:rsid w:val="00B6263B"/>
    <w:rsid w:val="00B62682"/>
    <w:rsid w:val="00B62AE7"/>
    <w:rsid w:val="00B6317D"/>
    <w:rsid w:val="00B67445"/>
    <w:rsid w:val="00B67E75"/>
    <w:rsid w:val="00B67FE2"/>
    <w:rsid w:val="00B70074"/>
    <w:rsid w:val="00B7073C"/>
    <w:rsid w:val="00B71640"/>
    <w:rsid w:val="00B72353"/>
    <w:rsid w:val="00B76409"/>
    <w:rsid w:val="00B76744"/>
    <w:rsid w:val="00B7723F"/>
    <w:rsid w:val="00B77F72"/>
    <w:rsid w:val="00B80534"/>
    <w:rsid w:val="00B811B5"/>
    <w:rsid w:val="00B81344"/>
    <w:rsid w:val="00B81BDF"/>
    <w:rsid w:val="00B831FA"/>
    <w:rsid w:val="00B83DC9"/>
    <w:rsid w:val="00B8433C"/>
    <w:rsid w:val="00B85C26"/>
    <w:rsid w:val="00B85C76"/>
    <w:rsid w:val="00B87491"/>
    <w:rsid w:val="00B87DE4"/>
    <w:rsid w:val="00B900BD"/>
    <w:rsid w:val="00B90369"/>
    <w:rsid w:val="00B906EA"/>
    <w:rsid w:val="00B9079A"/>
    <w:rsid w:val="00B914C0"/>
    <w:rsid w:val="00B92181"/>
    <w:rsid w:val="00B94846"/>
    <w:rsid w:val="00B95AC6"/>
    <w:rsid w:val="00B95C9E"/>
    <w:rsid w:val="00B95EF5"/>
    <w:rsid w:val="00B95F32"/>
    <w:rsid w:val="00B9645F"/>
    <w:rsid w:val="00B96ADF"/>
    <w:rsid w:val="00BA0546"/>
    <w:rsid w:val="00BA29E9"/>
    <w:rsid w:val="00BA4862"/>
    <w:rsid w:val="00BA51D7"/>
    <w:rsid w:val="00BA57C3"/>
    <w:rsid w:val="00BA59A9"/>
    <w:rsid w:val="00BA7142"/>
    <w:rsid w:val="00BB01CE"/>
    <w:rsid w:val="00BB237C"/>
    <w:rsid w:val="00BB41A3"/>
    <w:rsid w:val="00BB7243"/>
    <w:rsid w:val="00BB7A01"/>
    <w:rsid w:val="00BC080F"/>
    <w:rsid w:val="00BC0F8C"/>
    <w:rsid w:val="00BC32DC"/>
    <w:rsid w:val="00BC35B6"/>
    <w:rsid w:val="00BC3E1A"/>
    <w:rsid w:val="00BC4541"/>
    <w:rsid w:val="00BC4908"/>
    <w:rsid w:val="00BC793D"/>
    <w:rsid w:val="00BC7C9E"/>
    <w:rsid w:val="00BD1B51"/>
    <w:rsid w:val="00BD21EA"/>
    <w:rsid w:val="00BD24D1"/>
    <w:rsid w:val="00BD4596"/>
    <w:rsid w:val="00BD5339"/>
    <w:rsid w:val="00BD7019"/>
    <w:rsid w:val="00BE1091"/>
    <w:rsid w:val="00BE1405"/>
    <w:rsid w:val="00BE2A91"/>
    <w:rsid w:val="00BE312D"/>
    <w:rsid w:val="00BE33C5"/>
    <w:rsid w:val="00BE7635"/>
    <w:rsid w:val="00BE7ED1"/>
    <w:rsid w:val="00BF07D3"/>
    <w:rsid w:val="00BF1C20"/>
    <w:rsid w:val="00BF36F2"/>
    <w:rsid w:val="00BF457D"/>
    <w:rsid w:val="00BF4837"/>
    <w:rsid w:val="00BF52D1"/>
    <w:rsid w:val="00BF55FC"/>
    <w:rsid w:val="00BF618E"/>
    <w:rsid w:val="00BF7D9A"/>
    <w:rsid w:val="00C01716"/>
    <w:rsid w:val="00C052DB"/>
    <w:rsid w:val="00C10578"/>
    <w:rsid w:val="00C124E3"/>
    <w:rsid w:val="00C135BC"/>
    <w:rsid w:val="00C141E8"/>
    <w:rsid w:val="00C159B1"/>
    <w:rsid w:val="00C15AF6"/>
    <w:rsid w:val="00C15C95"/>
    <w:rsid w:val="00C1699A"/>
    <w:rsid w:val="00C2160A"/>
    <w:rsid w:val="00C218E1"/>
    <w:rsid w:val="00C235AC"/>
    <w:rsid w:val="00C24D94"/>
    <w:rsid w:val="00C25256"/>
    <w:rsid w:val="00C2536F"/>
    <w:rsid w:val="00C254AB"/>
    <w:rsid w:val="00C2596A"/>
    <w:rsid w:val="00C27537"/>
    <w:rsid w:val="00C300D9"/>
    <w:rsid w:val="00C30EA8"/>
    <w:rsid w:val="00C3202A"/>
    <w:rsid w:val="00C328FE"/>
    <w:rsid w:val="00C32E9F"/>
    <w:rsid w:val="00C33507"/>
    <w:rsid w:val="00C34ED6"/>
    <w:rsid w:val="00C37828"/>
    <w:rsid w:val="00C418D4"/>
    <w:rsid w:val="00C41BC4"/>
    <w:rsid w:val="00C4373A"/>
    <w:rsid w:val="00C4409D"/>
    <w:rsid w:val="00C442EB"/>
    <w:rsid w:val="00C44E72"/>
    <w:rsid w:val="00C45A06"/>
    <w:rsid w:val="00C45B6F"/>
    <w:rsid w:val="00C46D15"/>
    <w:rsid w:val="00C47532"/>
    <w:rsid w:val="00C4766F"/>
    <w:rsid w:val="00C47E5B"/>
    <w:rsid w:val="00C52DA2"/>
    <w:rsid w:val="00C56245"/>
    <w:rsid w:val="00C56A13"/>
    <w:rsid w:val="00C603B8"/>
    <w:rsid w:val="00C61758"/>
    <w:rsid w:val="00C61E4B"/>
    <w:rsid w:val="00C620BB"/>
    <w:rsid w:val="00C62C73"/>
    <w:rsid w:val="00C64BFF"/>
    <w:rsid w:val="00C65C94"/>
    <w:rsid w:val="00C67827"/>
    <w:rsid w:val="00C67975"/>
    <w:rsid w:val="00C704E9"/>
    <w:rsid w:val="00C710A4"/>
    <w:rsid w:val="00C71482"/>
    <w:rsid w:val="00C718F9"/>
    <w:rsid w:val="00C72676"/>
    <w:rsid w:val="00C735F2"/>
    <w:rsid w:val="00C73DE1"/>
    <w:rsid w:val="00C74D8A"/>
    <w:rsid w:val="00C763C9"/>
    <w:rsid w:val="00C80057"/>
    <w:rsid w:val="00C81F1C"/>
    <w:rsid w:val="00C82232"/>
    <w:rsid w:val="00C828EA"/>
    <w:rsid w:val="00C82913"/>
    <w:rsid w:val="00C85D3F"/>
    <w:rsid w:val="00C85F34"/>
    <w:rsid w:val="00C8776B"/>
    <w:rsid w:val="00C90193"/>
    <w:rsid w:val="00C91144"/>
    <w:rsid w:val="00C9118B"/>
    <w:rsid w:val="00C9413F"/>
    <w:rsid w:val="00C9449F"/>
    <w:rsid w:val="00C967A2"/>
    <w:rsid w:val="00C972B1"/>
    <w:rsid w:val="00CA0041"/>
    <w:rsid w:val="00CA16E1"/>
    <w:rsid w:val="00CA27C6"/>
    <w:rsid w:val="00CA2CCE"/>
    <w:rsid w:val="00CA2F7A"/>
    <w:rsid w:val="00CA43A6"/>
    <w:rsid w:val="00CA43FD"/>
    <w:rsid w:val="00CA4A9F"/>
    <w:rsid w:val="00CA7EF8"/>
    <w:rsid w:val="00CB4DA3"/>
    <w:rsid w:val="00CB674C"/>
    <w:rsid w:val="00CB7627"/>
    <w:rsid w:val="00CB7F65"/>
    <w:rsid w:val="00CC0883"/>
    <w:rsid w:val="00CC1555"/>
    <w:rsid w:val="00CC1F34"/>
    <w:rsid w:val="00CC2918"/>
    <w:rsid w:val="00CC489B"/>
    <w:rsid w:val="00CC64F4"/>
    <w:rsid w:val="00CC6921"/>
    <w:rsid w:val="00CC7AFA"/>
    <w:rsid w:val="00CD1709"/>
    <w:rsid w:val="00CD2BCD"/>
    <w:rsid w:val="00CD3A4C"/>
    <w:rsid w:val="00CD416D"/>
    <w:rsid w:val="00CD54DF"/>
    <w:rsid w:val="00CD56ED"/>
    <w:rsid w:val="00CE10E9"/>
    <w:rsid w:val="00CE1632"/>
    <w:rsid w:val="00CE1CB4"/>
    <w:rsid w:val="00CE2910"/>
    <w:rsid w:val="00CE5393"/>
    <w:rsid w:val="00CF0137"/>
    <w:rsid w:val="00CF01F2"/>
    <w:rsid w:val="00CF2190"/>
    <w:rsid w:val="00CF3316"/>
    <w:rsid w:val="00CF36BE"/>
    <w:rsid w:val="00CF39D3"/>
    <w:rsid w:val="00CF3F3C"/>
    <w:rsid w:val="00CF45F8"/>
    <w:rsid w:val="00CF4776"/>
    <w:rsid w:val="00CF5316"/>
    <w:rsid w:val="00CF5A3E"/>
    <w:rsid w:val="00CF6000"/>
    <w:rsid w:val="00D003F3"/>
    <w:rsid w:val="00D014EE"/>
    <w:rsid w:val="00D02D00"/>
    <w:rsid w:val="00D0364F"/>
    <w:rsid w:val="00D06834"/>
    <w:rsid w:val="00D069F8"/>
    <w:rsid w:val="00D06B7E"/>
    <w:rsid w:val="00D102D9"/>
    <w:rsid w:val="00D10827"/>
    <w:rsid w:val="00D10BD6"/>
    <w:rsid w:val="00D12E2D"/>
    <w:rsid w:val="00D153FC"/>
    <w:rsid w:val="00D158D9"/>
    <w:rsid w:val="00D1759A"/>
    <w:rsid w:val="00D175D4"/>
    <w:rsid w:val="00D219DC"/>
    <w:rsid w:val="00D22460"/>
    <w:rsid w:val="00D2269B"/>
    <w:rsid w:val="00D2493D"/>
    <w:rsid w:val="00D259B3"/>
    <w:rsid w:val="00D26752"/>
    <w:rsid w:val="00D267B1"/>
    <w:rsid w:val="00D278B7"/>
    <w:rsid w:val="00D308ED"/>
    <w:rsid w:val="00D366E4"/>
    <w:rsid w:val="00D36D86"/>
    <w:rsid w:val="00D428AA"/>
    <w:rsid w:val="00D43D56"/>
    <w:rsid w:val="00D45C59"/>
    <w:rsid w:val="00D464C2"/>
    <w:rsid w:val="00D46E21"/>
    <w:rsid w:val="00D50202"/>
    <w:rsid w:val="00D50A34"/>
    <w:rsid w:val="00D50EDB"/>
    <w:rsid w:val="00D52146"/>
    <w:rsid w:val="00D53EFA"/>
    <w:rsid w:val="00D5408F"/>
    <w:rsid w:val="00D546D3"/>
    <w:rsid w:val="00D570FF"/>
    <w:rsid w:val="00D57B93"/>
    <w:rsid w:val="00D61D35"/>
    <w:rsid w:val="00D61FC0"/>
    <w:rsid w:val="00D6230B"/>
    <w:rsid w:val="00D627E6"/>
    <w:rsid w:val="00D63A37"/>
    <w:rsid w:val="00D63F0E"/>
    <w:rsid w:val="00D64C0E"/>
    <w:rsid w:val="00D71778"/>
    <w:rsid w:val="00D73696"/>
    <w:rsid w:val="00D73DC9"/>
    <w:rsid w:val="00D743A6"/>
    <w:rsid w:val="00D769E6"/>
    <w:rsid w:val="00D7774E"/>
    <w:rsid w:val="00D81C40"/>
    <w:rsid w:val="00D82585"/>
    <w:rsid w:val="00D825A6"/>
    <w:rsid w:val="00D827A5"/>
    <w:rsid w:val="00D82C60"/>
    <w:rsid w:val="00D83594"/>
    <w:rsid w:val="00D8559B"/>
    <w:rsid w:val="00D85C4F"/>
    <w:rsid w:val="00D86F3B"/>
    <w:rsid w:val="00D90410"/>
    <w:rsid w:val="00D915D1"/>
    <w:rsid w:val="00D9282B"/>
    <w:rsid w:val="00D93C7D"/>
    <w:rsid w:val="00D94A7C"/>
    <w:rsid w:val="00D95896"/>
    <w:rsid w:val="00D95A44"/>
    <w:rsid w:val="00D9709F"/>
    <w:rsid w:val="00DA0430"/>
    <w:rsid w:val="00DA09A1"/>
    <w:rsid w:val="00DA151E"/>
    <w:rsid w:val="00DA253D"/>
    <w:rsid w:val="00DA3C4A"/>
    <w:rsid w:val="00DA3D51"/>
    <w:rsid w:val="00DA488A"/>
    <w:rsid w:val="00DA488E"/>
    <w:rsid w:val="00DA5564"/>
    <w:rsid w:val="00DA65FF"/>
    <w:rsid w:val="00DA6A52"/>
    <w:rsid w:val="00DA7384"/>
    <w:rsid w:val="00DB20F7"/>
    <w:rsid w:val="00DB2983"/>
    <w:rsid w:val="00DB6E5F"/>
    <w:rsid w:val="00DB7C95"/>
    <w:rsid w:val="00DC00B3"/>
    <w:rsid w:val="00DC1257"/>
    <w:rsid w:val="00DC20F6"/>
    <w:rsid w:val="00DC35E9"/>
    <w:rsid w:val="00DC3664"/>
    <w:rsid w:val="00DC3D8C"/>
    <w:rsid w:val="00DC3DC0"/>
    <w:rsid w:val="00DC459C"/>
    <w:rsid w:val="00DC5B2B"/>
    <w:rsid w:val="00DC692F"/>
    <w:rsid w:val="00DC7526"/>
    <w:rsid w:val="00DD318D"/>
    <w:rsid w:val="00DD3A25"/>
    <w:rsid w:val="00DD4DD8"/>
    <w:rsid w:val="00DD56C2"/>
    <w:rsid w:val="00DD66AF"/>
    <w:rsid w:val="00DD6A9E"/>
    <w:rsid w:val="00DD7321"/>
    <w:rsid w:val="00DD75E3"/>
    <w:rsid w:val="00DE03DF"/>
    <w:rsid w:val="00DE3126"/>
    <w:rsid w:val="00DE3215"/>
    <w:rsid w:val="00DE45E1"/>
    <w:rsid w:val="00DE48D9"/>
    <w:rsid w:val="00DE5D39"/>
    <w:rsid w:val="00DE7A3E"/>
    <w:rsid w:val="00DF2C89"/>
    <w:rsid w:val="00DF2E12"/>
    <w:rsid w:val="00DF33C9"/>
    <w:rsid w:val="00DF3A7A"/>
    <w:rsid w:val="00DF4788"/>
    <w:rsid w:val="00DF478B"/>
    <w:rsid w:val="00DF4A0E"/>
    <w:rsid w:val="00DF514A"/>
    <w:rsid w:val="00DF5207"/>
    <w:rsid w:val="00DF57DB"/>
    <w:rsid w:val="00DF5AAF"/>
    <w:rsid w:val="00DF6690"/>
    <w:rsid w:val="00DF6804"/>
    <w:rsid w:val="00E0005D"/>
    <w:rsid w:val="00E01C09"/>
    <w:rsid w:val="00E0296C"/>
    <w:rsid w:val="00E0358D"/>
    <w:rsid w:val="00E041F9"/>
    <w:rsid w:val="00E04323"/>
    <w:rsid w:val="00E054AC"/>
    <w:rsid w:val="00E059F3"/>
    <w:rsid w:val="00E06312"/>
    <w:rsid w:val="00E070A2"/>
    <w:rsid w:val="00E11669"/>
    <w:rsid w:val="00E136BB"/>
    <w:rsid w:val="00E13EAE"/>
    <w:rsid w:val="00E1463F"/>
    <w:rsid w:val="00E14876"/>
    <w:rsid w:val="00E15600"/>
    <w:rsid w:val="00E17B17"/>
    <w:rsid w:val="00E21807"/>
    <w:rsid w:val="00E2283A"/>
    <w:rsid w:val="00E23982"/>
    <w:rsid w:val="00E2414B"/>
    <w:rsid w:val="00E24EEF"/>
    <w:rsid w:val="00E2656A"/>
    <w:rsid w:val="00E3169A"/>
    <w:rsid w:val="00E33A42"/>
    <w:rsid w:val="00E36813"/>
    <w:rsid w:val="00E412D0"/>
    <w:rsid w:val="00E41E4F"/>
    <w:rsid w:val="00E423F7"/>
    <w:rsid w:val="00E42EE6"/>
    <w:rsid w:val="00E44FE2"/>
    <w:rsid w:val="00E46841"/>
    <w:rsid w:val="00E5259E"/>
    <w:rsid w:val="00E54846"/>
    <w:rsid w:val="00E54D2A"/>
    <w:rsid w:val="00E55C44"/>
    <w:rsid w:val="00E56322"/>
    <w:rsid w:val="00E60982"/>
    <w:rsid w:val="00E62C62"/>
    <w:rsid w:val="00E63089"/>
    <w:rsid w:val="00E63B14"/>
    <w:rsid w:val="00E63ED3"/>
    <w:rsid w:val="00E645F8"/>
    <w:rsid w:val="00E64BEF"/>
    <w:rsid w:val="00E654C1"/>
    <w:rsid w:val="00E65D97"/>
    <w:rsid w:val="00E66DBE"/>
    <w:rsid w:val="00E6731B"/>
    <w:rsid w:val="00E7163B"/>
    <w:rsid w:val="00E716EE"/>
    <w:rsid w:val="00E71933"/>
    <w:rsid w:val="00E71A49"/>
    <w:rsid w:val="00E71F78"/>
    <w:rsid w:val="00E72A5A"/>
    <w:rsid w:val="00E73354"/>
    <w:rsid w:val="00E74314"/>
    <w:rsid w:val="00E80965"/>
    <w:rsid w:val="00E81B05"/>
    <w:rsid w:val="00E82625"/>
    <w:rsid w:val="00E82D84"/>
    <w:rsid w:val="00E83053"/>
    <w:rsid w:val="00E83AA5"/>
    <w:rsid w:val="00E83EE0"/>
    <w:rsid w:val="00E8605A"/>
    <w:rsid w:val="00E8708C"/>
    <w:rsid w:val="00E905BD"/>
    <w:rsid w:val="00E919DD"/>
    <w:rsid w:val="00E9242D"/>
    <w:rsid w:val="00E93B33"/>
    <w:rsid w:val="00E954FD"/>
    <w:rsid w:val="00E9582E"/>
    <w:rsid w:val="00E95865"/>
    <w:rsid w:val="00E97F6B"/>
    <w:rsid w:val="00EA5951"/>
    <w:rsid w:val="00EA5C17"/>
    <w:rsid w:val="00EA61C6"/>
    <w:rsid w:val="00EB07B1"/>
    <w:rsid w:val="00EB1065"/>
    <w:rsid w:val="00EB17A8"/>
    <w:rsid w:val="00EB1DFD"/>
    <w:rsid w:val="00EB2164"/>
    <w:rsid w:val="00EB4A64"/>
    <w:rsid w:val="00EB5255"/>
    <w:rsid w:val="00EB5C47"/>
    <w:rsid w:val="00EB6655"/>
    <w:rsid w:val="00EB6A2C"/>
    <w:rsid w:val="00EB6AAA"/>
    <w:rsid w:val="00EB6B77"/>
    <w:rsid w:val="00EB7313"/>
    <w:rsid w:val="00EB7E49"/>
    <w:rsid w:val="00EC0F60"/>
    <w:rsid w:val="00EC38C2"/>
    <w:rsid w:val="00EC3E8C"/>
    <w:rsid w:val="00EC66A2"/>
    <w:rsid w:val="00EC75C6"/>
    <w:rsid w:val="00EC7EC6"/>
    <w:rsid w:val="00ED0639"/>
    <w:rsid w:val="00ED0748"/>
    <w:rsid w:val="00ED0D1F"/>
    <w:rsid w:val="00ED1758"/>
    <w:rsid w:val="00ED18FE"/>
    <w:rsid w:val="00ED333F"/>
    <w:rsid w:val="00ED3942"/>
    <w:rsid w:val="00ED4215"/>
    <w:rsid w:val="00ED474D"/>
    <w:rsid w:val="00ED4D3F"/>
    <w:rsid w:val="00ED7B4D"/>
    <w:rsid w:val="00EE1803"/>
    <w:rsid w:val="00EE469B"/>
    <w:rsid w:val="00EE4F88"/>
    <w:rsid w:val="00EE52D0"/>
    <w:rsid w:val="00EE5C92"/>
    <w:rsid w:val="00EE66BC"/>
    <w:rsid w:val="00EF20C7"/>
    <w:rsid w:val="00EF22B7"/>
    <w:rsid w:val="00EF3D20"/>
    <w:rsid w:val="00EF4755"/>
    <w:rsid w:val="00EF4D5E"/>
    <w:rsid w:val="00EF545C"/>
    <w:rsid w:val="00EF55C2"/>
    <w:rsid w:val="00EF7041"/>
    <w:rsid w:val="00EF7135"/>
    <w:rsid w:val="00F001D6"/>
    <w:rsid w:val="00F00822"/>
    <w:rsid w:val="00F00A74"/>
    <w:rsid w:val="00F00EBF"/>
    <w:rsid w:val="00F0148E"/>
    <w:rsid w:val="00F027DB"/>
    <w:rsid w:val="00F0312D"/>
    <w:rsid w:val="00F07264"/>
    <w:rsid w:val="00F07EE5"/>
    <w:rsid w:val="00F12A99"/>
    <w:rsid w:val="00F14A7A"/>
    <w:rsid w:val="00F164FA"/>
    <w:rsid w:val="00F21044"/>
    <w:rsid w:val="00F22440"/>
    <w:rsid w:val="00F22985"/>
    <w:rsid w:val="00F22B07"/>
    <w:rsid w:val="00F22D26"/>
    <w:rsid w:val="00F27675"/>
    <w:rsid w:val="00F31D52"/>
    <w:rsid w:val="00F3383E"/>
    <w:rsid w:val="00F34A53"/>
    <w:rsid w:val="00F3506B"/>
    <w:rsid w:val="00F356BA"/>
    <w:rsid w:val="00F35AE2"/>
    <w:rsid w:val="00F41CF7"/>
    <w:rsid w:val="00F428AA"/>
    <w:rsid w:val="00F4376C"/>
    <w:rsid w:val="00F465A7"/>
    <w:rsid w:val="00F466AF"/>
    <w:rsid w:val="00F46D15"/>
    <w:rsid w:val="00F50B7C"/>
    <w:rsid w:val="00F5129A"/>
    <w:rsid w:val="00F54E33"/>
    <w:rsid w:val="00F550E6"/>
    <w:rsid w:val="00F554C3"/>
    <w:rsid w:val="00F555CB"/>
    <w:rsid w:val="00F64265"/>
    <w:rsid w:val="00F65AA2"/>
    <w:rsid w:val="00F66A93"/>
    <w:rsid w:val="00F66C31"/>
    <w:rsid w:val="00F670A1"/>
    <w:rsid w:val="00F67366"/>
    <w:rsid w:val="00F679A2"/>
    <w:rsid w:val="00F70985"/>
    <w:rsid w:val="00F713AB"/>
    <w:rsid w:val="00F73009"/>
    <w:rsid w:val="00F736BC"/>
    <w:rsid w:val="00F74101"/>
    <w:rsid w:val="00F74345"/>
    <w:rsid w:val="00F76EBD"/>
    <w:rsid w:val="00F77B3D"/>
    <w:rsid w:val="00F80A0A"/>
    <w:rsid w:val="00F80DBD"/>
    <w:rsid w:val="00F814F7"/>
    <w:rsid w:val="00F82B19"/>
    <w:rsid w:val="00F82F8F"/>
    <w:rsid w:val="00F83342"/>
    <w:rsid w:val="00F8737F"/>
    <w:rsid w:val="00F901EA"/>
    <w:rsid w:val="00F919E1"/>
    <w:rsid w:val="00F92069"/>
    <w:rsid w:val="00F9212D"/>
    <w:rsid w:val="00F92B50"/>
    <w:rsid w:val="00F95EE8"/>
    <w:rsid w:val="00F96028"/>
    <w:rsid w:val="00F965DA"/>
    <w:rsid w:val="00F96CB6"/>
    <w:rsid w:val="00FA2081"/>
    <w:rsid w:val="00FA406A"/>
    <w:rsid w:val="00FA558D"/>
    <w:rsid w:val="00FA57D5"/>
    <w:rsid w:val="00FA60B1"/>
    <w:rsid w:val="00FB3D55"/>
    <w:rsid w:val="00FB4AB5"/>
    <w:rsid w:val="00FB503A"/>
    <w:rsid w:val="00FB516C"/>
    <w:rsid w:val="00FB7C03"/>
    <w:rsid w:val="00FC0612"/>
    <w:rsid w:val="00FC0A34"/>
    <w:rsid w:val="00FC4224"/>
    <w:rsid w:val="00FC782A"/>
    <w:rsid w:val="00FD0236"/>
    <w:rsid w:val="00FD13BD"/>
    <w:rsid w:val="00FD18F4"/>
    <w:rsid w:val="00FD2DF2"/>
    <w:rsid w:val="00FD3E65"/>
    <w:rsid w:val="00FD54DB"/>
    <w:rsid w:val="00FD619F"/>
    <w:rsid w:val="00FD6F51"/>
    <w:rsid w:val="00FE1BB5"/>
    <w:rsid w:val="00FE2EC4"/>
    <w:rsid w:val="00FE37EC"/>
    <w:rsid w:val="00FE3953"/>
    <w:rsid w:val="00FE5B80"/>
    <w:rsid w:val="00FE6509"/>
    <w:rsid w:val="00FE7E22"/>
    <w:rsid w:val="00FF029A"/>
    <w:rsid w:val="00FF25B3"/>
    <w:rsid w:val="00FF372D"/>
    <w:rsid w:val="00FF45B7"/>
    <w:rsid w:val="00FF6B94"/>
    <w:rsid w:val="00FF6FBF"/>
    <w:rsid w:val="00FF7E48"/>
    <w:rsid w:val="011B0745"/>
    <w:rsid w:val="01290F7E"/>
    <w:rsid w:val="01546610"/>
    <w:rsid w:val="015D1E09"/>
    <w:rsid w:val="015D50E0"/>
    <w:rsid w:val="017C6D0A"/>
    <w:rsid w:val="01973B44"/>
    <w:rsid w:val="01981D96"/>
    <w:rsid w:val="019E4ED3"/>
    <w:rsid w:val="01BB3CD7"/>
    <w:rsid w:val="01CD2237"/>
    <w:rsid w:val="01E52B01"/>
    <w:rsid w:val="021A27AB"/>
    <w:rsid w:val="02340617"/>
    <w:rsid w:val="02354ACF"/>
    <w:rsid w:val="02697903"/>
    <w:rsid w:val="02906F11"/>
    <w:rsid w:val="02C755AF"/>
    <w:rsid w:val="02EF1E8A"/>
    <w:rsid w:val="02F96569"/>
    <w:rsid w:val="02F96864"/>
    <w:rsid w:val="03304250"/>
    <w:rsid w:val="0334789D"/>
    <w:rsid w:val="034A70C0"/>
    <w:rsid w:val="034F0AEC"/>
    <w:rsid w:val="03661A20"/>
    <w:rsid w:val="039956FE"/>
    <w:rsid w:val="039E740C"/>
    <w:rsid w:val="03B35CEE"/>
    <w:rsid w:val="03CE548F"/>
    <w:rsid w:val="03DA48E8"/>
    <w:rsid w:val="03DE3CAC"/>
    <w:rsid w:val="03EA7B21"/>
    <w:rsid w:val="041651F4"/>
    <w:rsid w:val="04172C95"/>
    <w:rsid w:val="04304E25"/>
    <w:rsid w:val="043A5206"/>
    <w:rsid w:val="046441B2"/>
    <w:rsid w:val="04732647"/>
    <w:rsid w:val="04846602"/>
    <w:rsid w:val="04A62A1C"/>
    <w:rsid w:val="04A9250C"/>
    <w:rsid w:val="04C428F3"/>
    <w:rsid w:val="04DE3761"/>
    <w:rsid w:val="050B287F"/>
    <w:rsid w:val="05137986"/>
    <w:rsid w:val="05177476"/>
    <w:rsid w:val="05341DD6"/>
    <w:rsid w:val="05550904"/>
    <w:rsid w:val="05594913"/>
    <w:rsid w:val="055E6E53"/>
    <w:rsid w:val="05621ED0"/>
    <w:rsid w:val="056C26DE"/>
    <w:rsid w:val="05852631"/>
    <w:rsid w:val="05A92280"/>
    <w:rsid w:val="05CF7D50"/>
    <w:rsid w:val="05D252BA"/>
    <w:rsid w:val="05E01F5E"/>
    <w:rsid w:val="05F12F63"/>
    <w:rsid w:val="05F83EAE"/>
    <w:rsid w:val="060E6ACB"/>
    <w:rsid w:val="06135E8F"/>
    <w:rsid w:val="0626650E"/>
    <w:rsid w:val="062C0CFF"/>
    <w:rsid w:val="063E7D85"/>
    <w:rsid w:val="06510766"/>
    <w:rsid w:val="065467D7"/>
    <w:rsid w:val="065A21F1"/>
    <w:rsid w:val="0661309E"/>
    <w:rsid w:val="06625496"/>
    <w:rsid w:val="066D5EFC"/>
    <w:rsid w:val="06777F6A"/>
    <w:rsid w:val="06793C3F"/>
    <w:rsid w:val="068E19BA"/>
    <w:rsid w:val="06924F91"/>
    <w:rsid w:val="06AE483F"/>
    <w:rsid w:val="06B01930"/>
    <w:rsid w:val="06B62CBE"/>
    <w:rsid w:val="06C44F16"/>
    <w:rsid w:val="06CF7AC5"/>
    <w:rsid w:val="06D33870"/>
    <w:rsid w:val="06FB5E1A"/>
    <w:rsid w:val="070E2AFA"/>
    <w:rsid w:val="07117EF5"/>
    <w:rsid w:val="07293586"/>
    <w:rsid w:val="07295285"/>
    <w:rsid w:val="072A4FC8"/>
    <w:rsid w:val="073A5F23"/>
    <w:rsid w:val="073B085A"/>
    <w:rsid w:val="073C7668"/>
    <w:rsid w:val="07434552"/>
    <w:rsid w:val="074B3407"/>
    <w:rsid w:val="07576AE2"/>
    <w:rsid w:val="07603356"/>
    <w:rsid w:val="07636392"/>
    <w:rsid w:val="076F17EB"/>
    <w:rsid w:val="07770C56"/>
    <w:rsid w:val="077961C6"/>
    <w:rsid w:val="07832BA1"/>
    <w:rsid w:val="079C3C62"/>
    <w:rsid w:val="07AA4124"/>
    <w:rsid w:val="07AE281C"/>
    <w:rsid w:val="07B62C09"/>
    <w:rsid w:val="07D20248"/>
    <w:rsid w:val="07F12200"/>
    <w:rsid w:val="080F2686"/>
    <w:rsid w:val="083E03CC"/>
    <w:rsid w:val="084A1910"/>
    <w:rsid w:val="087F780C"/>
    <w:rsid w:val="088766C0"/>
    <w:rsid w:val="08901A19"/>
    <w:rsid w:val="089B55C5"/>
    <w:rsid w:val="08A059D4"/>
    <w:rsid w:val="08A2174C"/>
    <w:rsid w:val="08A72371"/>
    <w:rsid w:val="08BB636A"/>
    <w:rsid w:val="08C224B3"/>
    <w:rsid w:val="08CB0CA3"/>
    <w:rsid w:val="08E82C6B"/>
    <w:rsid w:val="08F17FDE"/>
    <w:rsid w:val="08F57ACE"/>
    <w:rsid w:val="08FF26FB"/>
    <w:rsid w:val="09052554"/>
    <w:rsid w:val="091F4B4B"/>
    <w:rsid w:val="092217DD"/>
    <w:rsid w:val="092403B3"/>
    <w:rsid w:val="09297778"/>
    <w:rsid w:val="092C7268"/>
    <w:rsid w:val="093A7294"/>
    <w:rsid w:val="0946032A"/>
    <w:rsid w:val="094822F4"/>
    <w:rsid w:val="09483DC0"/>
    <w:rsid w:val="09664528"/>
    <w:rsid w:val="099114F2"/>
    <w:rsid w:val="0995319A"/>
    <w:rsid w:val="09B21785"/>
    <w:rsid w:val="09B259BF"/>
    <w:rsid w:val="09BB0B86"/>
    <w:rsid w:val="09C0277E"/>
    <w:rsid w:val="09E3201C"/>
    <w:rsid w:val="0A0106F5"/>
    <w:rsid w:val="0A0D7DE7"/>
    <w:rsid w:val="0A1246B0"/>
    <w:rsid w:val="0A1B473E"/>
    <w:rsid w:val="0A1C72DC"/>
    <w:rsid w:val="0A2019E8"/>
    <w:rsid w:val="0A2368BD"/>
    <w:rsid w:val="0A263993"/>
    <w:rsid w:val="0A2D3AC2"/>
    <w:rsid w:val="0A5374B1"/>
    <w:rsid w:val="0A622F41"/>
    <w:rsid w:val="0A63147A"/>
    <w:rsid w:val="0A997F70"/>
    <w:rsid w:val="0AA65E18"/>
    <w:rsid w:val="0AA755DF"/>
    <w:rsid w:val="0AB42AB5"/>
    <w:rsid w:val="0AC77248"/>
    <w:rsid w:val="0AE222D4"/>
    <w:rsid w:val="0AEB2234"/>
    <w:rsid w:val="0B120D44"/>
    <w:rsid w:val="0B1A1A6E"/>
    <w:rsid w:val="0B356F19"/>
    <w:rsid w:val="0B5A630E"/>
    <w:rsid w:val="0B6727D9"/>
    <w:rsid w:val="0B9D1A3B"/>
    <w:rsid w:val="0BA15CEB"/>
    <w:rsid w:val="0BA61553"/>
    <w:rsid w:val="0BAE21B6"/>
    <w:rsid w:val="0BB05F2E"/>
    <w:rsid w:val="0BB53545"/>
    <w:rsid w:val="0BD27BF6"/>
    <w:rsid w:val="0BDA2FAB"/>
    <w:rsid w:val="0BE04A65"/>
    <w:rsid w:val="0BE1433A"/>
    <w:rsid w:val="0BE700B2"/>
    <w:rsid w:val="0C013CF8"/>
    <w:rsid w:val="0C160487"/>
    <w:rsid w:val="0C1E0947"/>
    <w:rsid w:val="0C1E558E"/>
    <w:rsid w:val="0C3A4DF1"/>
    <w:rsid w:val="0C3B3C7D"/>
    <w:rsid w:val="0C3D1EB8"/>
    <w:rsid w:val="0C566AD6"/>
    <w:rsid w:val="0C820D5D"/>
    <w:rsid w:val="0C873133"/>
    <w:rsid w:val="0C8C24F7"/>
    <w:rsid w:val="0C8E4FDD"/>
    <w:rsid w:val="0CA37841"/>
    <w:rsid w:val="0CAB2EAE"/>
    <w:rsid w:val="0CE56A55"/>
    <w:rsid w:val="0CFB767D"/>
    <w:rsid w:val="0D0B01DB"/>
    <w:rsid w:val="0D144DED"/>
    <w:rsid w:val="0D1B1865"/>
    <w:rsid w:val="0D1B1ACD"/>
    <w:rsid w:val="0D5F19BA"/>
    <w:rsid w:val="0D621C7D"/>
    <w:rsid w:val="0D7F205C"/>
    <w:rsid w:val="0D812109"/>
    <w:rsid w:val="0D8E229F"/>
    <w:rsid w:val="0D933D59"/>
    <w:rsid w:val="0D975F08"/>
    <w:rsid w:val="0DAB3173"/>
    <w:rsid w:val="0DC108C7"/>
    <w:rsid w:val="0DD00B0A"/>
    <w:rsid w:val="0E3E3CC5"/>
    <w:rsid w:val="0E415563"/>
    <w:rsid w:val="0E5057A7"/>
    <w:rsid w:val="0E6454B7"/>
    <w:rsid w:val="0E73034D"/>
    <w:rsid w:val="0E7C659C"/>
    <w:rsid w:val="0E807E3A"/>
    <w:rsid w:val="0E82150F"/>
    <w:rsid w:val="0EBB5316"/>
    <w:rsid w:val="0ECF491D"/>
    <w:rsid w:val="0ED9579C"/>
    <w:rsid w:val="0EED05B2"/>
    <w:rsid w:val="0F13775A"/>
    <w:rsid w:val="0F30565D"/>
    <w:rsid w:val="0F336721"/>
    <w:rsid w:val="0F3550C8"/>
    <w:rsid w:val="0F3F7CF5"/>
    <w:rsid w:val="0F4D3059"/>
    <w:rsid w:val="0F4F5A5E"/>
    <w:rsid w:val="0F5F45FE"/>
    <w:rsid w:val="0F6018A1"/>
    <w:rsid w:val="0F703AD2"/>
    <w:rsid w:val="0F7A6F7F"/>
    <w:rsid w:val="0F7D6A6F"/>
    <w:rsid w:val="0F933B9D"/>
    <w:rsid w:val="0F9A112B"/>
    <w:rsid w:val="0F9D4A1B"/>
    <w:rsid w:val="0FC91CB4"/>
    <w:rsid w:val="0FDB78DE"/>
    <w:rsid w:val="10104080"/>
    <w:rsid w:val="101841F9"/>
    <w:rsid w:val="10280789"/>
    <w:rsid w:val="104A4BA3"/>
    <w:rsid w:val="104B26C9"/>
    <w:rsid w:val="10563694"/>
    <w:rsid w:val="10565AC2"/>
    <w:rsid w:val="106D2F64"/>
    <w:rsid w:val="107C2883"/>
    <w:rsid w:val="10853E2D"/>
    <w:rsid w:val="1092207F"/>
    <w:rsid w:val="109B09FF"/>
    <w:rsid w:val="109E4EEF"/>
    <w:rsid w:val="10A122E9"/>
    <w:rsid w:val="10B63710"/>
    <w:rsid w:val="10BC7123"/>
    <w:rsid w:val="10E53A8D"/>
    <w:rsid w:val="10E70644"/>
    <w:rsid w:val="10F10820"/>
    <w:rsid w:val="10F60887"/>
    <w:rsid w:val="11017E3D"/>
    <w:rsid w:val="111C2F7A"/>
    <w:rsid w:val="111D5E14"/>
    <w:rsid w:val="1122563D"/>
    <w:rsid w:val="114415F3"/>
    <w:rsid w:val="115E01DA"/>
    <w:rsid w:val="11665CA1"/>
    <w:rsid w:val="11673533"/>
    <w:rsid w:val="116A7AB1"/>
    <w:rsid w:val="1184061B"/>
    <w:rsid w:val="118539B9"/>
    <w:rsid w:val="1194466F"/>
    <w:rsid w:val="11AE2F10"/>
    <w:rsid w:val="11B355E7"/>
    <w:rsid w:val="11CB5358"/>
    <w:rsid w:val="11D32976"/>
    <w:rsid w:val="11DD55A3"/>
    <w:rsid w:val="11F631BB"/>
    <w:rsid w:val="11FF2D51"/>
    <w:rsid w:val="12046408"/>
    <w:rsid w:val="12087FB7"/>
    <w:rsid w:val="12107FC0"/>
    <w:rsid w:val="121E0096"/>
    <w:rsid w:val="124B4C03"/>
    <w:rsid w:val="125A6BF4"/>
    <w:rsid w:val="126D1954"/>
    <w:rsid w:val="126D4B79"/>
    <w:rsid w:val="12771554"/>
    <w:rsid w:val="128E5BCC"/>
    <w:rsid w:val="12B47E12"/>
    <w:rsid w:val="12B502CE"/>
    <w:rsid w:val="12BC340B"/>
    <w:rsid w:val="12EA7F78"/>
    <w:rsid w:val="12EB6CFF"/>
    <w:rsid w:val="12FE1C75"/>
    <w:rsid w:val="13144FF5"/>
    <w:rsid w:val="13315BA7"/>
    <w:rsid w:val="134C478E"/>
    <w:rsid w:val="134F0843"/>
    <w:rsid w:val="136046DE"/>
    <w:rsid w:val="137D4216"/>
    <w:rsid w:val="138D2DCB"/>
    <w:rsid w:val="13951726"/>
    <w:rsid w:val="13C133CE"/>
    <w:rsid w:val="13D34EB0"/>
    <w:rsid w:val="13D75A7D"/>
    <w:rsid w:val="13DD5D2E"/>
    <w:rsid w:val="13DD663D"/>
    <w:rsid w:val="13E64BE3"/>
    <w:rsid w:val="13F866C4"/>
    <w:rsid w:val="143771ED"/>
    <w:rsid w:val="14396509"/>
    <w:rsid w:val="143C5FF9"/>
    <w:rsid w:val="14431F18"/>
    <w:rsid w:val="144D4C62"/>
    <w:rsid w:val="145002AE"/>
    <w:rsid w:val="145B2325"/>
    <w:rsid w:val="14641FAC"/>
    <w:rsid w:val="147A532B"/>
    <w:rsid w:val="14832432"/>
    <w:rsid w:val="149363ED"/>
    <w:rsid w:val="14C8078D"/>
    <w:rsid w:val="14DD2C3C"/>
    <w:rsid w:val="14ED768B"/>
    <w:rsid w:val="150572EB"/>
    <w:rsid w:val="150C22F7"/>
    <w:rsid w:val="150D2643"/>
    <w:rsid w:val="15920EB6"/>
    <w:rsid w:val="15A11883"/>
    <w:rsid w:val="15A17B49"/>
    <w:rsid w:val="15A44D56"/>
    <w:rsid w:val="15CE592F"/>
    <w:rsid w:val="15D60C87"/>
    <w:rsid w:val="15D817DC"/>
    <w:rsid w:val="15EC04AB"/>
    <w:rsid w:val="15F335E7"/>
    <w:rsid w:val="16087E1D"/>
    <w:rsid w:val="161812A0"/>
    <w:rsid w:val="161B25E6"/>
    <w:rsid w:val="1626030B"/>
    <w:rsid w:val="163A1216"/>
    <w:rsid w:val="164E36D1"/>
    <w:rsid w:val="16606EEF"/>
    <w:rsid w:val="166167A3"/>
    <w:rsid w:val="16743F96"/>
    <w:rsid w:val="16777D74"/>
    <w:rsid w:val="16890B5F"/>
    <w:rsid w:val="16AB2114"/>
    <w:rsid w:val="16AB3EC2"/>
    <w:rsid w:val="16AD3796"/>
    <w:rsid w:val="16CA74DF"/>
    <w:rsid w:val="16EA2C3C"/>
    <w:rsid w:val="16F4006D"/>
    <w:rsid w:val="17063D08"/>
    <w:rsid w:val="170E24D3"/>
    <w:rsid w:val="172C00A3"/>
    <w:rsid w:val="17365022"/>
    <w:rsid w:val="17365E81"/>
    <w:rsid w:val="17584831"/>
    <w:rsid w:val="17701D14"/>
    <w:rsid w:val="17735226"/>
    <w:rsid w:val="178F2125"/>
    <w:rsid w:val="179C49C1"/>
    <w:rsid w:val="17DC5766"/>
    <w:rsid w:val="17F25503"/>
    <w:rsid w:val="181B72DB"/>
    <w:rsid w:val="1844012A"/>
    <w:rsid w:val="184942B6"/>
    <w:rsid w:val="18585984"/>
    <w:rsid w:val="189A7199"/>
    <w:rsid w:val="189F624C"/>
    <w:rsid w:val="18B708FC"/>
    <w:rsid w:val="18B84674"/>
    <w:rsid w:val="18BB3C2D"/>
    <w:rsid w:val="18BB50B5"/>
    <w:rsid w:val="18D05E62"/>
    <w:rsid w:val="18FE477D"/>
    <w:rsid w:val="191254B5"/>
    <w:rsid w:val="19157D18"/>
    <w:rsid w:val="193C469F"/>
    <w:rsid w:val="19495D4D"/>
    <w:rsid w:val="194A79C2"/>
    <w:rsid w:val="19502AFF"/>
    <w:rsid w:val="19550115"/>
    <w:rsid w:val="19592955"/>
    <w:rsid w:val="19713C04"/>
    <w:rsid w:val="19736EC8"/>
    <w:rsid w:val="199168BD"/>
    <w:rsid w:val="19972736"/>
    <w:rsid w:val="199A10B6"/>
    <w:rsid w:val="199D21E8"/>
    <w:rsid w:val="19E6347B"/>
    <w:rsid w:val="19F416DC"/>
    <w:rsid w:val="1A030941"/>
    <w:rsid w:val="1A1C66C0"/>
    <w:rsid w:val="1A2A7447"/>
    <w:rsid w:val="1A42393B"/>
    <w:rsid w:val="1A495ECC"/>
    <w:rsid w:val="1A516B2E"/>
    <w:rsid w:val="1A670100"/>
    <w:rsid w:val="1A815666"/>
    <w:rsid w:val="1A872550"/>
    <w:rsid w:val="1A89451A"/>
    <w:rsid w:val="1A954118"/>
    <w:rsid w:val="1AAD45DE"/>
    <w:rsid w:val="1AC43B5B"/>
    <w:rsid w:val="1AC83294"/>
    <w:rsid w:val="1ACE4895"/>
    <w:rsid w:val="1AD0039B"/>
    <w:rsid w:val="1AD25EC1"/>
    <w:rsid w:val="1B046F80"/>
    <w:rsid w:val="1B0A2179"/>
    <w:rsid w:val="1B1F4E7E"/>
    <w:rsid w:val="1B2A3541"/>
    <w:rsid w:val="1B3267B5"/>
    <w:rsid w:val="1B3C1FFE"/>
    <w:rsid w:val="1B40161D"/>
    <w:rsid w:val="1B441859"/>
    <w:rsid w:val="1B455C56"/>
    <w:rsid w:val="1B563D1D"/>
    <w:rsid w:val="1B6606B1"/>
    <w:rsid w:val="1B77744E"/>
    <w:rsid w:val="1B83678C"/>
    <w:rsid w:val="1B9B4505"/>
    <w:rsid w:val="1B9D5DED"/>
    <w:rsid w:val="1BBC26CD"/>
    <w:rsid w:val="1BCF467A"/>
    <w:rsid w:val="1BE85270"/>
    <w:rsid w:val="1BEF65FF"/>
    <w:rsid w:val="1BF400B9"/>
    <w:rsid w:val="1C024584"/>
    <w:rsid w:val="1C061EAE"/>
    <w:rsid w:val="1C365FDC"/>
    <w:rsid w:val="1C444B9D"/>
    <w:rsid w:val="1C4701E9"/>
    <w:rsid w:val="1C5C2491"/>
    <w:rsid w:val="1C5E7925"/>
    <w:rsid w:val="1CA4563B"/>
    <w:rsid w:val="1CC47A8B"/>
    <w:rsid w:val="1CE27F12"/>
    <w:rsid w:val="1CFD070F"/>
    <w:rsid w:val="1CFD4D4B"/>
    <w:rsid w:val="1D04257E"/>
    <w:rsid w:val="1D37025D"/>
    <w:rsid w:val="1D44297A"/>
    <w:rsid w:val="1D4A4435"/>
    <w:rsid w:val="1D531FCC"/>
    <w:rsid w:val="1D5F6196"/>
    <w:rsid w:val="1D6132A5"/>
    <w:rsid w:val="1D63746D"/>
    <w:rsid w:val="1D721295"/>
    <w:rsid w:val="1D8E56D5"/>
    <w:rsid w:val="1D905BC0"/>
    <w:rsid w:val="1DA63635"/>
    <w:rsid w:val="1DE435FB"/>
    <w:rsid w:val="1DF919B7"/>
    <w:rsid w:val="1E0477E8"/>
    <w:rsid w:val="1E4946EC"/>
    <w:rsid w:val="1E57048B"/>
    <w:rsid w:val="1E7A43DA"/>
    <w:rsid w:val="1E8A0C48"/>
    <w:rsid w:val="1EAC6A29"/>
    <w:rsid w:val="1EC726BE"/>
    <w:rsid w:val="1EDA5344"/>
    <w:rsid w:val="1F082731"/>
    <w:rsid w:val="1F130856"/>
    <w:rsid w:val="1F1D3483"/>
    <w:rsid w:val="1F4E5FB5"/>
    <w:rsid w:val="1F6D440A"/>
    <w:rsid w:val="1F784B5D"/>
    <w:rsid w:val="1F7A6206"/>
    <w:rsid w:val="1FE03238"/>
    <w:rsid w:val="1FE43FA1"/>
    <w:rsid w:val="1FE7539E"/>
    <w:rsid w:val="1FE80E07"/>
    <w:rsid w:val="1FEA15B7"/>
    <w:rsid w:val="1FEA7809"/>
    <w:rsid w:val="1FF069B7"/>
    <w:rsid w:val="20062169"/>
    <w:rsid w:val="201E74B3"/>
    <w:rsid w:val="20297283"/>
    <w:rsid w:val="202B4020"/>
    <w:rsid w:val="203A4E05"/>
    <w:rsid w:val="204809D3"/>
    <w:rsid w:val="204D7D98"/>
    <w:rsid w:val="205253AE"/>
    <w:rsid w:val="205729C5"/>
    <w:rsid w:val="20573DCC"/>
    <w:rsid w:val="20587E97"/>
    <w:rsid w:val="20623843"/>
    <w:rsid w:val="20651381"/>
    <w:rsid w:val="20671BE0"/>
    <w:rsid w:val="20675279"/>
    <w:rsid w:val="20704CAA"/>
    <w:rsid w:val="20711F1C"/>
    <w:rsid w:val="20963CB8"/>
    <w:rsid w:val="20A81A1B"/>
    <w:rsid w:val="20B07FB6"/>
    <w:rsid w:val="20B47E17"/>
    <w:rsid w:val="20B646FB"/>
    <w:rsid w:val="20CE0ED9"/>
    <w:rsid w:val="20F17FB1"/>
    <w:rsid w:val="20F621DE"/>
    <w:rsid w:val="21004E0A"/>
    <w:rsid w:val="210E39CB"/>
    <w:rsid w:val="213B74B1"/>
    <w:rsid w:val="21441798"/>
    <w:rsid w:val="21463165"/>
    <w:rsid w:val="215A2310"/>
    <w:rsid w:val="215C636C"/>
    <w:rsid w:val="215C64E4"/>
    <w:rsid w:val="21723F5A"/>
    <w:rsid w:val="21933ED0"/>
    <w:rsid w:val="21B04A82"/>
    <w:rsid w:val="21B06830"/>
    <w:rsid w:val="21C36564"/>
    <w:rsid w:val="21D50045"/>
    <w:rsid w:val="21DE318A"/>
    <w:rsid w:val="21EF5B80"/>
    <w:rsid w:val="21F11323"/>
    <w:rsid w:val="222334A6"/>
    <w:rsid w:val="222A0391"/>
    <w:rsid w:val="223B434C"/>
    <w:rsid w:val="22576990"/>
    <w:rsid w:val="226F0499"/>
    <w:rsid w:val="227C521C"/>
    <w:rsid w:val="22C75BE0"/>
    <w:rsid w:val="22CC7073"/>
    <w:rsid w:val="22CE51C0"/>
    <w:rsid w:val="22D622C7"/>
    <w:rsid w:val="22EA7B20"/>
    <w:rsid w:val="22F47480"/>
    <w:rsid w:val="23137077"/>
    <w:rsid w:val="23381DC7"/>
    <w:rsid w:val="23492A98"/>
    <w:rsid w:val="235B5672"/>
    <w:rsid w:val="237815D0"/>
    <w:rsid w:val="23934438"/>
    <w:rsid w:val="23C034B8"/>
    <w:rsid w:val="23DE1C48"/>
    <w:rsid w:val="23DF1A1B"/>
    <w:rsid w:val="23F0560A"/>
    <w:rsid w:val="240210CD"/>
    <w:rsid w:val="24295F3B"/>
    <w:rsid w:val="244D480A"/>
    <w:rsid w:val="24596D0B"/>
    <w:rsid w:val="24635DDC"/>
    <w:rsid w:val="247B4ED4"/>
    <w:rsid w:val="248144B4"/>
    <w:rsid w:val="24A87C93"/>
    <w:rsid w:val="24BF09F7"/>
    <w:rsid w:val="24E54A43"/>
    <w:rsid w:val="24E9594A"/>
    <w:rsid w:val="250B6561"/>
    <w:rsid w:val="252D53FE"/>
    <w:rsid w:val="25312E6D"/>
    <w:rsid w:val="253F59DE"/>
    <w:rsid w:val="25476E87"/>
    <w:rsid w:val="25551BC9"/>
    <w:rsid w:val="255D0A7D"/>
    <w:rsid w:val="25665B84"/>
    <w:rsid w:val="258E0C37"/>
    <w:rsid w:val="25915452"/>
    <w:rsid w:val="25B14AF6"/>
    <w:rsid w:val="25C97EC1"/>
    <w:rsid w:val="25D335FC"/>
    <w:rsid w:val="25EC2D81"/>
    <w:rsid w:val="25FF38E2"/>
    <w:rsid w:val="261455E0"/>
    <w:rsid w:val="26211AAB"/>
    <w:rsid w:val="262275D1"/>
    <w:rsid w:val="264C19E1"/>
    <w:rsid w:val="26502390"/>
    <w:rsid w:val="265754CC"/>
    <w:rsid w:val="26751DF6"/>
    <w:rsid w:val="26AA6BC2"/>
    <w:rsid w:val="26B02E2F"/>
    <w:rsid w:val="26CD578F"/>
    <w:rsid w:val="26E1123A"/>
    <w:rsid w:val="271B4752"/>
    <w:rsid w:val="271E5FEA"/>
    <w:rsid w:val="27223CE1"/>
    <w:rsid w:val="274211CB"/>
    <w:rsid w:val="274F43F6"/>
    <w:rsid w:val="27624129"/>
    <w:rsid w:val="276C5CB3"/>
    <w:rsid w:val="277057A2"/>
    <w:rsid w:val="27731C24"/>
    <w:rsid w:val="27765E26"/>
    <w:rsid w:val="2779684F"/>
    <w:rsid w:val="277D3913"/>
    <w:rsid w:val="27851763"/>
    <w:rsid w:val="27983FEE"/>
    <w:rsid w:val="27A04C51"/>
    <w:rsid w:val="27BC5F2F"/>
    <w:rsid w:val="27BD5803"/>
    <w:rsid w:val="27C923FA"/>
    <w:rsid w:val="27D55529"/>
    <w:rsid w:val="281C69CE"/>
    <w:rsid w:val="28215D92"/>
    <w:rsid w:val="28221B0A"/>
    <w:rsid w:val="2831714D"/>
    <w:rsid w:val="2858552C"/>
    <w:rsid w:val="286D547B"/>
    <w:rsid w:val="288124ED"/>
    <w:rsid w:val="28A01E1C"/>
    <w:rsid w:val="28C66939"/>
    <w:rsid w:val="28CF57EE"/>
    <w:rsid w:val="29206EB8"/>
    <w:rsid w:val="29595666"/>
    <w:rsid w:val="296128EF"/>
    <w:rsid w:val="296A5FA3"/>
    <w:rsid w:val="296C5733"/>
    <w:rsid w:val="296D4414"/>
    <w:rsid w:val="297A6A5A"/>
    <w:rsid w:val="29874881"/>
    <w:rsid w:val="299802D6"/>
    <w:rsid w:val="29A94291"/>
    <w:rsid w:val="29AA1DB7"/>
    <w:rsid w:val="29AC3D81"/>
    <w:rsid w:val="29AF73CD"/>
    <w:rsid w:val="29D137E8"/>
    <w:rsid w:val="29DF4157"/>
    <w:rsid w:val="29E325E0"/>
    <w:rsid w:val="2A15450E"/>
    <w:rsid w:val="2A351FC9"/>
    <w:rsid w:val="2A3D50C6"/>
    <w:rsid w:val="2A403FBB"/>
    <w:rsid w:val="2A452503"/>
    <w:rsid w:val="2A506E02"/>
    <w:rsid w:val="2A5266D7"/>
    <w:rsid w:val="2A612DBE"/>
    <w:rsid w:val="2A66610E"/>
    <w:rsid w:val="2A691C72"/>
    <w:rsid w:val="2A900FAD"/>
    <w:rsid w:val="2A995FCA"/>
    <w:rsid w:val="2A9C2048"/>
    <w:rsid w:val="2A9C7924"/>
    <w:rsid w:val="2AA25613"/>
    <w:rsid w:val="2AA5425E"/>
    <w:rsid w:val="2AB0038F"/>
    <w:rsid w:val="2ACE51A1"/>
    <w:rsid w:val="2AF7102C"/>
    <w:rsid w:val="2AFE23BA"/>
    <w:rsid w:val="2AFF55C7"/>
    <w:rsid w:val="2B0E0954"/>
    <w:rsid w:val="2B217CF7"/>
    <w:rsid w:val="2B3202B6"/>
    <w:rsid w:val="2B361B54"/>
    <w:rsid w:val="2B603075"/>
    <w:rsid w:val="2B69017C"/>
    <w:rsid w:val="2B70695E"/>
    <w:rsid w:val="2B715282"/>
    <w:rsid w:val="2B7B3A0B"/>
    <w:rsid w:val="2BA936A8"/>
    <w:rsid w:val="2C0E6A1A"/>
    <w:rsid w:val="2C2C1F42"/>
    <w:rsid w:val="2C315A5A"/>
    <w:rsid w:val="2C3B648D"/>
    <w:rsid w:val="2C4B1C25"/>
    <w:rsid w:val="2C58124F"/>
    <w:rsid w:val="2C6B3DA0"/>
    <w:rsid w:val="2C714E0E"/>
    <w:rsid w:val="2CBC42DB"/>
    <w:rsid w:val="2CC969F8"/>
    <w:rsid w:val="2CDA0C05"/>
    <w:rsid w:val="2CFA4E04"/>
    <w:rsid w:val="2D4807E1"/>
    <w:rsid w:val="2D5664DE"/>
    <w:rsid w:val="2D5E1836"/>
    <w:rsid w:val="2D6816BA"/>
    <w:rsid w:val="2D686211"/>
    <w:rsid w:val="2D71156A"/>
    <w:rsid w:val="2D7921CC"/>
    <w:rsid w:val="2D8C0151"/>
    <w:rsid w:val="2D8C4DE1"/>
    <w:rsid w:val="2D9E56F5"/>
    <w:rsid w:val="2DBB0A37"/>
    <w:rsid w:val="2DC25921"/>
    <w:rsid w:val="2DD36A70"/>
    <w:rsid w:val="2DDF0F19"/>
    <w:rsid w:val="2DE955A4"/>
    <w:rsid w:val="2DE97352"/>
    <w:rsid w:val="2DF06932"/>
    <w:rsid w:val="2E0F48DF"/>
    <w:rsid w:val="2E1819E5"/>
    <w:rsid w:val="2E194FEC"/>
    <w:rsid w:val="2E20089A"/>
    <w:rsid w:val="2E4A0ED6"/>
    <w:rsid w:val="2E4E3659"/>
    <w:rsid w:val="2E501652"/>
    <w:rsid w:val="2E667F96"/>
    <w:rsid w:val="2E7A26A0"/>
    <w:rsid w:val="2E8157DC"/>
    <w:rsid w:val="2E8226AB"/>
    <w:rsid w:val="2E9A632F"/>
    <w:rsid w:val="2EAE5F95"/>
    <w:rsid w:val="2ECD6C74"/>
    <w:rsid w:val="2EDA4EED"/>
    <w:rsid w:val="2EE95130"/>
    <w:rsid w:val="2EFF6701"/>
    <w:rsid w:val="2F0E4B96"/>
    <w:rsid w:val="2F3F11F4"/>
    <w:rsid w:val="2F49095D"/>
    <w:rsid w:val="2F580725"/>
    <w:rsid w:val="2F7075FF"/>
    <w:rsid w:val="2F782CC6"/>
    <w:rsid w:val="2F8336E1"/>
    <w:rsid w:val="2F8C268B"/>
    <w:rsid w:val="2F9E595E"/>
    <w:rsid w:val="2FA86CB3"/>
    <w:rsid w:val="2FD065E6"/>
    <w:rsid w:val="2FD96870"/>
    <w:rsid w:val="30112B90"/>
    <w:rsid w:val="301B62DE"/>
    <w:rsid w:val="302A5A00"/>
    <w:rsid w:val="302C1778"/>
    <w:rsid w:val="30462BEA"/>
    <w:rsid w:val="304C1E1A"/>
    <w:rsid w:val="305667F5"/>
    <w:rsid w:val="30580BC9"/>
    <w:rsid w:val="3078676B"/>
    <w:rsid w:val="30986E0D"/>
    <w:rsid w:val="30C45E54"/>
    <w:rsid w:val="30D37E45"/>
    <w:rsid w:val="31077AEF"/>
    <w:rsid w:val="311877C3"/>
    <w:rsid w:val="311E2ED7"/>
    <w:rsid w:val="3126266B"/>
    <w:rsid w:val="31264419"/>
    <w:rsid w:val="312854C0"/>
    <w:rsid w:val="31336B36"/>
    <w:rsid w:val="31433B88"/>
    <w:rsid w:val="31535609"/>
    <w:rsid w:val="315619EE"/>
    <w:rsid w:val="315B638E"/>
    <w:rsid w:val="315C449C"/>
    <w:rsid w:val="31644F41"/>
    <w:rsid w:val="31741628"/>
    <w:rsid w:val="31745184"/>
    <w:rsid w:val="317C0CD1"/>
    <w:rsid w:val="3183186B"/>
    <w:rsid w:val="31833619"/>
    <w:rsid w:val="31A67308"/>
    <w:rsid w:val="31B82709"/>
    <w:rsid w:val="31B93075"/>
    <w:rsid w:val="31CA56EC"/>
    <w:rsid w:val="31D05482"/>
    <w:rsid w:val="31D5284E"/>
    <w:rsid w:val="31FB58A6"/>
    <w:rsid w:val="32003194"/>
    <w:rsid w:val="3212499D"/>
    <w:rsid w:val="32195D2C"/>
    <w:rsid w:val="321E3342"/>
    <w:rsid w:val="32222E32"/>
    <w:rsid w:val="32270449"/>
    <w:rsid w:val="32400B34"/>
    <w:rsid w:val="325E7BE3"/>
    <w:rsid w:val="326F3B9E"/>
    <w:rsid w:val="32963820"/>
    <w:rsid w:val="329E6876"/>
    <w:rsid w:val="32AB72CC"/>
    <w:rsid w:val="32BC3287"/>
    <w:rsid w:val="32C91500"/>
    <w:rsid w:val="32D028D3"/>
    <w:rsid w:val="32E0684A"/>
    <w:rsid w:val="3301513E"/>
    <w:rsid w:val="33050BA9"/>
    <w:rsid w:val="33122EA7"/>
    <w:rsid w:val="331E109C"/>
    <w:rsid w:val="333015F2"/>
    <w:rsid w:val="333A2110"/>
    <w:rsid w:val="334B6320"/>
    <w:rsid w:val="339B7340"/>
    <w:rsid w:val="339C6C14"/>
    <w:rsid w:val="33A855B9"/>
    <w:rsid w:val="33AD24C6"/>
    <w:rsid w:val="33B57CD6"/>
    <w:rsid w:val="33BC6593"/>
    <w:rsid w:val="33CF2B46"/>
    <w:rsid w:val="33D934D4"/>
    <w:rsid w:val="33E63C59"/>
    <w:rsid w:val="33E83C08"/>
    <w:rsid w:val="33F425AD"/>
    <w:rsid w:val="33F97BC3"/>
    <w:rsid w:val="33FE2F6A"/>
    <w:rsid w:val="340E07E5"/>
    <w:rsid w:val="34235BF7"/>
    <w:rsid w:val="343E7CCC"/>
    <w:rsid w:val="345B6845"/>
    <w:rsid w:val="346911EC"/>
    <w:rsid w:val="34692F9B"/>
    <w:rsid w:val="34941A99"/>
    <w:rsid w:val="34963664"/>
    <w:rsid w:val="34A00986"/>
    <w:rsid w:val="34A940DB"/>
    <w:rsid w:val="34BD32E6"/>
    <w:rsid w:val="34E70363"/>
    <w:rsid w:val="34F14D3E"/>
    <w:rsid w:val="34F34F5A"/>
    <w:rsid w:val="34FC1D62"/>
    <w:rsid w:val="350607E9"/>
    <w:rsid w:val="350B4052"/>
    <w:rsid w:val="355F439E"/>
    <w:rsid w:val="355F5F3B"/>
    <w:rsid w:val="35645510"/>
    <w:rsid w:val="35660201"/>
    <w:rsid w:val="35745524"/>
    <w:rsid w:val="358C5FA8"/>
    <w:rsid w:val="35A46254"/>
    <w:rsid w:val="35B13308"/>
    <w:rsid w:val="35C15DF1"/>
    <w:rsid w:val="35E46651"/>
    <w:rsid w:val="35E623C9"/>
    <w:rsid w:val="35E6686D"/>
    <w:rsid w:val="35EB7FA5"/>
    <w:rsid w:val="36074A7F"/>
    <w:rsid w:val="360E0D30"/>
    <w:rsid w:val="36140CE4"/>
    <w:rsid w:val="361E7DB5"/>
    <w:rsid w:val="362F3D70"/>
    <w:rsid w:val="36410FB4"/>
    <w:rsid w:val="36684EB3"/>
    <w:rsid w:val="366F23BE"/>
    <w:rsid w:val="36883480"/>
    <w:rsid w:val="36923549"/>
    <w:rsid w:val="36AC716F"/>
    <w:rsid w:val="36B44275"/>
    <w:rsid w:val="36B75FBF"/>
    <w:rsid w:val="36BD0C45"/>
    <w:rsid w:val="372E04CB"/>
    <w:rsid w:val="373A0C1E"/>
    <w:rsid w:val="37505BCF"/>
    <w:rsid w:val="375161E0"/>
    <w:rsid w:val="37647A49"/>
    <w:rsid w:val="37CD3840"/>
    <w:rsid w:val="37D30293"/>
    <w:rsid w:val="37D5211A"/>
    <w:rsid w:val="37E00298"/>
    <w:rsid w:val="38353194"/>
    <w:rsid w:val="384358B1"/>
    <w:rsid w:val="384A6C3F"/>
    <w:rsid w:val="385555E4"/>
    <w:rsid w:val="385950D4"/>
    <w:rsid w:val="38647010"/>
    <w:rsid w:val="386B4E07"/>
    <w:rsid w:val="386D0811"/>
    <w:rsid w:val="386F66A6"/>
    <w:rsid w:val="387E4B3B"/>
    <w:rsid w:val="389820A0"/>
    <w:rsid w:val="38B302F9"/>
    <w:rsid w:val="38B4055C"/>
    <w:rsid w:val="38CB732D"/>
    <w:rsid w:val="38CF5396"/>
    <w:rsid w:val="38D97AC4"/>
    <w:rsid w:val="38DD3F57"/>
    <w:rsid w:val="38EF3C8A"/>
    <w:rsid w:val="38F12CD3"/>
    <w:rsid w:val="38F94775"/>
    <w:rsid w:val="38FA68B7"/>
    <w:rsid w:val="390A24E3"/>
    <w:rsid w:val="391159AF"/>
    <w:rsid w:val="391911B9"/>
    <w:rsid w:val="392971ED"/>
    <w:rsid w:val="3930052B"/>
    <w:rsid w:val="39325651"/>
    <w:rsid w:val="393A4F06"/>
    <w:rsid w:val="394C69E7"/>
    <w:rsid w:val="397A17A6"/>
    <w:rsid w:val="3986014B"/>
    <w:rsid w:val="39873EC3"/>
    <w:rsid w:val="39975B3F"/>
    <w:rsid w:val="39AB195F"/>
    <w:rsid w:val="39FC21BB"/>
    <w:rsid w:val="3A1514CF"/>
    <w:rsid w:val="3A332D25"/>
    <w:rsid w:val="3A580356"/>
    <w:rsid w:val="3A661D2A"/>
    <w:rsid w:val="3A6F6E31"/>
    <w:rsid w:val="3A7601BF"/>
    <w:rsid w:val="3A872856"/>
    <w:rsid w:val="3A933A77"/>
    <w:rsid w:val="3A9C399E"/>
    <w:rsid w:val="3AA3687C"/>
    <w:rsid w:val="3AAD7959"/>
    <w:rsid w:val="3AAF36D1"/>
    <w:rsid w:val="3AB71B3F"/>
    <w:rsid w:val="3AC03EA4"/>
    <w:rsid w:val="3AC058DE"/>
    <w:rsid w:val="3AD2116E"/>
    <w:rsid w:val="3AE0388B"/>
    <w:rsid w:val="3B0E664A"/>
    <w:rsid w:val="3B1D063B"/>
    <w:rsid w:val="3B251BE5"/>
    <w:rsid w:val="3B2F65C0"/>
    <w:rsid w:val="3B331C0C"/>
    <w:rsid w:val="3B3763D1"/>
    <w:rsid w:val="3B49541D"/>
    <w:rsid w:val="3B716BD9"/>
    <w:rsid w:val="3B7E4CFD"/>
    <w:rsid w:val="3B7F12F6"/>
    <w:rsid w:val="3B801C20"/>
    <w:rsid w:val="3B8F5799"/>
    <w:rsid w:val="3BA24FE4"/>
    <w:rsid w:val="3BE301F2"/>
    <w:rsid w:val="3C187054"/>
    <w:rsid w:val="3C2D6FA3"/>
    <w:rsid w:val="3C2F6E1E"/>
    <w:rsid w:val="3C37572C"/>
    <w:rsid w:val="3C3C71E7"/>
    <w:rsid w:val="3C460065"/>
    <w:rsid w:val="3C4F64BA"/>
    <w:rsid w:val="3C595011"/>
    <w:rsid w:val="3C601127"/>
    <w:rsid w:val="3C905E26"/>
    <w:rsid w:val="3CAD1D5E"/>
    <w:rsid w:val="3CDA245A"/>
    <w:rsid w:val="3CE07B72"/>
    <w:rsid w:val="3CEC29BB"/>
    <w:rsid w:val="3CF35E90"/>
    <w:rsid w:val="3D097450"/>
    <w:rsid w:val="3D187A6B"/>
    <w:rsid w:val="3D197774"/>
    <w:rsid w:val="3D1E06B7"/>
    <w:rsid w:val="3D214846"/>
    <w:rsid w:val="3D25588D"/>
    <w:rsid w:val="3D37134E"/>
    <w:rsid w:val="3D54230E"/>
    <w:rsid w:val="3D766728"/>
    <w:rsid w:val="3D801355"/>
    <w:rsid w:val="3D842BF3"/>
    <w:rsid w:val="3D931088"/>
    <w:rsid w:val="3DC821E0"/>
    <w:rsid w:val="3DC92CFC"/>
    <w:rsid w:val="3DFA4C63"/>
    <w:rsid w:val="3E2E5A79"/>
    <w:rsid w:val="3E5500EC"/>
    <w:rsid w:val="3E5D49B7"/>
    <w:rsid w:val="3EB53799"/>
    <w:rsid w:val="3EBC460F"/>
    <w:rsid w:val="3ED2798E"/>
    <w:rsid w:val="3EDA0523"/>
    <w:rsid w:val="3EDA6843"/>
    <w:rsid w:val="3EEA4CD8"/>
    <w:rsid w:val="3EF00151"/>
    <w:rsid w:val="3EF73899"/>
    <w:rsid w:val="3EFB5137"/>
    <w:rsid w:val="3F185CE9"/>
    <w:rsid w:val="3F1E50FA"/>
    <w:rsid w:val="3F375A43"/>
    <w:rsid w:val="3F3B3785"/>
    <w:rsid w:val="3F841CFC"/>
    <w:rsid w:val="3F870779"/>
    <w:rsid w:val="3F8A2017"/>
    <w:rsid w:val="3F8C2233"/>
    <w:rsid w:val="3F93711E"/>
    <w:rsid w:val="3F9D3F90"/>
    <w:rsid w:val="3F9D7F9C"/>
    <w:rsid w:val="3FA56E51"/>
    <w:rsid w:val="3FB84DD6"/>
    <w:rsid w:val="3FBC4D8A"/>
    <w:rsid w:val="3FCE45FA"/>
    <w:rsid w:val="3FD414E4"/>
    <w:rsid w:val="3FD752F7"/>
    <w:rsid w:val="3FF81804"/>
    <w:rsid w:val="3FFD6C8D"/>
    <w:rsid w:val="4021297B"/>
    <w:rsid w:val="40356427"/>
    <w:rsid w:val="40483BF8"/>
    <w:rsid w:val="4065664E"/>
    <w:rsid w:val="407A6407"/>
    <w:rsid w:val="407B78CA"/>
    <w:rsid w:val="4081341A"/>
    <w:rsid w:val="40980764"/>
    <w:rsid w:val="409937FA"/>
    <w:rsid w:val="40A1586A"/>
    <w:rsid w:val="40B05AAD"/>
    <w:rsid w:val="40B557B9"/>
    <w:rsid w:val="40D75730"/>
    <w:rsid w:val="40E35E83"/>
    <w:rsid w:val="40E85B93"/>
    <w:rsid w:val="40FC4E90"/>
    <w:rsid w:val="41083B3B"/>
    <w:rsid w:val="411C0EEC"/>
    <w:rsid w:val="41320BB8"/>
    <w:rsid w:val="41566655"/>
    <w:rsid w:val="41636FC4"/>
    <w:rsid w:val="416A65A4"/>
    <w:rsid w:val="41A4122D"/>
    <w:rsid w:val="41B96BE3"/>
    <w:rsid w:val="41E2613A"/>
    <w:rsid w:val="41E51367"/>
    <w:rsid w:val="41E97331"/>
    <w:rsid w:val="41EA4FEF"/>
    <w:rsid w:val="41F12821"/>
    <w:rsid w:val="41F45E6E"/>
    <w:rsid w:val="4200449D"/>
    <w:rsid w:val="42116A20"/>
    <w:rsid w:val="42151615"/>
    <w:rsid w:val="42277FF1"/>
    <w:rsid w:val="422C1AAB"/>
    <w:rsid w:val="423A3BCC"/>
    <w:rsid w:val="424E57D2"/>
    <w:rsid w:val="42521512"/>
    <w:rsid w:val="425A3F23"/>
    <w:rsid w:val="4267663F"/>
    <w:rsid w:val="42731488"/>
    <w:rsid w:val="42742A14"/>
    <w:rsid w:val="4278084D"/>
    <w:rsid w:val="4280659A"/>
    <w:rsid w:val="42A73AF2"/>
    <w:rsid w:val="42AF3B46"/>
    <w:rsid w:val="42B26C49"/>
    <w:rsid w:val="42B316F7"/>
    <w:rsid w:val="42D04BF1"/>
    <w:rsid w:val="42E12896"/>
    <w:rsid w:val="42E3216A"/>
    <w:rsid w:val="43340C18"/>
    <w:rsid w:val="433A6FE6"/>
    <w:rsid w:val="43480868"/>
    <w:rsid w:val="4350713C"/>
    <w:rsid w:val="435766B4"/>
    <w:rsid w:val="436653E0"/>
    <w:rsid w:val="43AB172E"/>
    <w:rsid w:val="43AC6A00"/>
    <w:rsid w:val="43BB30E7"/>
    <w:rsid w:val="43C4431A"/>
    <w:rsid w:val="43E268C5"/>
    <w:rsid w:val="43F81C45"/>
    <w:rsid w:val="43FD54AD"/>
    <w:rsid w:val="441A605F"/>
    <w:rsid w:val="441A7E0D"/>
    <w:rsid w:val="44224E6B"/>
    <w:rsid w:val="44250560"/>
    <w:rsid w:val="443864E5"/>
    <w:rsid w:val="444C01E3"/>
    <w:rsid w:val="445C140E"/>
    <w:rsid w:val="446A2395"/>
    <w:rsid w:val="4475773A"/>
    <w:rsid w:val="44760B3E"/>
    <w:rsid w:val="448B0D0B"/>
    <w:rsid w:val="449A2CFC"/>
    <w:rsid w:val="449D459A"/>
    <w:rsid w:val="44B813D4"/>
    <w:rsid w:val="44B951CC"/>
    <w:rsid w:val="44CD14E0"/>
    <w:rsid w:val="44D15B74"/>
    <w:rsid w:val="44DC50C3"/>
    <w:rsid w:val="44E16B7D"/>
    <w:rsid w:val="44F100BD"/>
    <w:rsid w:val="44F20B0B"/>
    <w:rsid w:val="44FB6905"/>
    <w:rsid w:val="451A329F"/>
    <w:rsid w:val="452E5F4C"/>
    <w:rsid w:val="453749EF"/>
    <w:rsid w:val="453A628D"/>
    <w:rsid w:val="4541547F"/>
    <w:rsid w:val="45612018"/>
    <w:rsid w:val="45815C6A"/>
    <w:rsid w:val="458946E9"/>
    <w:rsid w:val="45972D6F"/>
    <w:rsid w:val="45A47C0E"/>
    <w:rsid w:val="45A656D1"/>
    <w:rsid w:val="45B20519"/>
    <w:rsid w:val="45B60EE4"/>
    <w:rsid w:val="45BB117C"/>
    <w:rsid w:val="45CA13BF"/>
    <w:rsid w:val="46070E2B"/>
    <w:rsid w:val="46162856"/>
    <w:rsid w:val="462E5DF2"/>
    <w:rsid w:val="46456C98"/>
    <w:rsid w:val="46492C2C"/>
    <w:rsid w:val="46577FD6"/>
    <w:rsid w:val="4690175A"/>
    <w:rsid w:val="469F284C"/>
    <w:rsid w:val="46C353A9"/>
    <w:rsid w:val="46D0431B"/>
    <w:rsid w:val="46D955A7"/>
    <w:rsid w:val="46DD5122"/>
    <w:rsid w:val="46F5246C"/>
    <w:rsid w:val="47133957"/>
    <w:rsid w:val="47490A0A"/>
    <w:rsid w:val="47495932"/>
    <w:rsid w:val="474D6E84"/>
    <w:rsid w:val="4766336A"/>
    <w:rsid w:val="47694C08"/>
    <w:rsid w:val="479223B1"/>
    <w:rsid w:val="479355B7"/>
    <w:rsid w:val="47941C85"/>
    <w:rsid w:val="47971775"/>
    <w:rsid w:val="479A3013"/>
    <w:rsid w:val="47A07E0C"/>
    <w:rsid w:val="47B906E1"/>
    <w:rsid w:val="47C167F2"/>
    <w:rsid w:val="47C334D7"/>
    <w:rsid w:val="47D46525"/>
    <w:rsid w:val="47E732DF"/>
    <w:rsid w:val="47F25A2F"/>
    <w:rsid w:val="47FB3B25"/>
    <w:rsid w:val="4800556C"/>
    <w:rsid w:val="482A37B7"/>
    <w:rsid w:val="482D6B87"/>
    <w:rsid w:val="4839282C"/>
    <w:rsid w:val="484F527F"/>
    <w:rsid w:val="4870272E"/>
    <w:rsid w:val="48773A81"/>
    <w:rsid w:val="48776A3E"/>
    <w:rsid w:val="488E2B78"/>
    <w:rsid w:val="48A4239B"/>
    <w:rsid w:val="48BD680C"/>
    <w:rsid w:val="48C50C7E"/>
    <w:rsid w:val="48F21359"/>
    <w:rsid w:val="48F86DE0"/>
    <w:rsid w:val="49137521"/>
    <w:rsid w:val="492B486B"/>
    <w:rsid w:val="493059DD"/>
    <w:rsid w:val="49431BB4"/>
    <w:rsid w:val="496164DE"/>
    <w:rsid w:val="49724248"/>
    <w:rsid w:val="499E503D"/>
    <w:rsid w:val="49A308A5"/>
    <w:rsid w:val="49A92C07"/>
    <w:rsid w:val="49AB6AEB"/>
    <w:rsid w:val="49B303BC"/>
    <w:rsid w:val="49B605D8"/>
    <w:rsid w:val="49B67DEC"/>
    <w:rsid w:val="49DB003F"/>
    <w:rsid w:val="49DC7715"/>
    <w:rsid w:val="49EF5898"/>
    <w:rsid w:val="49F7299F"/>
    <w:rsid w:val="4A023139"/>
    <w:rsid w:val="4A2C4985"/>
    <w:rsid w:val="4A45370A"/>
    <w:rsid w:val="4A4A6F73"/>
    <w:rsid w:val="4A560560"/>
    <w:rsid w:val="4A7B576F"/>
    <w:rsid w:val="4A917F5C"/>
    <w:rsid w:val="4AA30431"/>
    <w:rsid w:val="4AA85A47"/>
    <w:rsid w:val="4ABE526B"/>
    <w:rsid w:val="4AC41483"/>
    <w:rsid w:val="4AD52CE0"/>
    <w:rsid w:val="4AEB2504"/>
    <w:rsid w:val="4AF561A9"/>
    <w:rsid w:val="4B201A81"/>
    <w:rsid w:val="4B29449C"/>
    <w:rsid w:val="4B3A7231"/>
    <w:rsid w:val="4B4614E8"/>
    <w:rsid w:val="4B5628B1"/>
    <w:rsid w:val="4B646826"/>
    <w:rsid w:val="4B7D0D50"/>
    <w:rsid w:val="4B863FDA"/>
    <w:rsid w:val="4B9304A5"/>
    <w:rsid w:val="4B971D44"/>
    <w:rsid w:val="4BBF129A"/>
    <w:rsid w:val="4BCC79C4"/>
    <w:rsid w:val="4BD521F8"/>
    <w:rsid w:val="4BD5286C"/>
    <w:rsid w:val="4BE13907"/>
    <w:rsid w:val="4BE551A5"/>
    <w:rsid w:val="4BF90C50"/>
    <w:rsid w:val="4C14041B"/>
    <w:rsid w:val="4C261319"/>
    <w:rsid w:val="4C3E6663"/>
    <w:rsid w:val="4C455C43"/>
    <w:rsid w:val="4C4A0649"/>
    <w:rsid w:val="4C4F7112"/>
    <w:rsid w:val="4C6065D9"/>
    <w:rsid w:val="4C63431C"/>
    <w:rsid w:val="4C7E5ECA"/>
    <w:rsid w:val="4C876AA5"/>
    <w:rsid w:val="4CA960C3"/>
    <w:rsid w:val="4CB16E35"/>
    <w:rsid w:val="4CB80E4F"/>
    <w:rsid w:val="4CBB5F06"/>
    <w:rsid w:val="4CBE5242"/>
    <w:rsid w:val="4CD07C03"/>
    <w:rsid w:val="4CD652C4"/>
    <w:rsid w:val="4CF80F08"/>
    <w:rsid w:val="4D005885"/>
    <w:rsid w:val="4D04165B"/>
    <w:rsid w:val="4D05056F"/>
    <w:rsid w:val="4D090A1F"/>
    <w:rsid w:val="4D0D2B7C"/>
    <w:rsid w:val="4D0E00FB"/>
    <w:rsid w:val="4D106251"/>
    <w:rsid w:val="4D151ABA"/>
    <w:rsid w:val="4D176606"/>
    <w:rsid w:val="4D1D096E"/>
    <w:rsid w:val="4D236699"/>
    <w:rsid w:val="4D2E492A"/>
    <w:rsid w:val="4D317F76"/>
    <w:rsid w:val="4D4E28D6"/>
    <w:rsid w:val="4D682880"/>
    <w:rsid w:val="4D682A44"/>
    <w:rsid w:val="4D727F34"/>
    <w:rsid w:val="4D785BA5"/>
    <w:rsid w:val="4D7D1B31"/>
    <w:rsid w:val="4D7D6369"/>
    <w:rsid w:val="4D9B47F8"/>
    <w:rsid w:val="4DA1334D"/>
    <w:rsid w:val="4DDA23BB"/>
    <w:rsid w:val="4DEC4FB0"/>
    <w:rsid w:val="4E035DB6"/>
    <w:rsid w:val="4E075D8A"/>
    <w:rsid w:val="4E201F26"/>
    <w:rsid w:val="4E2B2C17"/>
    <w:rsid w:val="4E375A60"/>
    <w:rsid w:val="4E4C7F4F"/>
    <w:rsid w:val="4E573A0C"/>
    <w:rsid w:val="4E600B13"/>
    <w:rsid w:val="4E796078"/>
    <w:rsid w:val="4EA11778"/>
    <w:rsid w:val="4EAD187E"/>
    <w:rsid w:val="4EB726FD"/>
    <w:rsid w:val="4EC00FAD"/>
    <w:rsid w:val="4ECD3CCE"/>
    <w:rsid w:val="4EEC684A"/>
    <w:rsid w:val="4EFE6975"/>
    <w:rsid w:val="4F2C2838"/>
    <w:rsid w:val="4F2C6272"/>
    <w:rsid w:val="4F473A81"/>
    <w:rsid w:val="4F5A37B4"/>
    <w:rsid w:val="4F8612AD"/>
    <w:rsid w:val="4F9843DC"/>
    <w:rsid w:val="4FB37368"/>
    <w:rsid w:val="4FB7233A"/>
    <w:rsid w:val="4FC62A8C"/>
    <w:rsid w:val="4FD01CC8"/>
    <w:rsid w:val="4FD35314"/>
    <w:rsid w:val="4FE20F0D"/>
    <w:rsid w:val="4FE51552"/>
    <w:rsid w:val="4FE61A40"/>
    <w:rsid w:val="4FE6773D"/>
    <w:rsid w:val="4FED1FE5"/>
    <w:rsid w:val="4FF26862"/>
    <w:rsid w:val="4FF818C6"/>
    <w:rsid w:val="4FFE6835"/>
    <w:rsid w:val="5015756D"/>
    <w:rsid w:val="501E2A33"/>
    <w:rsid w:val="503C110B"/>
    <w:rsid w:val="50485D02"/>
    <w:rsid w:val="50504C4B"/>
    <w:rsid w:val="5052092F"/>
    <w:rsid w:val="50566671"/>
    <w:rsid w:val="506A61CC"/>
    <w:rsid w:val="506F7733"/>
    <w:rsid w:val="50715259"/>
    <w:rsid w:val="5076286F"/>
    <w:rsid w:val="507D6477"/>
    <w:rsid w:val="50813689"/>
    <w:rsid w:val="50940F47"/>
    <w:rsid w:val="5099030C"/>
    <w:rsid w:val="509C6E7C"/>
    <w:rsid w:val="50A76ECD"/>
    <w:rsid w:val="50AA2519"/>
    <w:rsid w:val="50BE7D72"/>
    <w:rsid w:val="50C25AB5"/>
    <w:rsid w:val="50F36F86"/>
    <w:rsid w:val="50F90C4E"/>
    <w:rsid w:val="513E0EB3"/>
    <w:rsid w:val="514141DD"/>
    <w:rsid w:val="515F5A90"/>
    <w:rsid w:val="5162104E"/>
    <w:rsid w:val="5176689F"/>
    <w:rsid w:val="517F5754"/>
    <w:rsid w:val="51A67184"/>
    <w:rsid w:val="51AF590D"/>
    <w:rsid w:val="51C15D6C"/>
    <w:rsid w:val="51D718C7"/>
    <w:rsid w:val="51D860AE"/>
    <w:rsid w:val="51DF6918"/>
    <w:rsid w:val="51F36142"/>
    <w:rsid w:val="520133F3"/>
    <w:rsid w:val="521B3DAE"/>
    <w:rsid w:val="522400A9"/>
    <w:rsid w:val="5224454D"/>
    <w:rsid w:val="52247E25"/>
    <w:rsid w:val="522D51B0"/>
    <w:rsid w:val="523227C6"/>
    <w:rsid w:val="52422ECD"/>
    <w:rsid w:val="52595FA5"/>
    <w:rsid w:val="525A3D18"/>
    <w:rsid w:val="52675D8C"/>
    <w:rsid w:val="52685999"/>
    <w:rsid w:val="526C0FBC"/>
    <w:rsid w:val="528B0128"/>
    <w:rsid w:val="52976ACD"/>
    <w:rsid w:val="529E7E5B"/>
    <w:rsid w:val="52AB4326"/>
    <w:rsid w:val="52B33E0A"/>
    <w:rsid w:val="52EC506B"/>
    <w:rsid w:val="52F215DD"/>
    <w:rsid w:val="52F43F1F"/>
    <w:rsid w:val="52F45CCD"/>
    <w:rsid w:val="52FE4D9E"/>
    <w:rsid w:val="5302663C"/>
    <w:rsid w:val="53034162"/>
    <w:rsid w:val="533031C8"/>
    <w:rsid w:val="53401DFC"/>
    <w:rsid w:val="534C5B09"/>
    <w:rsid w:val="53513120"/>
    <w:rsid w:val="535624E4"/>
    <w:rsid w:val="535B1C79"/>
    <w:rsid w:val="537A2677"/>
    <w:rsid w:val="539D45B7"/>
    <w:rsid w:val="53A039CC"/>
    <w:rsid w:val="53A07C03"/>
    <w:rsid w:val="53A1505A"/>
    <w:rsid w:val="53A5521A"/>
    <w:rsid w:val="53AC47FA"/>
    <w:rsid w:val="53B13BBE"/>
    <w:rsid w:val="53B81B75"/>
    <w:rsid w:val="53CC27A6"/>
    <w:rsid w:val="53D67E62"/>
    <w:rsid w:val="53F65A75"/>
    <w:rsid w:val="53F73CC7"/>
    <w:rsid w:val="53FD6E04"/>
    <w:rsid w:val="53FE6180"/>
    <w:rsid w:val="54040192"/>
    <w:rsid w:val="54063E08"/>
    <w:rsid w:val="542645AC"/>
    <w:rsid w:val="5426635A"/>
    <w:rsid w:val="542C1497"/>
    <w:rsid w:val="543437E8"/>
    <w:rsid w:val="544669D6"/>
    <w:rsid w:val="544D7D8B"/>
    <w:rsid w:val="54574766"/>
    <w:rsid w:val="545F361A"/>
    <w:rsid w:val="545F73CF"/>
    <w:rsid w:val="5463791C"/>
    <w:rsid w:val="547B2BC3"/>
    <w:rsid w:val="54843081"/>
    <w:rsid w:val="54CD4A28"/>
    <w:rsid w:val="54D062C6"/>
    <w:rsid w:val="54F2623D"/>
    <w:rsid w:val="54F55D2D"/>
    <w:rsid w:val="54F73313"/>
    <w:rsid w:val="54F80955"/>
    <w:rsid w:val="55284354"/>
    <w:rsid w:val="55306D65"/>
    <w:rsid w:val="55397B6A"/>
    <w:rsid w:val="553E6CA6"/>
    <w:rsid w:val="554A55E4"/>
    <w:rsid w:val="555170A7"/>
    <w:rsid w:val="556F5ADF"/>
    <w:rsid w:val="55760C1C"/>
    <w:rsid w:val="55780E38"/>
    <w:rsid w:val="5587536D"/>
    <w:rsid w:val="558E2409"/>
    <w:rsid w:val="559A1FC3"/>
    <w:rsid w:val="559B174B"/>
    <w:rsid w:val="55A90FF1"/>
    <w:rsid w:val="55AE0F7D"/>
    <w:rsid w:val="55B278CA"/>
    <w:rsid w:val="55CE0CF4"/>
    <w:rsid w:val="55D853C4"/>
    <w:rsid w:val="55DB13C7"/>
    <w:rsid w:val="55E97640"/>
    <w:rsid w:val="55F85AD5"/>
    <w:rsid w:val="560A35A4"/>
    <w:rsid w:val="560E70A6"/>
    <w:rsid w:val="561724DD"/>
    <w:rsid w:val="56255FFE"/>
    <w:rsid w:val="56586573"/>
    <w:rsid w:val="56617B1E"/>
    <w:rsid w:val="566833FA"/>
    <w:rsid w:val="567333AD"/>
    <w:rsid w:val="56B22A9C"/>
    <w:rsid w:val="56C8194B"/>
    <w:rsid w:val="56CA56C3"/>
    <w:rsid w:val="56DC0F52"/>
    <w:rsid w:val="56F049FE"/>
    <w:rsid w:val="57460AC2"/>
    <w:rsid w:val="574E11B8"/>
    <w:rsid w:val="575472C8"/>
    <w:rsid w:val="57663C93"/>
    <w:rsid w:val="57686C8A"/>
    <w:rsid w:val="57803FD4"/>
    <w:rsid w:val="578A31A2"/>
    <w:rsid w:val="5797131D"/>
    <w:rsid w:val="579C55B7"/>
    <w:rsid w:val="57A8352A"/>
    <w:rsid w:val="57B679F5"/>
    <w:rsid w:val="57B72A76"/>
    <w:rsid w:val="57C3426C"/>
    <w:rsid w:val="57C77E54"/>
    <w:rsid w:val="57CE1F93"/>
    <w:rsid w:val="57F95B34"/>
    <w:rsid w:val="5820534E"/>
    <w:rsid w:val="5822341B"/>
    <w:rsid w:val="5827444F"/>
    <w:rsid w:val="582E08F1"/>
    <w:rsid w:val="58360688"/>
    <w:rsid w:val="5842700B"/>
    <w:rsid w:val="584D65AC"/>
    <w:rsid w:val="585F62DF"/>
    <w:rsid w:val="587753D7"/>
    <w:rsid w:val="5881404D"/>
    <w:rsid w:val="588310FC"/>
    <w:rsid w:val="588743D1"/>
    <w:rsid w:val="5887701A"/>
    <w:rsid w:val="58975A79"/>
    <w:rsid w:val="589F0489"/>
    <w:rsid w:val="58A46B3B"/>
    <w:rsid w:val="58DD68BA"/>
    <w:rsid w:val="58E14F46"/>
    <w:rsid w:val="590B3889"/>
    <w:rsid w:val="595810C6"/>
    <w:rsid w:val="59613582"/>
    <w:rsid w:val="59796F2C"/>
    <w:rsid w:val="59831B59"/>
    <w:rsid w:val="59C0439F"/>
    <w:rsid w:val="5A032C9A"/>
    <w:rsid w:val="5A0E58C7"/>
    <w:rsid w:val="5A427C66"/>
    <w:rsid w:val="5A4E2167"/>
    <w:rsid w:val="5A6F2C36"/>
    <w:rsid w:val="5A7B33DE"/>
    <w:rsid w:val="5A9C7376"/>
    <w:rsid w:val="5AAE70AA"/>
    <w:rsid w:val="5AB50438"/>
    <w:rsid w:val="5ABE2233"/>
    <w:rsid w:val="5AC67777"/>
    <w:rsid w:val="5B215ACE"/>
    <w:rsid w:val="5B2335F4"/>
    <w:rsid w:val="5B280C0A"/>
    <w:rsid w:val="5B465534"/>
    <w:rsid w:val="5B500403"/>
    <w:rsid w:val="5B6360E6"/>
    <w:rsid w:val="5B791466"/>
    <w:rsid w:val="5B90055D"/>
    <w:rsid w:val="5B9E711E"/>
    <w:rsid w:val="5BA5225B"/>
    <w:rsid w:val="5BB97AB4"/>
    <w:rsid w:val="5BDF5D95"/>
    <w:rsid w:val="5BEC7F89"/>
    <w:rsid w:val="5BEF34D6"/>
    <w:rsid w:val="5BFE7528"/>
    <w:rsid w:val="5C1D44E7"/>
    <w:rsid w:val="5C261130"/>
    <w:rsid w:val="5C31308B"/>
    <w:rsid w:val="5C5510C9"/>
    <w:rsid w:val="5C5563C3"/>
    <w:rsid w:val="5C5D5A52"/>
    <w:rsid w:val="5C606182"/>
    <w:rsid w:val="5C7D6D34"/>
    <w:rsid w:val="5C9F3C8C"/>
    <w:rsid w:val="5CA50038"/>
    <w:rsid w:val="5CA73599"/>
    <w:rsid w:val="5CBF734C"/>
    <w:rsid w:val="5CD03307"/>
    <w:rsid w:val="5CF02E92"/>
    <w:rsid w:val="5CF32BDE"/>
    <w:rsid w:val="5D1E0517"/>
    <w:rsid w:val="5D4E06D0"/>
    <w:rsid w:val="5D544D6E"/>
    <w:rsid w:val="5D573A29"/>
    <w:rsid w:val="5D6D6DA8"/>
    <w:rsid w:val="5D7E2D63"/>
    <w:rsid w:val="5D852344"/>
    <w:rsid w:val="5D902A97"/>
    <w:rsid w:val="5DA56542"/>
    <w:rsid w:val="5DAD3649"/>
    <w:rsid w:val="5DBE5B60"/>
    <w:rsid w:val="5DC91549"/>
    <w:rsid w:val="5E1E00A2"/>
    <w:rsid w:val="5E2467F1"/>
    <w:rsid w:val="5E504BDC"/>
    <w:rsid w:val="5E8819C0"/>
    <w:rsid w:val="5E8B3320"/>
    <w:rsid w:val="5E8C7702"/>
    <w:rsid w:val="5EA97F68"/>
    <w:rsid w:val="5EDB5B03"/>
    <w:rsid w:val="5EDC2437"/>
    <w:rsid w:val="5EEF3E9A"/>
    <w:rsid w:val="5EF37781"/>
    <w:rsid w:val="5EFF1C82"/>
    <w:rsid w:val="5F061196"/>
    <w:rsid w:val="5F1576F7"/>
    <w:rsid w:val="5F1A2B43"/>
    <w:rsid w:val="5F4536BD"/>
    <w:rsid w:val="5F4955F3"/>
    <w:rsid w:val="5F5C0E82"/>
    <w:rsid w:val="5F6B7317"/>
    <w:rsid w:val="5F700DD2"/>
    <w:rsid w:val="5F824661"/>
    <w:rsid w:val="5F827EA4"/>
    <w:rsid w:val="5F97010C"/>
    <w:rsid w:val="5FA42829"/>
    <w:rsid w:val="5FA840C8"/>
    <w:rsid w:val="5FB837BB"/>
    <w:rsid w:val="5FC15189"/>
    <w:rsid w:val="5FC5111D"/>
    <w:rsid w:val="5FD50C35"/>
    <w:rsid w:val="601D2D07"/>
    <w:rsid w:val="601E25DC"/>
    <w:rsid w:val="602045A6"/>
    <w:rsid w:val="608A1A1F"/>
    <w:rsid w:val="60A03405"/>
    <w:rsid w:val="60CC405A"/>
    <w:rsid w:val="60DB2249"/>
    <w:rsid w:val="60F17CF0"/>
    <w:rsid w:val="610D4460"/>
    <w:rsid w:val="612B2CDE"/>
    <w:rsid w:val="612C6F7A"/>
    <w:rsid w:val="613A3445"/>
    <w:rsid w:val="6162474A"/>
    <w:rsid w:val="617D2ED0"/>
    <w:rsid w:val="61826B9A"/>
    <w:rsid w:val="61923281"/>
    <w:rsid w:val="61946FF9"/>
    <w:rsid w:val="61A134C4"/>
    <w:rsid w:val="61C6117D"/>
    <w:rsid w:val="61DD07EB"/>
    <w:rsid w:val="61E215D8"/>
    <w:rsid w:val="61F07FA8"/>
    <w:rsid w:val="61F656FB"/>
    <w:rsid w:val="61FA04E5"/>
    <w:rsid w:val="620F042E"/>
    <w:rsid w:val="62143D16"/>
    <w:rsid w:val="621B3775"/>
    <w:rsid w:val="622424AD"/>
    <w:rsid w:val="62265778"/>
    <w:rsid w:val="62364782"/>
    <w:rsid w:val="624F1172"/>
    <w:rsid w:val="626544F2"/>
    <w:rsid w:val="626D15F8"/>
    <w:rsid w:val="627C6C70"/>
    <w:rsid w:val="628964F1"/>
    <w:rsid w:val="62AF39BF"/>
    <w:rsid w:val="62CC27C3"/>
    <w:rsid w:val="62D228BA"/>
    <w:rsid w:val="62D376AD"/>
    <w:rsid w:val="63051831"/>
    <w:rsid w:val="630B09B9"/>
    <w:rsid w:val="630E5001"/>
    <w:rsid w:val="630F4856"/>
    <w:rsid w:val="633640E0"/>
    <w:rsid w:val="63561A06"/>
    <w:rsid w:val="635F3637"/>
    <w:rsid w:val="63611187"/>
    <w:rsid w:val="6381535B"/>
    <w:rsid w:val="6394356A"/>
    <w:rsid w:val="63972DD1"/>
    <w:rsid w:val="639E2124"/>
    <w:rsid w:val="63A159FD"/>
    <w:rsid w:val="63A423C9"/>
    <w:rsid w:val="63AC0521"/>
    <w:rsid w:val="63C61B2C"/>
    <w:rsid w:val="63CF256B"/>
    <w:rsid w:val="63D40BE9"/>
    <w:rsid w:val="63F0603D"/>
    <w:rsid w:val="63F975E8"/>
    <w:rsid w:val="63FE69AC"/>
    <w:rsid w:val="640B731B"/>
    <w:rsid w:val="64102431"/>
    <w:rsid w:val="64414906"/>
    <w:rsid w:val="64610F68"/>
    <w:rsid w:val="64744EC0"/>
    <w:rsid w:val="64A5243A"/>
    <w:rsid w:val="64B259E8"/>
    <w:rsid w:val="64E77440"/>
    <w:rsid w:val="64F531DE"/>
    <w:rsid w:val="64F8164D"/>
    <w:rsid w:val="65084E45"/>
    <w:rsid w:val="65362175"/>
    <w:rsid w:val="65373578"/>
    <w:rsid w:val="6578278E"/>
    <w:rsid w:val="657D4B0B"/>
    <w:rsid w:val="65806BDC"/>
    <w:rsid w:val="65895900"/>
    <w:rsid w:val="65CC6FD3"/>
    <w:rsid w:val="65CE23AE"/>
    <w:rsid w:val="65D75707"/>
    <w:rsid w:val="65E9543A"/>
    <w:rsid w:val="65FE5225"/>
    <w:rsid w:val="65FF6A0B"/>
    <w:rsid w:val="66021693"/>
    <w:rsid w:val="66067596"/>
    <w:rsid w:val="661B7C6A"/>
    <w:rsid w:val="66287D10"/>
    <w:rsid w:val="66342B59"/>
    <w:rsid w:val="663645F7"/>
    <w:rsid w:val="663761A5"/>
    <w:rsid w:val="66392188"/>
    <w:rsid w:val="66522FDF"/>
    <w:rsid w:val="6683763C"/>
    <w:rsid w:val="66B3626A"/>
    <w:rsid w:val="66B477F6"/>
    <w:rsid w:val="66B772E6"/>
    <w:rsid w:val="66C8504F"/>
    <w:rsid w:val="66D120D5"/>
    <w:rsid w:val="66D71736"/>
    <w:rsid w:val="66EF4CD2"/>
    <w:rsid w:val="66FE3167"/>
    <w:rsid w:val="67066277"/>
    <w:rsid w:val="6712276E"/>
    <w:rsid w:val="671F124A"/>
    <w:rsid w:val="67216E03"/>
    <w:rsid w:val="67332E10"/>
    <w:rsid w:val="673418CF"/>
    <w:rsid w:val="675E3C80"/>
    <w:rsid w:val="677A33C6"/>
    <w:rsid w:val="677D408C"/>
    <w:rsid w:val="6796514D"/>
    <w:rsid w:val="67AB0BF9"/>
    <w:rsid w:val="67AB6E4B"/>
    <w:rsid w:val="67C9107F"/>
    <w:rsid w:val="67D11F3B"/>
    <w:rsid w:val="67D55D1F"/>
    <w:rsid w:val="67ED5BE9"/>
    <w:rsid w:val="68103152"/>
    <w:rsid w:val="681F6961"/>
    <w:rsid w:val="6841155D"/>
    <w:rsid w:val="68610A2F"/>
    <w:rsid w:val="68805514"/>
    <w:rsid w:val="688B27D8"/>
    <w:rsid w:val="68A65864"/>
    <w:rsid w:val="68C40D40"/>
    <w:rsid w:val="68CB7F8C"/>
    <w:rsid w:val="68E1064A"/>
    <w:rsid w:val="68E85E7D"/>
    <w:rsid w:val="68ED6FEF"/>
    <w:rsid w:val="690B56C7"/>
    <w:rsid w:val="692A1FF1"/>
    <w:rsid w:val="69316E2F"/>
    <w:rsid w:val="69320EA6"/>
    <w:rsid w:val="69482477"/>
    <w:rsid w:val="694E2071"/>
    <w:rsid w:val="695157D0"/>
    <w:rsid w:val="695452C0"/>
    <w:rsid w:val="695D5187"/>
    <w:rsid w:val="695D5F23"/>
    <w:rsid w:val="696C260A"/>
    <w:rsid w:val="696F5C56"/>
    <w:rsid w:val="69766163"/>
    <w:rsid w:val="69766FE4"/>
    <w:rsid w:val="697A3B33"/>
    <w:rsid w:val="69886D18"/>
    <w:rsid w:val="698D7E01"/>
    <w:rsid w:val="69AB1B2C"/>
    <w:rsid w:val="69B5136B"/>
    <w:rsid w:val="69CA7330"/>
    <w:rsid w:val="69D446AB"/>
    <w:rsid w:val="69D44760"/>
    <w:rsid w:val="69E44896"/>
    <w:rsid w:val="69F50851"/>
    <w:rsid w:val="69FC1BE0"/>
    <w:rsid w:val="6A0B3BD1"/>
    <w:rsid w:val="6A0B4BDE"/>
    <w:rsid w:val="6A130CD7"/>
    <w:rsid w:val="6A1D3904"/>
    <w:rsid w:val="6A3550F2"/>
    <w:rsid w:val="6A3A44B6"/>
    <w:rsid w:val="6A3B76A2"/>
    <w:rsid w:val="6A415FFE"/>
    <w:rsid w:val="6A42336B"/>
    <w:rsid w:val="6A520EC7"/>
    <w:rsid w:val="6A615EE7"/>
    <w:rsid w:val="6A701C86"/>
    <w:rsid w:val="6A86261B"/>
    <w:rsid w:val="6A8A6BF9"/>
    <w:rsid w:val="6A9A5D2F"/>
    <w:rsid w:val="6AA72C77"/>
    <w:rsid w:val="6AB33AF9"/>
    <w:rsid w:val="6ABC7372"/>
    <w:rsid w:val="6AD93CCF"/>
    <w:rsid w:val="6AE54422"/>
    <w:rsid w:val="6AF52D3C"/>
    <w:rsid w:val="6AF87E20"/>
    <w:rsid w:val="6B107358"/>
    <w:rsid w:val="6B1158C1"/>
    <w:rsid w:val="6B2667E8"/>
    <w:rsid w:val="6B2D401B"/>
    <w:rsid w:val="6B322639"/>
    <w:rsid w:val="6B36681D"/>
    <w:rsid w:val="6B3D24B0"/>
    <w:rsid w:val="6B4249F1"/>
    <w:rsid w:val="6B482C03"/>
    <w:rsid w:val="6B8005EE"/>
    <w:rsid w:val="6B910106"/>
    <w:rsid w:val="6B967A7B"/>
    <w:rsid w:val="6B9E4FF3"/>
    <w:rsid w:val="6BAF2C82"/>
    <w:rsid w:val="6BCF0C2E"/>
    <w:rsid w:val="6BCF6E80"/>
    <w:rsid w:val="6BD91AAD"/>
    <w:rsid w:val="6BEB3DEF"/>
    <w:rsid w:val="6C0253F6"/>
    <w:rsid w:val="6C283CFA"/>
    <w:rsid w:val="6C4E5FF7"/>
    <w:rsid w:val="6C636C38"/>
    <w:rsid w:val="6CA259F6"/>
    <w:rsid w:val="6CC17839"/>
    <w:rsid w:val="6CD01102"/>
    <w:rsid w:val="6CD3474E"/>
    <w:rsid w:val="6D323B6A"/>
    <w:rsid w:val="6D4A2C62"/>
    <w:rsid w:val="6D54763D"/>
    <w:rsid w:val="6D5E428B"/>
    <w:rsid w:val="6D7101EF"/>
    <w:rsid w:val="6D7221B9"/>
    <w:rsid w:val="6D8343C6"/>
    <w:rsid w:val="6D941A92"/>
    <w:rsid w:val="6DA265FA"/>
    <w:rsid w:val="6DAA5E2B"/>
    <w:rsid w:val="6DAD0C7C"/>
    <w:rsid w:val="6DB34098"/>
    <w:rsid w:val="6DB545B6"/>
    <w:rsid w:val="6DD4559C"/>
    <w:rsid w:val="6DE02FB4"/>
    <w:rsid w:val="6DF350A8"/>
    <w:rsid w:val="6E1A0C9F"/>
    <w:rsid w:val="6E2F772D"/>
    <w:rsid w:val="6E4A7212"/>
    <w:rsid w:val="6E514CED"/>
    <w:rsid w:val="6E5673E4"/>
    <w:rsid w:val="6E580AE7"/>
    <w:rsid w:val="6E641B01"/>
    <w:rsid w:val="6E6C4E5A"/>
    <w:rsid w:val="6EB15DA1"/>
    <w:rsid w:val="6EB563D5"/>
    <w:rsid w:val="6EC9405A"/>
    <w:rsid w:val="6ECE1671"/>
    <w:rsid w:val="6ED92677"/>
    <w:rsid w:val="6EE60768"/>
    <w:rsid w:val="6EE863A0"/>
    <w:rsid w:val="6EFA06B8"/>
    <w:rsid w:val="6F045092"/>
    <w:rsid w:val="6F156595"/>
    <w:rsid w:val="6F16342F"/>
    <w:rsid w:val="6F1B29C7"/>
    <w:rsid w:val="6F225983"/>
    <w:rsid w:val="6F3A0AB4"/>
    <w:rsid w:val="6F3C2A7E"/>
    <w:rsid w:val="6F3C68D8"/>
    <w:rsid w:val="6F8F6E20"/>
    <w:rsid w:val="6F914B78"/>
    <w:rsid w:val="6F9C52CB"/>
    <w:rsid w:val="6FBC1944"/>
    <w:rsid w:val="6FC22D92"/>
    <w:rsid w:val="6FCF56A0"/>
    <w:rsid w:val="6FFC5590"/>
    <w:rsid w:val="70082960"/>
    <w:rsid w:val="70170310"/>
    <w:rsid w:val="702E23C7"/>
    <w:rsid w:val="70383246"/>
    <w:rsid w:val="705931BC"/>
    <w:rsid w:val="706633D4"/>
    <w:rsid w:val="706D1DD0"/>
    <w:rsid w:val="707029DF"/>
    <w:rsid w:val="70734297"/>
    <w:rsid w:val="70755EE8"/>
    <w:rsid w:val="707B416A"/>
    <w:rsid w:val="7082660A"/>
    <w:rsid w:val="70856B87"/>
    <w:rsid w:val="708D1DA0"/>
    <w:rsid w:val="709541F4"/>
    <w:rsid w:val="709E023C"/>
    <w:rsid w:val="70AB3A18"/>
    <w:rsid w:val="70B12FF8"/>
    <w:rsid w:val="70B36ADA"/>
    <w:rsid w:val="70B623BC"/>
    <w:rsid w:val="70C20D61"/>
    <w:rsid w:val="70D527EE"/>
    <w:rsid w:val="70D56CE6"/>
    <w:rsid w:val="70D6480D"/>
    <w:rsid w:val="70EB02B8"/>
    <w:rsid w:val="71024EE2"/>
    <w:rsid w:val="713D7E0D"/>
    <w:rsid w:val="71526589"/>
    <w:rsid w:val="715B5300"/>
    <w:rsid w:val="718F3339"/>
    <w:rsid w:val="71902C0D"/>
    <w:rsid w:val="71946BA2"/>
    <w:rsid w:val="7196487C"/>
    <w:rsid w:val="7198284B"/>
    <w:rsid w:val="71AF4F39"/>
    <w:rsid w:val="71C34D91"/>
    <w:rsid w:val="71D27F8A"/>
    <w:rsid w:val="71D90A58"/>
    <w:rsid w:val="72031631"/>
    <w:rsid w:val="720553A9"/>
    <w:rsid w:val="72055A29"/>
    <w:rsid w:val="72192C03"/>
    <w:rsid w:val="723143F0"/>
    <w:rsid w:val="723637B5"/>
    <w:rsid w:val="723E2669"/>
    <w:rsid w:val="724203AC"/>
    <w:rsid w:val="725400DF"/>
    <w:rsid w:val="72553024"/>
    <w:rsid w:val="726245AA"/>
    <w:rsid w:val="726F4F19"/>
    <w:rsid w:val="727349D0"/>
    <w:rsid w:val="728814DC"/>
    <w:rsid w:val="728F14BC"/>
    <w:rsid w:val="729606F7"/>
    <w:rsid w:val="729D55E2"/>
    <w:rsid w:val="72CC2C9C"/>
    <w:rsid w:val="72D47073"/>
    <w:rsid w:val="72E6453D"/>
    <w:rsid w:val="72F746D9"/>
    <w:rsid w:val="73025D8D"/>
    <w:rsid w:val="730A5799"/>
    <w:rsid w:val="730E4732"/>
    <w:rsid w:val="73122968"/>
    <w:rsid w:val="731F5D5E"/>
    <w:rsid w:val="732950C8"/>
    <w:rsid w:val="73440153"/>
    <w:rsid w:val="734F0FD2"/>
    <w:rsid w:val="739369E5"/>
    <w:rsid w:val="7399224D"/>
    <w:rsid w:val="73BF4C56"/>
    <w:rsid w:val="73C51AD5"/>
    <w:rsid w:val="73C66DBA"/>
    <w:rsid w:val="73D913D8"/>
    <w:rsid w:val="74026044"/>
    <w:rsid w:val="741E793C"/>
    <w:rsid w:val="74277859"/>
    <w:rsid w:val="74281823"/>
    <w:rsid w:val="74324450"/>
    <w:rsid w:val="743E6263"/>
    <w:rsid w:val="74405C3C"/>
    <w:rsid w:val="74566390"/>
    <w:rsid w:val="745E3944"/>
    <w:rsid w:val="74626AE3"/>
    <w:rsid w:val="749E3893"/>
    <w:rsid w:val="74B20EAC"/>
    <w:rsid w:val="74C4779E"/>
    <w:rsid w:val="74CD6397"/>
    <w:rsid w:val="74E219D2"/>
    <w:rsid w:val="74F3598D"/>
    <w:rsid w:val="750000AA"/>
    <w:rsid w:val="75001EA0"/>
    <w:rsid w:val="75030280"/>
    <w:rsid w:val="750E27C7"/>
    <w:rsid w:val="75377F70"/>
    <w:rsid w:val="753D57AB"/>
    <w:rsid w:val="75495E5E"/>
    <w:rsid w:val="75671ED7"/>
    <w:rsid w:val="7577036C"/>
    <w:rsid w:val="75A43B80"/>
    <w:rsid w:val="75B32FBC"/>
    <w:rsid w:val="75B83D1E"/>
    <w:rsid w:val="75CE1F56"/>
    <w:rsid w:val="75F419BD"/>
    <w:rsid w:val="761315F7"/>
    <w:rsid w:val="761738FD"/>
    <w:rsid w:val="7635099D"/>
    <w:rsid w:val="7643082D"/>
    <w:rsid w:val="76571277"/>
    <w:rsid w:val="765E32DA"/>
    <w:rsid w:val="767632BF"/>
    <w:rsid w:val="76880357"/>
    <w:rsid w:val="76AC673B"/>
    <w:rsid w:val="76DF08BF"/>
    <w:rsid w:val="76EB6381"/>
    <w:rsid w:val="76EF3976"/>
    <w:rsid w:val="771649D8"/>
    <w:rsid w:val="77212C85"/>
    <w:rsid w:val="772B3B04"/>
    <w:rsid w:val="774D3A7A"/>
    <w:rsid w:val="77512E3F"/>
    <w:rsid w:val="776568A2"/>
    <w:rsid w:val="77762421"/>
    <w:rsid w:val="777F4BFF"/>
    <w:rsid w:val="77B533CE"/>
    <w:rsid w:val="77B56B1F"/>
    <w:rsid w:val="77BC29AE"/>
    <w:rsid w:val="780A7907"/>
    <w:rsid w:val="780F09F4"/>
    <w:rsid w:val="783562BD"/>
    <w:rsid w:val="784655B3"/>
    <w:rsid w:val="788A485A"/>
    <w:rsid w:val="789D14E5"/>
    <w:rsid w:val="78A90480"/>
    <w:rsid w:val="78AA6728"/>
    <w:rsid w:val="78AF606F"/>
    <w:rsid w:val="78B35B5F"/>
    <w:rsid w:val="78B935CD"/>
    <w:rsid w:val="78CF29C5"/>
    <w:rsid w:val="78D6184E"/>
    <w:rsid w:val="78DE0702"/>
    <w:rsid w:val="78E026CC"/>
    <w:rsid w:val="78E56E93"/>
    <w:rsid w:val="78EA79E3"/>
    <w:rsid w:val="7919798C"/>
    <w:rsid w:val="792A1B99"/>
    <w:rsid w:val="796C7B8A"/>
    <w:rsid w:val="79712D2A"/>
    <w:rsid w:val="79773031"/>
    <w:rsid w:val="798C6C5F"/>
    <w:rsid w:val="79C773E8"/>
    <w:rsid w:val="79DC27FB"/>
    <w:rsid w:val="79F857F4"/>
    <w:rsid w:val="79FA156C"/>
    <w:rsid w:val="7A147F2D"/>
    <w:rsid w:val="7A2605B3"/>
    <w:rsid w:val="7A364017"/>
    <w:rsid w:val="7A3C3932"/>
    <w:rsid w:val="7A4F18B8"/>
    <w:rsid w:val="7A5D34A8"/>
    <w:rsid w:val="7A7430CC"/>
    <w:rsid w:val="7A757F82"/>
    <w:rsid w:val="7A807CC3"/>
    <w:rsid w:val="7A8265E1"/>
    <w:rsid w:val="7A9279F6"/>
    <w:rsid w:val="7AAD4830"/>
    <w:rsid w:val="7AB14F4C"/>
    <w:rsid w:val="7AF34939"/>
    <w:rsid w:val="7B0C4543"/>
    <w:rsid w:val="7B263E7A"/>
    <w:rsid w:val="7B315461"/>
    <w:rsid w:val="7B557EC1"/>
    <w:rsid w:val="7B686D42"/>
    <w:rsid w:val="7B8276EE"/>
    <w:rsid w:val="7B841746"/>
    <w:rsid w:val="7B9A4DB4"/>
    <w:rsid w:val="7B9B0B2D"/>
    <w:rsid w:val="7BAE0860"/>
    <w:rsid w:val="7BBC11CF"/>
    <w:rsid w:val="7BCC6F38"/>
    <w:rsid w:val="7BCF1CF7"/>
    <w:rsid w:val="7BD36518"/>
    <w:rsid w:val="7BF07C54"/>
    <w:rsid w:val="7C156B31"/>
    <w:rsid w:val="7C2C5863"/>
    <w:rsid w:val="7C3D3992"/>
    <w:rsid w:val="7C4411C4"/>
    <w:rsid w:val="7C6C5AC7"/>
    <w:rsid w:val="7C7278F9"/>
    <w:rsid w:val="7C817D22"/>
    <w:rsid w:val="7C885555"/>
    <w:rsid w:val="7C9E08D4"/>
    <w:rsid w:val="7CC6544B"/>
    <w:rsid w:val="7CC70291"/>
    <w:rsid w:val="7CE16DC7"/>
    <w:rsid w:val="7CEC5AE4"/>
    <w:rsid w:val="7D0239FF"/>
    <w:rsid w:val="7D032E2D"/>
    <w:rsid w:val="7D321908"/>
    <w:rsid w:val="7D5E40CD"/>
    <w:rsid w:val="7D697134"/>
    <w:rsid w:val="7D8E26F7"/>
    <w:rsid w:val="7D926908"/>
    <w:rsid w:val="7DB9159F"/>
    <w:rsid w:val="7DBF0B02"/>
    <w:rsid w:val="7DC70B62"/>
    <w:rsid w:val="7DCD56F2"/>
    <w:rsid w:val="7DCF4ABD"/>
    <w:rsid w:val="7DE26849"/>
    <w:rsid w:val="7DE92023"/>
    <w:rsid w:val="7DEF0220"/>
    <w:rsid w:val="7DF406C0"/>
    <w:rsid w:val="7E21356B"/>
    <w:rsid w:val="7E265025"/>
    <w:rsid w:val="7E3E236F"/>
    <w:rsid w:val="7E633B84"/>
    <w:rsid w:val="7E896C87"/>
    <w:rsid w:val="7E8A7F92"/>
    <w:rsid w:val="7E9B406E"/>
    <w:rsid w:val="7EA042AE"/>
    <w:rsid w:val="7EA810CD"/>
    <w:rsid w:val="7EAA134C"/>
    <w:rsid w:val="7EB35812"/>
    <w:rsid w:val="7EED5B43"/>
    <w:rsid w:val="7F001CE7"/>
    <w:rsid w:val="7F0709B3"/>
    <w:rsid w:val="7F0B2B21"/>
    <w:rsid w:val="7F144E7E"/>
    <w:rsid w:val="7F1F1D45"/>
    <w:rsid w:val="7F50102C"/>
    <w:rsid w:val="7F8042C1"/>
    <w:rsid w:val="7FE13897"/>
    <w:rsid w:val="7FE47E50"/>
    <w:rsid w:val="7FFD2DD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unhideWhenUsed="0" w:uiPriority="0" w:name="annotation text"/>
    <w:lsdException w:qFormat="1"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29"/>
    <w:autoRedefine/>
    <w:qFormat/>
    <w:locked/>
    <w:uiPriority w:val="0"/>
    <w:pPr>
      <w:keepNext/>
      <w:keepLines/>
      <w:spacing w:before="260" w:after="260" w:line="416" w:lineRule="auto"/>
      <w:outlineLvl w:val="2"/>
    </w:pPr>
    <w:rPr>
      <w:b/>
      <w:bCs/>
      <w:sz w:val="32"/>
      <w:szCs w:val="32"/>
    </w:rPr>
  </w:style>
  <w:style w:type="paragraph" w:styleId="4">
    <w:name w:val="heading 4"/>
    <w:basedOn w:val="1"/>
    <w:next w:val="1"/>
    <w:autoRedefine/>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25">
    <w:name w:val="Default Paragraph Font"/>
    <w:semiHidden/>
    <w:uiPriority w:val="0"/>
  </w:style>
  <w:style w:type="table" w:default="1" w:styleId="23">
    <w:name w:val="Normal Table"/>
    <w:semiHidden/>
    <w:uiPriority w:val="0"/>
    <w:tblPr>
      <w:tblCellMar>
        <w:top w:w="0" w:type="dxa"/>
        <w:left w:w="108" w:type="dxa"/>
        <w:bottom w:w="0" w:type="dxa"/>
        <w:right w:w="108" w:type="dxa"/>
      </w:tblCellMar>
    </w:tblPr>
  </w:style>
  <w:style w:type="paragraph" w:styleId="5">
    <w:name w:val="table of authorities"/>
    <w:basedOn w:val="1"/>
    <w:next w:val="1"/>
    <w:semiHidden/>
    <w:qFormat/>
    <w:locked/>
    <w:uiPriority w:val="0"/>
    <w:pPr>
      <w:ind w:left="420" w:leftChars="200"/>
    </w:pPr>
    <w:rPr>
      <w:rFonts w:cs="宋体"/>
    </w:rPr>
  </w:style>
  <w:style w:type="paragraph" w:styleId="6">
    <w:name w:val="Normal Indent"/>
    <w:basedOn w:val="1"/>
    <w:next w:val="4"/>
    <w:unhideWhenUsed/>
    <w:qFormat/>
    <w:locked/>
    <w:uiPriority w:val="0"/>
    <w:pPr>
      <w:ind w:firstLine="420" w:firstLineChars="200"/>
    </w:pPr>
  </w:style>
  <w:style w:type="paragraph" w:styleId="7">
    <w:name w:val="annotation text"/>
    <w:basedOn w:val="1"/>
    <w:link w:val="30"/>
    <w:semiHidden/>
    <w:uiPriority w:val="0"/>
    <w:pPr>
      <w:jc w:val="left"/>
    </w:pPr>
    <w:rPr>
      <w:kern w:val="0"/>
      <w:sz w:val="24"/>
      <w:szCs w:val="20"/>
    </w:rPr>
  </w:style>
  <w:style w:type="paragraph" w:styleId="8">
    <w:name w:val="Body Text"/>
    <w:basedOn w:val="1"/>
    <w:next w:val="9"/>
    <w:link w:val="31"/>
    <w:uiPriority w:val="0"/>
    <w:pPr>
      <w:widowControl/>
      <w:snapToGrid w:val="0"/>
      <w:spacing w:before="60" w:after="160" w:line="259" w:lineRule="auto"/>
      <w:ind w:right="113"/>
    </w:pPr>
    <w:rPr>
      <w:kern w:val="0"/>
      <w:sz w:val="18"/>
      <w:szCs w:val="20"/>
    </w:rPr>
  </w:style>
  <w:style w:type="paragraph" w:customStyle="1" w:styleId="9">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0">
    <w:name w:val="Body Text Indent"/>
    <w:basedOn w:val="1"/>
    <w:link w:val="32"/>
    <w:uiPriority w:val="0"/>
    <w:pPr>
      <w:spacing w:after="120"/>
      <w:ind w:left="420" w:leftChars="200"/>
    </w:pPr>
    <w:rPr>
      <w:kern w:val="0"/>
      <w:sz w:val="24"/>
      <w:szCs w:val="20"/>
    </w:rPr>
  </w:style>
  <w:style w:type="paragraph" w:styleId="11">
    <w:name w:val="Plain Text"/>
    <w:basedOn w:val="1"/>
    <w:next w:val="1"/>
    <w:qFormat/>
    <w:locked/>
    <w:uiPriority w:val="0"/>
    <w:rPr>
      <w:rFonts w:ascii="宋体" w:hAnsi="Courier New" w:cs="Courier New"/>
      <w:szCs w:val="21"/>
    </w:rPr>
  </w:style>
  <w:style w:type="paragraph" w:styleId="12">
    <w:name w:val="Date"/>
    <w:basedOn w:val="1"/>
    <w:next w:val="1"/>
    <w:link w:val="33"/>
    <w:qFormat/>
    <w:uiPriority w:val="0"/>
    <w:pPr>
      <w:ind w:left="100" w:leftChars="2500"/>
    </w:pPr>
    <w:rPr>
      <w:kern w:val="0"/>
      <w:sz w:val="24"/>
      <w:szCs w:val="20"/>
    </w:rPr>
  </w:style>
  <w:style w:type="paragraph" w:styleId="13">
    <w:name w:val="Body Text Indent 2"/>
    <w:basedOn w:val="1"/>
    <w:autoRedefine/>
    <w:qFormat/>
    <w:locked/>
    <w:uiPriority w:val="0"/>
    <w:pPr>
      <w:spacing w:line="560" w:lineRule="exact"/>
      <w:ind w:firstLine="480" w:firstLineChars="200"/>
    </w:pPr>
    <w:rPr>
      <w:rFonts w:hAnsi="宋体"/>
      <w:sz w:val="24"/>
    </w:rPr>
  </w:style>
  <w:style w:type="paragraph" w:styleId="14">
    <w:name w:val="Balloon Text"/>
    <w:basedOn w:val="1"/>
    <w:link w:val="34"/>
    <w:autoRedefine/>
    <w:semiHidden/>
    <w:qFormat/>
    <w:uiPriority w:val="0"/>
    <w:rPr>
      <w:kern w:val="0"/>
      <w:sz w:val="18"/>
      <w:szCs w:val="20"/>
    </w:rPr>
  </w:style>
  <w:style w:type="paragraph" w:styleId="15">
    <w:name w:val="footer"/>
    <w:basedOn w:val="1"/>
    <w:link w:val="35"/>
    <w:autoRedefine/>
    <w:uiPriority w:val="99"/>
    <w:pPr>
      <w:tabs>
        <w:tab w:val="center" w:pos="4153"/>
        <w:tab w:val="right" w:pos="8306"/>
      </w:tabs>
      <w:snapToGrid w:val="0"/>
      <w:jc w:val="left"/>
    </w:pPr>
    <w:rPr>
      <w:kern w:val="0"/>
      <w:sz w:val="18"/>
      <w:szCs w:val="20"/>
    </w:rPr>
  </w:style>
  <w:style w:type="paragraph" w:styleId="16">
    <w:name w:val="header"/>
    <w:basedOn w:val="1"/>
    <w:link w:val="3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autoRedefine/>
    <w:qFormat/>
    <w:locked/>
    <w:uiPriority w:val="0"/>
    <w:pPr>
      <w:adjustRightInd w:val="0"/>
      <w:jc w:val="center"/>
      <w:textAlignment w:val="baseline"/>
    </w:pPr>
    <w:rPr>
      <w:szCs w:val="20"/>
    </w:rPr>
  </w:style>
  <w:style w:type="paragraph" w:styleId="18">
    <w:name w:val="Body Text Indent 3"/>
    <w:basedOn w:val="1"/>
    <w:link w:val="37"/>
    <w:qFormat/>
    <w:locked/>
    <w:uiPriority w:val="0"/>
    <w:pPr>
      <w:spacing w:after="120"/>
      <w:ind w:left="420" w:leftChars="200"/>
    </w:pPr>
    <w:rPr>
      <w:sz w:val="16"/>
      <w:szCs w:val="16"/>
    </w:rPr>
  </w:style>
  <w:style w:type="paragraph" w:styleId="19">
    <w:name w:val="toc 2"/>
    <w:basedOn w:val="1"/>
    <w:next w:val="1"/>
    <w:autoRedefine/>
    <w:qFormat/>
    <w:locked/>
    <w:uiPriority w:val="39"/>
    <w:pPr>
      <w:ind w:left="420" w:leftChars="200"/>
    </w:pPr>
  </w:style>
  <w:style w:type="paragraph" w:styleId="20">
    <w:name w:val="Normal (Web)"/>
    <w:basedOn w:val="1"/>
    <w:link w:val="38"/>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39"/>
    <w:qFormat/>
    <w:uiPriority w:val="0"/>
    <w:rPr>
      <w:b/>
      <w:kern w:val="2"/>
    </w:rPr>
  </w:style>
  <w:style w:type="paragraph" w:styleId="22">
    <w:name w:val="Body Text First Indent 2"/>
    <w:basedOn w:val="10"/>
    <w:autoRedefine/>
    <w:qFormat/>
    <w:locked/>
    <w:uiPriority w:val="0"/>
    <w:pPr>
      <w:widowControl w:val="0"/>
      <w:spacing w:after="120" w:line="240" w:lineRule="auto"/>
      <w:ind w:left="420" w:leftChars="200" w:firstLine="420"/>
    </w:pPr>
    <w:rPr>
      <w:rFonts w:ascii="Arial" w:hAnsi="Arial"/>
      <w:vanish/>
      <w:sz w:val="16"/>
      <w:szCs w:val="20"/>
      <w:lang w:val="en-US" w:eastAsia="zh-CN"/>
    </w:rPr>
  </w:style>
  <w:style w:type="table" w:styleId="24">
    <w:name w:val="Table Grid"/>
    <w:basedOn w:val="23"/>
    <w:autoRedefine/>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autoRedefine/>
    <w:qFormat/>
    <w:locked/>
    <w:uiPriority w:val="0"/>
  </w:style>
  <w:style w:type="character" w:styleId="27">
    <w:name w:val="Hyperlink"/>
    <w:basedOn w:val="25"/>
    <w:autoRedefine/>
    <w:locked/>
    <w:uiPriority w:val="0"/>
    <w:rPr>
      <w:color w:val="0000FF"/>
      <w:u w:val="single"/>
    </w:rPr>
  </w:style>
  <w:style w:type="character" w:styleId="28">
    <w:name w:val="annotation reference"/>
    <w:autoRedefine/>
    <w:semiHidden/>
    <w:qFormat/>
    <w:uiPriority w:val="0"/>
    <w:rPr>
      <w:sz w:val="21"/>
    </w:rPr>
  </w:style>
  <w:style w:type="character" w:customStyle="1" w:styleId="29">
    <w:name w:val="标题 3 Char"/>
    <w:link w:val="3"/>
    <w:semiHidden/>
    <w:qFormat/>
    <w:uiPriority w:val="0"/>
    <w:rPr>
      <w:b/>
      <w:bCs/>
      <w:kern w:val="2"/>
      <w:sz w:val="32"/>
      <w:szCs w:val="32"/>
    </w:rPr>
  </w:style>
  <w:style w:type="character" w:customStyle="1" w:styleId="30">
    <w:name w:val="批注文字 Char"/>
    <w:link w:val="7"/>
    <w:autoRedefine/>
    <w:locked/>
    <w:uiPriority w:val="0"/>
    <w:rPr>
      <w:rFonts w:ascii="Times New Roman" w:hAnsi="Times New Roman" w:eastAsia="宋体"/>
      <w:sz w:val="24"/>
    </w:rPr>
  </w:style>
  <w:style w:type="character" w:customStyle="1" w:styleId="31">
    <w:name w:val="正文文本 Char"/>
    <w:link w:val="8"/>
    <w:autoRedefine/>
    <w:qFormat/>
    <w:locked/>
    <w:uiPriority w:val="0"/>
    <w:rPr>
      <w:sz w:val="18"/>
    </w:rPr>
  </w:style>
  <w:style w:type="character" w:customStyle="1" w:styleId="32">
    <w:name w:val="正文文本缩进 Char"/>
    <w:link w:val="10"/>
    <w:semiHidden/>
    <w:qFormat/>
    <w:locked/>
    <w:uiPriority w:val="0"/>
    <w:rPr>
      <w:rFonts w:ascii="Times New Roman" w:hAnsi="Times New Roman" w:eastAsia="宋体"/>
      <w:sz w:val="24"/>
    </w:rPr>
  </w:style>
  <w:style w:type="character" w:customStyle="1" w:styleId="33">
    <w:name w:val="日期 Char"/>
    <w:link w:val="12"/>
    <w:autoRedefine/>
    <w:locked/>
    <w:uiPriority w:val="0"/>
    <w:rPr>
      <w:rFonts w:ascii="Times New Roman" w:hAnsi="Times New Roman" w:eastAsia="宋体"/>
      <w:sz w:val="24"/>
    </w:rPr>
  </w:style>
  <w:style w:type="character" w:customStyle="1" w:styleId="34">
    <w:name w:val="批注框文本 Char"/>
    <w:link w:val="14"/>
    <w:autoRedefine/>
    <w:semiHidden/>
    <w:qFormat/>
    <w:locked/>
    <w:uiPriority w:val="0"/>
    <w:rPr>
      <w:rFonts w:ascii="Times New Roman" w:hAnsi="Times New Roman" w:eastAsia="宋体"/>
      <w:sz w:val="18"/>
    </w:rPr>
  </w:style>
  <w:style w:type="character" w:customStyle="1" w:styleId="35">
    <w:name w:val="页脚 Char"/>
    <w:link w:val="15"/>
    <w:qFormat/>
    <w:locked/>
    <w:uiPriority w:val="99"/>
    <w:rPr>
      <w:sz w:val="18"/>
    </w:rPr>
  </w:style>
  <w:style w:type="character" w:customStyle="1" w:styleId="36">
    <w:name w:val="页眉 Char"/>
    <w:link w:val="16"/>
    <w:autoRedefine/>
    <w:locked/>
    <w:uiPriority w:val="0"/>
    <w:rPr>
      <w:sz w:val="18"/>
    </w:rPr>
  </w:style>
  <w:style w:type="character" w:customStyle="1" w:styleId="37">
    <w:name w:val="正文文本缩进 3 Char"/>
    <w:link w:val="18"/>
    <w:autoRedefine/>
    <w:qFormat/>
    <w:uiPriority w:val="0"/>
    <w:rPr>
      <w:kern w:val="2"/>
      <w:sz w:val="16"/>
      <w:szCs w:val="16"/>
    </w:rPr>
  </w:style>
  <w:style w:type="character" w:customStyle="1" w:styleId="38">
    <w:name w:val="普通(网站) Char"/>
    <w:link w:val="20"/>
    <w:qFormat/>
    <w:locked/>
    <w:uiPriority w:val="0"/>
    <w:rPr>
      <w:rFonts w:ascii="宋体" w:hAnsi="宋体" w:eastAsia="宋体"/>
      <w:sz w:val="24"/>
    </w:rPr>
  </w:style>
  <w:style w:type="character" w:customStyle="1" w:styleId="39">
    <w:name w:val="批注主题 Char"/>
    <w:link w:val="21"/>
    <w:autoRedefine/>
    <w:qFormat/>
    <w:locked/>
    <w:uiPriority w:val="0"/>
    <w:rPr>
      <w:rFonts w:ascii="Times New Roman" w:hAnsi="Times New Roman" w:eastAsia="宋体"/>
      <w:b/>
      <w:kern w:val="2"/>
      <w:sz w:val="24"/>
    </w:rPr>
  </w:style>
  <w:style w:type="paragraph" w:customStyle="1" w:styleId="40">
    <w:name w:val="Default"/>
    <w:autoRedefine/>
    <w:qFormat/>
    <w:uiPriority w:val="0"/>
    <w:pPr>
      <w:widowControl w:val="0"/>
      <w:autoSpaceDE w:val="0"/>
      <w:autoSpaceDN w:val="0"/>
      <w:adjustRightInd w:val="0"/>
      <w:spacing w:line="0" w:lineRule="atLeast"/>
      <w:jc w:val="center"/>
    </w:pPr>
    <w:rPr>
      <w:rFonts w:ascii="仿宋_GB2312" w:hAnsi="Times New Roman" w:eastAsia="仿宋_GB2312" w:cs="仿宋_GB2312"/>
      <w:color w:val="000000"/>
      <w:sz w:val="24"/>
      <w:szCs w:val="24"/>
      <w:lang w:val="en-US" w:eastAsia="zh-CN" w:bidi="ar-SA"/>
    </w:rPr>
  </w:style>
  <w:style w:type="character" w:customStyle="1" w:styleId="41">
    <w:name w:val="页脚 字符"/>
    <w:autoRedefine/>
    <w:qFormat/>
    <w:uiPriority w:val="99"/>
  </w:style>
  <w:style w:type="character" w:customStyle="1" w:styleId="42">
    <w:name w:val="正文文本 字符1"/>
    <w:semiHidden/>
    <w:qFormat/>
    <w:uiPriority w:val="0"/>
    <w:rPr>
      <w:rFonts w:ascii="Times New Roman" w:hAnsi="Times New Roman" w:eastAsia="宋体"/>
      <w:sz w:val="24"/>
    </w:rPr>
  </w:style>
  <w:style w:type="character" w:customStyle="1" w:styleId="43">
    <w:name w:val="表格 Char"/>
    <w:link w:val="44"/>
    <w:autoRedefine/>
    <w:qFormat/>
    <w:locked/>
    <w:uiPriority w:val="0"/>
    <w:rPr>
      <w:rFonts w:ascii="宋体"/>
      <w:sz w:val="21"/>
    </w:rPr>
  </w:style>
  <w:style w:type="paragraph" w:customStyle="1" w:styleId="44">
    <w:name w:val="表格"/>
    <w:basedOn w:val="1"/>
    <w:next w:val="1"/>
    <w:link w:val="43"/>
    <w:autoRedefine/>
    <w:qFormat/>
    <w:uiPriority w:val="0"/>
    <w:pPr>
      <w:adjustRightInd w:val="0"/>
      <w:snapToGrid w:val="0"/>
      <w:spacing w:beforeLines="10" w:afterLines="10" w:line="259" w:lineRule="auto"/>
      <w:jc w:val="center"/>
    </w:pPr>
    <w:rPr>
      <w:rFonts w:ascii="宋体"/>
      <w:kern w:val="0"/>
      <w:szCs w:val="20"/>
    </w:rPr>
  </w:style>
  <w:style w:type="character" w:customStyle="1" w:styleId="45">
    <w:name w:val="日期 字符"/>
    <w:semiHidden/>
    <w:qFormat/>
    <w:uiPriority w:val="0"/>
    <w:rPr>
      <w:rFonts w:ascii="Times New Roman" w:hAnsi="Times New Roman" w:eastAsia="宋体"/>
      <w:sz w:val="24"/>
    </w:rPr>
  </w:style>
  <w:style w:type="character" w:customStyle="1" w:styleId="46">
    <w:name w:val="批注文字 字符1"/>
    <w:autoRedefine/>
    <w:semiHidden/>
    <w:uiPriority w:val="0"/>
    <w:rPr>
      <w:rFonts w:ascii="Times New Roman" w:hAnsi="Times New Roman" w:eastAsia="宋体"/>
      <w:sz w:val="24"/>
    </w:rPr>
  </w:style>
  <w:style w:type="paragraph" w:customStyle="1" w:styleId="4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9">
    <w:name w:val="fontstyle01"/>
    <w:autoRedefine/>
    <w:uiPriority w:val="0"/>
    <w:rPr>
      <w:rFonts w:ascii="黑体" w:hAnsi="宋体" w:eastAsia="黑体" w:cs="黑体"/>
      <w:color w:val="000000"/>
      <w:sz w:val="22"/>
      <w:szCs w:val="22"/>
    </w:rPr>
  </w:style>
  <w:style w:type="character" w:customStyle="1" w:styleId="50">
    <w:name w:val="fontstyle21"/>
    <w:autoRedefine/>
    <w:qFormat/>
    <w:uiPriority w:val="0"/>
    <w:rPr>
      <w:rFonts w:ascii="TimesNewRomanPSMT" w:hAnsi="TimesNewRomanPSMT" w:eastAsia="TimesNewRomanPSMT" w:cs="TimesNewRomanPSMT"/>
      <w:color w:val="000000"/>
      <w:sz w:val="24"/>
      <w:szCs w:val="24"/>
    </w:rPr>
  </w:style>
  <w:style w:type="character" w:customStyle="1" w:styleId="51">
    <w:name w:val="fontstyle31"/>
    <w:qFormat/>
    <w:uiPriority w:val="0"/>
    <w:rPr>
      <w:rFonts w:ascii="TimesNewRomanPS-BoldMT" w:hAnsi="TimesNewRomanPS-BoldMT" w:eastAsia="TimesNewRomanPS-BoldMT" w:cs="TimesNewRomanPS-BoldMT"/>
      <w:b/>
      <w:bCs/>
      <w:color w:val="000000"/>
      <w:sz w:val="22"/>
      <w:szCs w:val="22"/>
    </w:rPr>
  </w:style>
  <w:style w:type="character" w:customStyle="1" w:styleId="52">
    <w:name w:val="fontstyle11"/>
    <w:autoRedefine/>
    <w:uiPriority w:val="0"/>
    <w:rPr>
      <w:rFonts w:ascii="TimesNewRomanPS-BoldMT" w:hAnsi="TimesNewRomanPS-BoldMT" w:eastAsia="TimesNewRomanPS-BoldMT" w:cs="TimesNewRomanPS-BoldMT"/>
      <w:b/>
      <w:bCs/>
      <w:color w:val="000000"/>
      <w:sz w:val="22"/>
      <w:szCs w:val="22"/>
    </w:rPr>
  </w:style>
  <w:style w:type="paragraph" w:customStyle="1" w:styleId="53">
    <w:name w:val="Table Paragraph"/>
    <w:basedOn w:val="1"/>
    <w:autoRedefine/>
    <w:qFormat/>
    <w:uiPriority w:val="1"/>
    <w:pPr>
      <w:autoSpaceDE w:val="0"/>
      <w:autoSpaceDN w:val="0"/>
      <w:adjustRightInd w:val="0"/>
      <w:spacing w:line="240" w:lineRule="auto"/>
      <w:jc w:val="left"/>
    </w:pPr>
    <w:rPr>
      <w:rFonts w:ascii="Times New Roman" w:hAnsi="Times New Roman" w:eastAsia="等线"/>
      <w:snapToGrid/>
      <w:sz w:val="24"/>
      <w:szCs w:val="24"/>
    </w:rPr>
  </w:style>
  <w:style w:type="paragraph" w:customStyle="1" w:styleId="54">
    <w:name w:val="5-正文"/>
    <w:basedOn w:val="1"/>
    <w:qFormat/>
    <w:uiPriority w:val="0"/>
    <w:pPr>
      <w:widowControl w:val="0"/>
      <w:snapToGrid w:val="0"/>
      <w:ind w:firstLine="480"/>
    </w:pPr>
    <w:rPr>
      <w:rFonts w:ascii="宋体" w:cs="Times New Roman"/>
      <w:spacing w:val="-2"/>
      <w:szCs w:val="20"/>
    </w:rPr>
  </w:style>
  <w:style w:type="paragraph" w:styleId="55">
    <w:name w:val="List Paragraph"/>
    <w:basedOn w:val="1"/>
    <w:autoRedefine/>
    <w:qFormat/>
    <w:uiPriority w:val="99"/>
    <w:pPr>
      <w:adjustRightInd w:val="0"/>
      <w:spacing w:line="360" w:lineRule="atLeast"/>
      <w:ind w:firstLine="420" w:firstLineChars="200"/>
      <w:jc w:val="left"/>
      <w:textAlignment w:val="baseline"/>
    </w:pPr>
    <w:rPr>
      <w:rFonts w:ascii="Times New Roman" w:hAnsi="Times New Roman" w:eastAsia="宋体"/>
      <w:kern w:val="0"/>
      <w:sz w:val="24"/>
      <w:szCs w:val="20"/>
    </w:rPr>
  </w:style>
  <w:style w:type="paragraph" w:customStyle="1" w:styleId="56">
    <w:name w:val="书正文"/>
    <w:basedOn w:val="1"/>
    <w:autoRedefine/>
    <w:qFormat/>
    <w:uiPriority w:val="0"/>
    <w:pPr>
      <w:spacing w:line="500" w:lineRule="exact"/>
      <w:ind w:firstLine="640" w:firstLineChars="200"/>
    </w:pPr>
  </w:style>
  <w:style w:type="paragraph" w:customStyle="1" w:styleId="57">
    <w:name w:val="表格内容"/>
    <w:basedOn w:val="1"/>
    <w:qFormat/>
    <w:uiPriority w:val="0"/>
    <w:pPr>
      <w:spacing w:line="0" w:lineRule="atLeast"/>
      <w:jc w:val="center"/>
    </w:pPr>
    <w:rPr>
      <w:rFonts w:eastAsia="黑体"/>
      <w:sz w:val="18"/>
      <w:szCs w:val="24"/>
    </w:rPr>
  </w:style>
  <w:style w:type="paragraph" w:customStyle="1" w:styleId="58">
    <w:name w:val="表头"/>
    <w:basedOn w:val="59"/>
    <w:next w:val="1"/>
    <w:autoRedefine/>
    <w:qFormat/>
    <w:uiPriority w:val="0"/>
    <w:pPr>
      <w:ind w:firstLine="0" w:firstLineChars="0"/>
      <w:jc w:val="center"/>
    </w:pPr>
    <w:rPr>
      <w:b/>
    </w:rPr>
  </w:style>
  <w:style w:type="paragraph" w:customStyle="1" w:styleId="59">
    <w:name w:val="正文1"/>
    <w:basedOn w:val="1"/>
    <w:autoRedefine/>
    <w:qFormat/>
    <w:uiPriority w:val="0"/>
    <w:pPr>
      <w:adjustRightInd w:val="0"/>
      <w:snapToGrid w:val="0"/>
      <w:spacing w:line="480" w:lineRule="exact"/>
      <w:ind w:firstLine="200" w:firstLineChars="200"/>
    </w:pPr>
    <w:rPr>
      <w:sz w:val="24"/>
    </w:rPr>
  </w:style>
  <w:style w:type="paragraph" w:customStyle="1" w:styleId="60">
    <w:name w:val="表内容"/>
    <w:basedOn w:val="1"/>
    <w:qFormat/>
    <w:uiPriority w:val="0"/>
    <w:pPr>
      <w:adjustRightInd w:val="0"/>
      <w:spacing w:line="320" w:lineRule="exact"/>
      <w:jc w:val="center"/>
    </w:pPr>
    <w:rPr>
      <w:rFonts w:cs="Arial"/>
      <w:kern w:val="2"/>
      <w:sz w:val="21"/>
      <w:szCs w:val="21"/>
    </w:rPr>
  </w:style>
  <w:style w:type="paragraph" w:customStyle="1" w:styleId="61">
    <w:name w:val="样式 样式 样式 四号 左侧:  1.53 厘米 + 首行缩进:  2 字符 + 居中 左侧:  2 字符 首行缩进:  2..."/>
    <w:basedOn w:val="62"/>
    <w:autoRedefine/>
    <w:qFormat/>
    <w:uiPriority w:val="0"/>
    <w:pPr>
      <w:ind w:firstLine="0" w:firstLineChars="0"/>
      <w:jc w:val="center"/>
    </w:pPr>
  </w:style>
  <w:style w:type="paragraph" w:customStyle="1" w:styleId="62">
    <w:name w:val="样式 样式 四号 左侧:  1.53 厘米 + 首行缩进:  2 字符"/>
    <w:basedOn w:val="63"/>
    <w:autoRedefine/>
    <w:qFormat/>
    <w:uiPriority w:val="0"/>
    <w:pPr>
      <w:ind w:left="200" w:leftChars="200"/>
    </w:pPr>
    <w:rPr>
      <w:szCs w:val="20"/>
    </w:rPr>
  </w:style>
  <w:style w:type="paragraph" w:customStyle="1" w:styleId="63">
    <w:name w:val="样式 四号 左侧:  1.53 厘米"/>
    <w:basedOn w:val="1"/>
    <w:qFormat/>
    <w:uiPriority w:val="0"/>
    <w:pPr>
      <w:adjustRightInd w:val="0"/>
    </w:pPr>
    <w:rPr>
      <w:w w:val="90"/>
      <w:sz w:val="28"/>
      <w:szCs w:val="28"/>
    </w:rPr>
  </w:style>
  <w:style w:type="paragraph" w:customStyle="1" w:styleId="64">
    <w:name w:val="表格1"/>
    <w:basedOn w:val="6"/>
    <w:next w:val="6"/>
    <w:autoRedefine/>
    <w:qFormat/>
    <w:uiPriority w:val="0"/>
    <w:pPr>
      <w:adjustRightInd w:val="0"/>
      <w:snapToGrid w:val="0"/>
      <w:spacing w:line="340" w:lineRule="exact"/>
      <w:ind w:firstLine="0"/>
      <w:jc w:val="center"/>
    </w:pPr>
  </w:style>
  <w:style w:type="paragraph" w:customStyle="1" w:styleId="65">
    <w:name w:val="TOC2"/>
    <w:basedOn w:val="1"/>
    <w:next w:val="1"/>
    <w:autoRedefine/>
    <w:qFormat/>
    <w:uiPriority w:val="0"/>
    <w:pPr>
      <w:tabs>
        <w:tab w:val="right" w:leader="dot" w:pos="8296"/>
      </w:tabs>
      <w:spacing w:before="0" w:after="0" w:line="312" w:lineRule="auto"/>
      <w:ind w:left="210" w:right="0" w:firstLine="400"/>
      <w:jc w:val="left"/>
      <w:textAlignment w:val="baseline"/>
    </w:pPr>
    <w:rPr>
      <w:rFonts w:ascii="宋体" w:hAnsi="宋体" w:eastAsia="宋体"/>
      <w:smallCaps/>
      <w:sz w:val="20"/>
      <w:szCs w:val="20"/>
      <w:lang w:val="en-US" w:eastAsia="en-US" w:bidi="en-US"/>
    </w:rPr>
  </w:style>
  <w:style w:type="paragraph" w:customStyle="1" w:styleId="66">
    <w:name w:val="表格标题"/>
    <w:basedOn w:val="1"/>
    <w:qFormat/>
    <w:uiPriority w:val="0"/>
    <w:pPr>
      <w:spacing w:line="360" w:lineRule="auto"/>
      <w:jc w:val="center"/>
    </w:pPr>
    <w:rPr>
      <w:sz w:val="24"/>
    </w:rPr>
  </w:style>
  <w:style w:type="paragraph" w:customStyle="1" w:styleId="67">
    <w:name w:val="p0"/>
    <w:basedOn w:val="1"/>
    <w:autoRedefine/>
    <w:qFormat/>
    <w:uiPriority w:val="0"/>
    <w:pPr>
      <w:widowControl/>
    </w:pPr>
    <w:rPr>
      <w:szCs w:val="21"/>
    </w:rPr>
  </w:style>
  <w:style w:type="paragraph" w:customStyle="1" w:styleId="68">
    <w:name w:val="样式 正文11 + 首行缩进:  2 字符"/>
    <w:basedOn w:val="1"/>
    <w:autoRedefine/>
    <w:qFormat/>
    <w:uiPriority w:val="0"/>
    <w:pPr>
      <w:spacing w:line="500" w:lineRule="exact"/>
      <w:ind w:firstLine="560" w:firstLineChars="200"/>
    </w:pPr>
    <w:rPr>
      <w:rFonts w:ascii="宋体" w:cs="宋体"/>
      <w:color w:val="FF0000"/>
      <w:sz w:val="28"/>
    </w:rPr>
  </w:style>
  <w:style w:type="paragraph" w:customStyle="1" w:styleId="69">
    <w:name w:val="环保表内字（小五）"/>
    <w:basedOn w:val="1"/>
    <w:qFormat/>
    <w:uiPriority w:val="0"/>
    <w:pPr>
      <w:adjustRightInd w:val="0"/>
      <w:snapToGrid w:val="0"/>
      <w:jc w:val="center"/>
    </w:pPr>
    <w:rPr>
      <w:snapToGrid w:val="0"/>
      <w:color w:val="FF0000"/>
      <w:szCs w:val="21"/>
    </w:rPr>
  </w:style>
  <w:style w:type="paragraph" w:customStyle="1" w:styleId="70">
    <w:name w:val="雷丹正文"/>
    <w:basedOn w:val="1"/>
    <w:qFormat/>
    <w:uiPriority w:val="0"/>
    <w:pPr>
      <w:adjustRightInd w:val="0"/>
      <w:snapToGrid w:val="0"/>
    </w:pPr>
  </w:style>
  <w:style w:type="paragraph" w:customStyle="1" w:styleId="71">
    <w:name w:val="宋小四缩"/>
    <w:basedOn w:val="1"/>
    <w:qFormat/>
    <w:uiPriority w:val="0"/>
    <w:pPr>
      <w:spacing w:line="360" w:lineRule="auto"/>
      <w:ind w:firstLine="200" w:firstLineChars="200"/>
    </w:pPr>
    <w:rPr>
      <w:rFonts w:ascii="宋体" w:hAnsi="宋体"/>
      <w:color w:val="000000"/>
      <w:sz w:val="24"/>
    </w:rPr>
  </w:style>
  <w:style w:type="paragraph" w:customStyle="1" w:styleId="72">
    <w:name w:val="环评正文2"/>
    <w:basedOn w:val="1"/>
    <w:qFormat/>
    <w:uiPriority w:val="0"/>
    <w:pPr>
      <w:ind w:firstLine="1680" w:firstLineChars="200"/>
    </w:pPr>
    <w:rPr>
      <w:rFonts w:cs="Times New Roman"/>
    </w:rPr>
  </w:style>
  <w:style w:type="paragraph" w:customStyle="1" w:styleId="73">
    <w:name w:val="表格文字"/>
    <w:basedOn w:val="11"/>
    <w:next w:val="1"/>
    <w:qFormat/>
    <w:uiPriority w:val="0"/>
    <w:pPr>
      <w:widowControl w:val="0"/>
      <w:spacing w:line="300" w:lineRule="exact"/>
      <w:jc w:val="center"/>
    </w:pPr>
    <w:rPr>
      <w:rFonts w:ascii="宋体" w:hAnsi="Courier New"/>
      <w:kern w:val="2"/>
      <w:sz w:val="21"/>
      <w:lang w:val="en-US" w:eastAsia="zh-CN" w:bidi="ar-SA"/>
    </w:rPr>
  </w:style>
  <w:style w:type="paragraph" w:customStyle="1" w:styleId="74">
    <w:name w:val="封面标准文稿编辑信息"/>
    <w:uiPriority w:val="0"/>
    <w:pPr>
      <w:spacing w:before="180" w:line="180" w:lineRule="atLeast"/>
      <w:jc w:val="center"/>
    </w:pPr>
    <w:rPr>
      <w:rFonts w:hint="eastAsia" w:ascii="宋体" w:hAnsi="Calibri" w:eastAsia="宋体" w:cs="Times New Roman"/>
      <w:sz w:val="21"/>
      <w:lang w:val="en-US" w:eastAsia="zh-CN" w:bidi="ar-SA"/>
    </w:rPr>
  </w:style>
  <w:style w:type="character" w:customStyle="1" w:styleId="75">
    <w:name w:val="3兴业表格 Char"/>
    <w:link w:val="76"/>
    <w:uiPriority w:val="0"/>
    <w:rPr>
      <w:szCs w:val="21"/>
    </w:rPr>
  </w:style>
  <w:style w:type="paragraph" w:customStyle="1" w:styleId="76">
    <w:name w:val="3兴业表格"/>
    <w:basedOn w:val="1"/>
    <w:link w:val="75"/>
    <w:qFormat/>
    <w:uiPriority w:val="0"/>
    <w:pPr>
      <w:adjustRightInd w:val="0"/>
      <w:snapToGrid w:val="0"/>
      <w:jc w:val="center"/>
    </w:pPr>
    <w:rPr>
      <w:kern w:val="0"/>
      <w:sz w:val="20"/>
      <w:szCs w:val="21"/>
    </w:rPr>
  </w:style>
  <w:style w:type="character" w:customStyle="1" w:styleId="77">
    <w:name w:val="NormalCharacter"/>
    <w:semiHidden/>
    <w:qFormat/>
    <w:uiPriority w:val="0"/>
  </w:style>
  <w:style w:type="paragraph" w:customStyle="1" w:styleId="78">
    <w:name w:val="环评正文"/>
    <w:basedOn w:val="1"/>
    <w:link w:val="79"/>
    <w:qFormat/>
    <w:uiPriority w:val="0"/>
    <w:pPr>
      <w:spacing w:line="360" w:lineRule="auto"/>
      <w:ind w:firstLine="200" w:firstLineChars="200"/>
      <w:jc w:val="left"/>
    </w:pPr>
    <w:rPr>
      <w:sz w:val="24"/>
    </w:rPr>
  </w:style>
  <w:style w:type="character" w:customStyle="1" w:styleId="79">
    <w:name w:val="环评正文 Char Char"/>
    <w:link w:val="78"/>
    <w:qFormat/>
    <w:uiPriority w:val="0"/>
    <w:rPr>
      <w:kern w:val="2"/>
      <w:sz w:val="24"/>
      <w:szCs w:val="24"/>
    </w:rPr>
  </w:style>
  <w:style w:type="paragraph" w:customStyle="1" w:styleId="80">
    <w:name w:val="1兴业正文"/>
    <w:basedOn w:val="1"/>
    <w:link w:val="81"/>
    <w:qFormat/>
    <w:uiPriority w:val="0"/>
    <w:pPr>
      <w:adjustRightInd w:val="0"/>
      <w:snapToGrid w:val="0"/>
      <w:spacing w:line="360" w:lineRule="auto"/>
      <w:ind w:firstLine="562" w:firstLineChars="200"/>
    </w:pPr>
    <w:rPr>
      <w:rFonts w:eastAsia="仿宋"/>
      <w:sz w:val="24"/>
      <w:szCs w:val="28"/>
    </w:rPr>
  </w:style>
  <w:style w:type="character" w:customStyle="1" w:styleId="81">
    <w:name w:val="1兴业正文 Char"/>
    <w:link w:val="80"/>
    <w:qFormat/>
    <w:uiPriority w:val="0"/>
    <w:rPr>
      <w:rFonts w:eastAsia="仿宋"/>
      <w:kern w:val="2"/>
      <w:sz w:val="24"/>
      <w:szCs w:val="28"/>
    </w:rPr>
  </w:style>
  <w:style w:type="paragraph" w:customStyle="1" w:styleId="82">
    <w:name w:val="Char"/>
    <w:basedOn w:val="1"/>
    <w:semiHidden/>
    <w:qFormat/>
    <w:uiPriority w:val="0"/>
    <w:pPr>
      <w:ind w:firstLine="200" w:firstLineChars="200"/>
    </w:pPr>
    <w:rPr>
      <w:sz w:val="28"/>
      <w:szCs w:val="28"/>
    </w:rPr>
  </w:style>
  <w:style w:type="paragraph" w:customStyle="1" w:styleId="83">
    <w:name w:val="兴业表格"/>
    <w:basedOn w:val="1"/>
    <w:qFormat/>
    <w:uiPriority w:val="0"/>
    <w:pPr>
      <w:adjustRightInd w:val="0"/>
      <w:snapToGrid w:val="0"/>
      <w:jc w:val="center"/>
    </w:pPr>
    <w:rPr>
      <w:szCs w:val="21"/>
    </w:rPr>
  </w:style>
  <w:style w:type="paragraph" w:customStyle="1" w:styleId="84">
    <w:name w:val="报告正文"/>
    <w:qFormat/>
    <w:uiPriority w:val="0"/>
    <w:pPr>
      <w:autoSpaceDE w:val="0"/>
      <w:autoSpaceDN w:val="0"/>
      <w:adjustRightInd w:val="0"/>
      <w:snapToGrid w:val="0"/>
      <w:spacing w:line="360" w:lineRule="auto"/>
      <w:ind w:firstLine="720" w:firstLineChars="200"/>
    </w:pPr>
    <w:rPr>
      <w:rFonts w:ascii="Times New Roman" w:hAnsi="Times New Roman" w:eastAsia="宋体" w:cs="宋体"/>
      <w:sz w:val="21"/>
      <w:szCs w:val="21"/>
      <w:lang w:val="en-US" w:eastAsia="zh-CN" w:bidi="ar-SA"/>
    </w:rPr>
  </w:style>
  <w:style w:type="paragraph" w:customStyle="1" w:styleId="85">
    <w:name w:val="O.K.表格内容"/>
    <w:basedOn w:val="1"/>
    <w:qFormat/>
    <w:uiPriority w:val="0"/>
    <w:pPr>
      <w:jc w:val="center"/>
    </w:pPr>
    <w:rPr>
      <w:snapToGrid w:val="0"/>
      <w:kern w:val="0"/>
      <w:szCs w:val="21"/>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2.png"/><Relationship Id="rId89" Type="http://schemas.openxmlformats.org/officeDocument/2006/relationships/customXml" Target="../customXml/item1.xml"/><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image" Target="media/image1.jpeg"/><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jpeg"/><Relationship Id="rId70" Type="http://schemas.openxmlformats.org/officeDocument/2006/relationships/image" Target="media/image51.png"/><Relationship Id="rId7" Type="http://schemas.openxmlformats.org/officeDocument/2006/relationships/theme" Target="theme/theme1.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3.xml"/><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jpeg"/><Relationship Id="rId46" Type="http://schemas.openxmlformats.org/officeDocument/2006/relationships/image" Target="media/image27.pn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wmf"/><Relationship Id="rId33" Type="http://schemas.openxmlformats.org/officeDocument/2006/relationships/oleObject" Target="embeddings/oleObject11.bin"/><Relationship Id="rId32" Type="http://schemas.openxmlformats.org/officeDocument/2006/relationships/image" Target="media/image15.wmf"/><Relationship Id="rId31" Type="http://schemas.openxmlformats.org/officeDocument/2006/relationships/oleObject" Target="embeddings/oleObject10.bin"/><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3.wmf"/><Relationship Id="rId27" Type="http://schemas.openxmlformats.org/officeDocument/2006/relationships/oleObject" Target="embeddings/oleObject8.bin"/><Relationship Id="rId26" Type="http://schemas.openxmlformats.org/officeDocument/2006/relationships/image" Target="media/image12.wmf"/><Relationship Id="rId25" Type="http://schemas.openxmlformats.org/officeDocument/2006/relationships/oleObject" Target="embeddings/oleObject7.bin"/><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wmf"/><Relationship Id="rId21" Type="http://schemas.openxmlformats.org/officeDocument/2006/relationships/oleObject" Target="embeddings/oleObject5.bin"/><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24253</Words>
  <Characters>26792</Characters>
  <Lines>254</Lines>
  <Paragraphs>71</Paragraphs>
  <TotalTime>28</TotalTime>
  <ScaleCrop>false</ScaleCrop>
  <LinksUpToDate>false</LinksUpToDate>
  <CharactersWithSpaces>27413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2021-03-16T06:56:00Z</dcterms:created>
  <dc:creator>蛋蛋</dc:creator>
  <cp:lastModifiedBy>Administrator</cp:lastModifiedBy>
  <cp:lastPrinted>2021-04-28T01:56:00Z</cp:lastPrinted>
  <dcterms:modified xsi:type="dcterms:W3CDTF">2023-12-13T01:46:18Z</dcterms:modified>
  <cp:revision>1928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96FE9B8C9A204E518147E6832F458FE9_13</vt:lpwstr>
  </property>
</Properties>
</file>