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仿宋_GB2312"/>
          <w:i w:val="0"/>
          <w:iCs w:val="0"/>
          <w:color w:val="000000" w:themeColor="text1"/>
          <w:kern w:val="21"/>
          <w:sz w:val="36"/>
          <w:szCs w:val="36"/>
          <w:u w:val="none" w:color="auto"/>
          <w14:textFill>
            <w14:solidFill>
              <w14:schemeClr w14:val="tx1"/>
            </w14:solidFill>
          </w14:textFill>
        </w:rPr>
      </w:pPr>
    </w:p>
    <w:p>
      <w:pPr>
        <w:rPr>
          <w:rFonts w:ascii="Times New Roman" w:hAnsi="Times New Roman" w:eastAsia="仿宋_GB2312" w:cs="仿宋_GB2312"/>
          <w:i w:val="0"/>
          <w:iCs w:val="0"/>
          <w:color w:val="000000" w:themeColor="text1"/>
          <w:kern w:val="21"/>
          <w:sz w:val="36"/>
          <w:szCs w:val="36"/>
          <w:u w:val="none" w:color="auto"/>
          <w14:textFill>
            <w14:solidFill>
              <w14:schemeClr w14:val="tx1"/>
            </w14:solidFill>
          </w14:textFill>
        </w:rPr>
      </w:pPr>
    </w:p>
    <w:p>
      <w:pPr>
        <w:rPr>
          <w:rFonts w:ascii="Times New Roman" w:hAnsi="Times New Roman" w:eastAsia="仿宋_GB2312" w:cs="仿宋_GB2312"/>
          <w:i w:val="0"/>
          <w:iCs w:val="0"/>
          <w:color w:val="000000" w:themeColor="text1"/>
          <w:kern w:val="21"/>
          <w:sz w:val="36"/>
          <w:szCs w:val="36"/>
          <w:u w:val="none" w:color="auto"/>
          <w14:textFill>
            <w14:solidFill>
              <w14:schemeClr w14:val="tx1"/>
            </w14:solidFill>
          </w14:textFill>
        </w:rPr>
      </w:pPr>
    </w:p>
    <w:p>
      <w:pPr>
        <w:rPr>
          <w:rFonts w:ascii="Times New Roman" w:hAnsi="Times New Roman" w:eastAsia="仿宋_GB2312" w:cs="仿宋_GB2312"/>
          <w:i w:val="0"/>
          <w:iCs w:val="0"/>
          <w:color w:val="000000" w:themeColor="text1"/>
          <w:kern w:val="21"/>
          <w:sz w:val="36"/>
          <w:szCs w:val="36"/>
          <w:u w:val="none" w:color="auto"/>
          <w14:textFill>
            <w14:solidFill>
              <w14:schemeClr w14:val="tx1"/>
            </w14:solidFill>
          </w14:textFill>
        </w:rPr>
      </w:pPr>
    </w:p>
    <w:p>
      <w:pPr>
        <w:rPr>
          <w:rFonts w:ascii="Times New Roman" w:hAnsi="Times New Roman" w:eastAsia="仿宋_GB2312" w:cs="仿宋_GB2312"/>
          <w:i w:val="0"/>
          <w:iCs w:val="0"/>
          <w:color w:val="000000" w:themeColor="text1"/>
          <w:kern w:val="21"/>
          <w:sz w:val="36"/>
          <w:szCs w:val="36"/>
          <w:u w:val="none" w:color="auto"/>
          <w14:textFill>
            <w14:solidFill>
              <w14:schemeClr w14:val="tx1"/>
            </w14:solidFill>
          </w14:textFill>
        </w:rPr>
      </w:pPr>
    </w:p>
    <w:p>
      <w:pPr>
        <w:adjustRightInd w:val="0"/>
        <w:snapToGrid w:val="0"/>
        <w:jc w:val="center"/>
        <w:outlineLvl w:val="0"/>
        <w:rPr>
          <w:rFonts w:ascii="Times New Roman" w:hAnsi="Times New Roman" w:eastAsia="方正小标宋_GBK"/>
          <w:bCs/>
          <w:i w:val="0"/>
          <w:iCs w:val="0"/>
          <w:color w:val="000000" w:themeColor="text1"/>
          <w:kern w:val="21"/>
          <w:sz w:val="72"/>
          <w:szCs w:val="72"/>
          <w:u w:val="none" w:color="auto"/>
          <w14:textFill>
            <w14:solidFill>
              <w14:schemeClr w14:val="tx1"/>
            </w14:solidFill>
          </w14:textFill>
        </w:rPr>
      </w:pPr>
      <w:r>
        <w:rPr>
          <w:rFonts w:hint="eastAsia" w:ascii="Times New Roman" w:hAnsi="Times New Roman" w:eastAsia="方正小标宋_GBK"/>
          <w:bCs/>
          <w:i w:val="0"/>
          <w:iCs w:val="0"/>
          <w:color w:val="000000" w:themeColor="text1"/>
          <w:kern w:val="21"/>
          <w:sz w:val="72"/>
          <w:szCs w:val="72"/>
          <w:u w:val="none" w:color="auto"/>
          <w14:textFill>
            <w14:solidFill>
              <w14:schemeClr w14:val="tx1"/>
            </w14:solidFill>
          </w14:textFill>
        </w:rPr>
        <w:t>建设项目环境影响报告表</w:t>
      </w:r>
    </w:p>
    <w:p>
      <w:pPr>
        <w:adjustRightInd w:val="0"/>
        <w:snapToGrid w:val="0"/>
        <w:spacing w:before="192" w:beforeLines="80"/>
        <w:jc w:val="center"/>
        <w:rPr>
          <w:rFonts w:ascii="Times New Roman" w:hAnsi="Times New Roman" w:eastAsia="楷体_GB2312"/>
          <w:bCs/>
          <w:i w:val="0"/>
          <w:iCs w:val="0"/>
          <w:color w:val="000000" w:themeColor="text1"/>
          <w:kern w:val="21"/>
          <w:sz w:val="48"/>
          <w:szCs w:val="48"/>
          <w:u w:val="none" w:color="auto"/>
          <w14:textFill>
            <w14:solidFill>
              <w14:schemeClr w14:val="tx1"/>
            </w14:solidFill>
          </w14:textFill>
        </w:rPr>
      </w:pPr>
      <w:r>
        <w:rPr>
          <w:rFonts w:hint="eastAsia" w:ascii="Times New Roman" w:hAnsi="Times New Roman" w:eastAsia="楷体_GB2312"/>
          <w:bCs/>
          <w:i w:val="0"/>
          <w:iCs w:val="0"/>
          <w:color w:val="000000" w:themeColor="text1"/>
          <w:kern w:val="21"/>
          <w:sz w:val="48"/>
          <w:szCs w:val="48"/>
          <w:u w:val="none" w:color="auto"/>
          <w14:textFill>
            <w14:solidFill>
              <w14:schemeClr w14:val="tx1"/>
            </w14:solidFill>
          </w14:textFill>
        </w:rPr>
        <w:t>（污染影响类）</w:t>
      </w:r>
    </w:p>
    <w:p>
      <w:pPr>
        <w:ind w:firstLine="1040"/>
        <w:rPr>
          <w:rFonts w:ascii="Times New Roman" w:hAnsi="Times New Roman" w:eastAsia="华文仿宋" w:cs="华文仿宋"/>
          <w:i w:val="0"/>
          <w:iCs w:val="0"/>
          <w:color w:val="000000" w:themeColor="text1"/>
          <w:kern w:val="21"/>
          <w:sz w:val="44"/>
          <w:szCs w:val="44"/>
          <w:u w:val="none" w:color="auto"/>
          <w14:textFill>
            <w14:solidFill>
              <w14:schemeClr w14:val="tx1"/>
            </w14:solidFill>
          </w14:textFill>
        </w:rPr>
      </w:pPr>
    </w:p>
    <w:p>
      <w:pPr>
        <w:ind w:firstLine="1040"/>
        <w:rPr>
          <w:rFonts w:ascii="Times New Roman" w:hAnsi="Times New Roman" w:eastAsia="仿宋"/>
          <w:i w:val="0"/>
          <w:iCs w:val="0"/>
          <w:color w:val="000000" w:themeColor="text1"/>
          <w:kern w:val="21"/>
          <w:sz w:val="44"/>
          <w:szCs w:val="44"/>
          <w:u w:val="none" w:color="auto"/>
          <w14:textFill>
            <w14:solidFill>
              <w14:schemeClr w14:val="tx1"/>
            </w14:solidFill>
          </w14:textFill>
        </w:rPr>
      </w:pPr>
    </w:p>
    <w:p>
      <w:pPr>
        <w:ind w:firstLine="1040"/>
        <w:rPr>
          <w:rFonts w:ascii="Times New Roman" w:hAnsi="Times New Roman" w:eastAsia="仿宋"/>
          <w:i w:val="0"/>
          <w:iCs w:val="0"/>
          <w:color w:val="000000" w:themeColor="text1"/>
          <w:kern w:val="21"/>
          <w:sz w:val="44"/>
          <w:szCs w:val="44"/>
          <w:u w:val="none" w:color="auto"/>
          <w14:textFill>
            <w14:solidFill>
              <w14:schemeClr w14:val="tx1"/>
            </w14:solidFill>
          </w14:textFill>
        </w:rPr>
      </w:pPr>
    </w:p>
    <w:p>
      <w:pPr>
        <w:ind w:firstLine="1040"/>
        <w:rPr>
          <w:rFonts w:ascii="Times New Roman" w:hAnsi="Times New Roman" w:eastAsia="仿宋"/>
          <w:i w:val="0"/>
          <w:iCs w:val="0"/>
          <w:color w:val="000000" w:themeColor="text1"/>
          <w:kern w:val="21"/>
          <w:sz w:val="44"/>
          <w:szCs w:val="44"/>
          <w:u w:val="none" w:color="auto"/>
          <w14:textFill>
            <w14:solidFill>
              <w14:schemeClr w14:val="tx1"/>
            </w14:solidFill>
          </w14:textFill>
        </w:rPr>
      </w:pPr>
    </w:p>
    <w:p>
      <w:pPr>
        <w:ind w:firstLine="1040"/>
        <w:rPr>
          <w:rFonts w:ascii="Times New Roman" w:hAnsi="Times New Roman" w:eastAsia="仿宋"/>
          <w:i w:val="0"/>
          <w:iCs w:val="0"/>
          <w:color w:val="000000" w:themeColor="text1"/>
          <w:kern w:val="21"/>
          <w:sz w:val="44"/>
          <w:szCs w:val="44"/>
          <w:u w:val="none" w:color="auto"/>
          <w14:textFill>
            <w14:solidFill>
              <w14:schemeClr w14:val="tx1"/>
            </w14:solidFill>
          </w14:textFill>
        </w:rPr>
      </w:pPr>
    </w:p>
    <w:p>
      <w:pPr>
        <w:ind w:firstLine="1040"/>
        <w:rPr>
          <w:rFonts w:ascii="Times New Roman" w:hAnsi="Times New Roman" w:eastAsia="仿宋"/>
          <w:i w:val="0"/>
          <w:iCs w:val="0"/>
          <w:color w:val="000000" w:themeColor="text1"/>
          <w:kern w:val="21"/>
          <w:sz w:val="44"/>
          <w:szCs w:val="44"/>
          <w:u w:val="none" w:color="auto"/>
          <w14:textFill>
            <w14:solidFill>
              <w14:schemeClr w14:val="tx1"/>
            </w14:solidFill>
          </w14:textFill>
        </w:rPr>
      </w:pPr>
    </w:p>
    <w:p>
      <w:pPr>
        <w:adjustRightInd w:val="0"/>
        <w:snapToGrid w:val="0"/>
        <w:spacing w:line="360" w:lineRule="auto"/>
        <w:ind w:firstLine="1040"/>
        <w:rPr>
          <w:rFonts w:ascii="Times New Roman" w:hAnsi="Times New Roman" w:eastAsia="仿宋_GB2312"/>
          <w:i w:val="0"/>
          <w:iCs w:val="0"/>
          <w:color w:val="000000" w:themeColor="text1"/>
          <w:kern w:val="21"/>
          <w:sz w:val="36"/>
          <w:szCs w:val="36"/>
          <w:u w:val="single" w:color="auto"/>
          <w14:textFill>
            <w14:solidFill>
              <w14:schemeClr w14:val="tx1"/>
            </w14:solidFill>
          </w14:textFill>
        </w:rPr>
      </w:pPr>
      <w:r>
        <w:rPr>
          <w:rFonts w:hint="eastAsia" w:ascii="Times New Roman" w:hAnsi="Times New Roman" w:eastAsia="仿宋_GB2312"/>
          <w:i w:val="0"/>
          <w:iCs w:val="0"/>
          <w:color w:val="000000" w:themeColor="text1"/>
          <w:kern w:val="21"/>
          <w:sz w:val="36"/>
          <w:szCs w:val="36"/>
          <w:u w:val="none" w:color="auto"/>
          <w14:textFill>
            <w14:solidFill>
              <w14:schemeClr w14:val="tx1"/>
            </w14:solidFill>
          </w14:textFill>
        </w:rPr>
        <w:t>项目名称：</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吉林源翔农牧科技有限公司锅炉</w:t>
      </w:r>
    </w:p>
    <w:p>
      <w:pPr>
        <w:adjustRightInd w:val="0"/>
        <w:snapToGrid w:val="0"/>
        <w:spacing w:line="360" w:lineRule="auto"/>
        <w:ind w:firstLine="1080" w:firstLineChars="300"/>
        <w:rPr>
          <w:rFonts w:ascii="Times New Roman" w:hAnsi="Times New Roman" w:cs="宋体"/>
          <w:i w:val="0"/>
          <w:iCs w:val="0"/>
          <w:color w:val="000000" w:themeColor="text1"/>
          <w:kern w:val="21"/>
          <w:szCs w:val="21"/>
          <w:u w:val="none" w:color="auto"/>
          <w14:textFill>
            <w14:solidFill>
              <w14:schemeClr w14:val="tx1"/>
            </w14:solidFill>
          </w14:textFill>
        </w:rPr>
      </w:pP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新建项目</w:t>
      </w:r>
      <w:r>
        <w:rPr>
          <w:rFonts w:hint="eastAsia" w:ascii="Times New Roman" w:hAnsi="Times New Roman" w:eastAsia="仿宋_GB2312"/>
          <w:i w:val="0"/>
          <w:iCs w:val="0"/>
          <w:color w:val="000000" w:themeColor="text1"/>
          <w:kern w:val="21"/>
          <w:sz w:val="36"/>
          <w:szCs w:val="36"/>
          <w:u w:val="none" w:color="auto"/>
          <w14:textFill>
            <w14:solidFill>
              <w14:schemeClr w14:val="tx1"/>
            </w14:solidFill>
          </w14:textFill>
        </w:rPr>
        <w:t xml:space="preserve">       </w:t>
      </w:r>
    </w:p>
    <w:p>
      <w:pPr>
        <w:adjustRightInd w:val="0"/>
        <w:snapToGrid w:val="0"/>
        <w:spacing w:line="360" w:lineRule="auto"/>
        <w:ind w:left="4099" w:leftChars="495" w:hanging="3060" w:hangingChars="850"/>
        <w:rPr>
          <w:rFonts w:ascii="Times New Roman" w:hAnsi="Times New Roman" w:eastAsia="仿宋_GB2312"/>
          <w:i w:val="0"/>
          <w:iCs w:val="0"/>
          <w:color w:val="000000" w:themeColor="text1"/>
          <w:kern w:val="21"/>
          <w:sz w:val="36"/>
          <w:szCs w:val="36"/>
          <w:u w:val="none" w:color="auto"/>
          <w14:textFill>
            <w14:solidFill>
              <w14:schemeClr w14:val="tx1"/>
            </w14:solidFill>
          </w14:textFill>
        </w:rPr>
      </w:pPr>
      <w:r>
        <w:rPr>
          <w:rFonts w:hint="eastAsia" w:ascii="Times New Roman" w:hAnsi="Times New Roman" w:eastAsia="仿宋_GB2312"/>
          <w:i w:val="0"/>
          <w:iCs w:val="0"/>
          <w:color w:val="000000" w:themeColor="text1"/>
          <w:kern w:val="21"/>
          <w:sz w:val="36"/>
          <w:szCs w:val="36"/>
          <w:u w:val="none" w:color="auto"/>
          <w14:textFill>
            <w14:solidFill>
              <w14:schemeClr w14:val="tx1"/>
            </w14:solidFill>
          </w14:textFill>
        </w:rPr>
        <w:t>建设单位（盖章）：</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吉林源翔农牧科技有限公司</w:t>
      </w:r>
      <w:r>
        <w:rPr>
          <w:rFonts w:hint="eastAsia" w:ascii="Times New Roman" w:hAnsi="Times New Roman" w:eastAsia="仿宋_GB2312"/>
          <w:i w:val="0"/>
          <w:iCs w:val="0"/>
          <w:color w:val="000000" w:themeColor="text1"/>
          <w:kern w:val="21"/>
          <w:sz w:val="36"/>
          <w:szCs w:val="36"/>
          <w:u w:val="none" w:color="auto"/>
          <w14:textFill>
            <w14:solidFill>
              <w14:schemeClr w14:val="tx1"/>
            </w14:solidFill>
          </w14:textFill>
        </w:rPr>
        <w:t xml:space="preserve">     </w:t>
      </w:r>
    </w:p>
    <w:p>
      <w:pPr>
        <w:adjustRightInd w:val="0"/>
        <w:snapToGrid w:val="0"/>
        <w:spacing w:line="360" w:lineRule="auto"/>
        <w:ind w:firstLine="1037"/>
        <w:rPr>
          <w:rFonts w:ascii="Times New Roman" w:hAnsi="Times New Roman" w:eastAsia="仿宋_GB2312"/>
          <w:i w:val="0"/>
          <w:iCs w:val="0"/>
          <w:color w:val="000000" w:themeColor="text1"/>
          <w:kern w:val="21"/>
          <w:sz w:val="36"/>
          <w:szCs w:val="36"/>
          <w:u w:val="none" w:color="auto"/>
          <w14:textFill>
            <w14:solidFill>
              <w14:schemeClr w14:val="tx1"/>
            </w14:solidFill>
          </w14:textFill>
        </w:rPr>
      </w:pPr>
      <w:r>
        <w:rPr>
          <w:rFonts w:hint="eastAsia" w:ascii="Times New Roman" w:hAnsi="Times New Roman" w:eastAsia="仿宋_GB2312"/>
          <w:i w:val="0"/>
          <w:iCs w:val="0"/>
          <w:color w:val="000000" w:themeColor="text1"/>
          <w:kern w:val="21"/>
          <w:sz w:val="36"/>
          <w:szCs w:val="36"/>
          <w:u w:val="none" w:color="auto"/>
          <w14:textFill>
            <w14:solidFill>
              <w14:schemeClr w14:val="tx1"/>
            </w14:solidFill>
          </w14:textFill>
        </w:rPr>
        <w:t>编制日期：</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 xml:space="preserve"> </w:t>
      </w:r>
      <w:r>
        <w:rPr>
          <w:rFonts w:ascii="Times New Roman" w:hAnsi="Times New Roman" w:eastAsia="仿宋_GB2312"/>
          <w:i w:val="0"/>
          <w:iCs w:val="0"/>
          <w:color w:val="000000" w:themeColor="text1"/>
          <w:kern w:val="21"/>
          <w:sz w:val="36"/>
          <w:szCs w:val="36"/>
          <w:u w:val="single" w:color="auto"/>
          <w14:textFill>
            <w14:solidFill>
              <w14:schemeClr w14:val="tx1"/>
            </w14:solidFill>
          </w14:textFill>
        </w:rPr>
        <w:t xml:space="preserve">   </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202</w:t>
      </w:r>
      <w:r>
        <w:rPr>
          <w:rFonts w:hint="eastAsia" w:ascii="Times New Roman" w:hAnsi="Times New Roman" w:eastAsia="仿宋_GB2312"/>
          <w:i w:val="0"/>
          <w:iCs w:val="0"/>
          <w:color w:val="000000" w:themeColor="text1"/>
          <w:kern w:val="21"/>
          <w:sz w:val="36"/>
          <w:szCs w:val="36"/>
          <w:u w:val="single" w:color="auto"/>
          <w:lang w:val="en-US" w:eastAsia="zh-CN"/>
          <w14:textFill>
            <w14:solidFill>
              <w14:schemeClr w14:val="tx1"/>
            </w14:solidFill>
          </w14:textFill>
        </w:rPr>
        <w:t>3</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年</w:t>
      </w:r>
      <w:r>
        <w:rPr>
          <w:rFonts w:hint="eastAsia" w:ascii="Times New Roman" w:hAnsi="Times New Roman" w:eastAsia="仿宋_GB2312"/>
          <w:i w:val="0"/>
          <w:iCs w:val="0"/>
          <w:color w:val="000000" w:themeColor="text1"/>
          <w:kern w:val="21"/>
          <w:sz w:val="36"/>
          <w:szCs w:val="36"/>
          <w:u w:val="single" w:color="auto"/>
          <w:lang w:val="en-US" w:eastAsia="zh-CN"/>
          <w14:textFill>
            <w14:solidFill>
              <w14:schemeClr w14:val="tx1"/>
            </w14:solidFill>
          </w14:textFill>
        </w:rPr>
        <w:t>3</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月</w:t>
      </w:r>
      <w:r>
        <w:rPr>
          <w:rFonts w:ascii="Times New Roman" w:hAnsi="Times New Roman" w:eastAsia="仿宋_GB2312"/>
          <w:i w:val="0"/>
          <w:iCs w:val="0"/>
          <w:color w:val="000000" w:themeColor="text1"/>
          <w:kern w:val="21"/>
          <w:sz w:val="36"/>
          <w:szCs w:val="36"/>
          <w:u w:val="single" w:color="auto"/>
          <w14:textFill>
            <w14:solidFill>
              <w14:schemeClr w14:val="tx1"/>
            </w14:solidFill>
          </w14:textFill>
        </w:rPr>
        <w:t xml:space="preserve">                   </w:t>
      </w:r>
      <w:r>
        <w:rPr>
          <w:rFonts w:hint="eastAsia" w:ascii="Times New Roman" w:hAnsi="Times New Roman" w:eastAsia="仿宋_GB2312"/>
          <w:i w:val="0"/>
          <w:iCs w:val="0"/>
          <w:color w:val="000000" w:themeColor="text1"/>
          <w:kern w:val="21"/>
          <w:sz w:val="36"/>
          <w:szCs w:val="36"/>
          <w:u w:val="single" w:color="auto"/>
          <w14:textFill>
            <w14:solidFill>
              <w14:schemeClr w14:val="tx1"/>
            </w14:solidFill>
          </w14:textFill>
        </w:rPr>
        <w:t xml:space="preserve"> </w:t>
      </w:r>
      <w:bookmarkStart w:id="0" w:name="_Hlk57884087"/>
    </w:p>
    <w:p>
      <w:pPr>
        <w:adjustRightInd w:val="0"/>
        <w:snapToGrid w:val="0"/>
        <w:spacing w:line="288" w:lineRule="auto"/>
        <w:ind w:firstLine="1040"/>
        <w:rPr>
          <w:rFonts w:ascii="Times New Roman" w:hAnsi="Times New Roman" w:eastAsia="仿宋_GB2312"/>
          <w:i w:val="0"/>
          <w:iCs w:val="0"/>
          <w:color w:val="000000" w:themeColor="text1"/>
          <w:kern w:val="21"/>
          <w:sz w:val="36"/>
          <w:szCs w:val="36"/>
          <w:u w:val="none" w:color="auto"/>
          <w14:textFill>
            <w14:solidFill>
              <w14:schemeClr w14:val="tx1"/>
            </w14:solidFill>
          </w14:textFill>
        </w:rPr>
      </w:pPr>
    </w:p>
    <w:p>
      <w:pPr>
        <w:adjustRightInd w:val="0"/>
        <w:snapToGrid w:val="0"/>
        <w:spacing w:line="288" w:lineRule="auto"/>
        <w:ind w:firstLine="1040"/>
        <w:rPr>
          <w:rFonts w:ascii="Times New Roman" w:hAnsi="Times New Roman" w:eastAsia="仿宋_GB2312"/>
          <w:i w:val="0"/>
          <w:iCs w:val="0"/>
          <w:color w:val="000000" w:themeColor="text1"/>
          <w:kern w:val="21"/>
          <w:sz w:val="36"/>
          <w:szCs w:val="36"/>
          <w:u w:val="none" w:color="auto"/>
          <w14:textFill>
            <w14:solidFill>
              <w14:schemeClr w14:val="tx1"/>
            </w14:solidFill>
          </w14:textFill>
        </w:rPr>
      </w:pPr>
    </w:p>
    <w:p>
      <w:pPr>
        <w:adjustRightInd w:val="0"/>
        <w:snapToGrid w:val="0"/>
        <w:spacing w:line="288" w:lineRule="auto"/>
        <w:ind w:firstLine="1040"/>
        <w:rPr>
          <w:rFonts w:ascii="Times New Roman" w:hAnsi="Times New Roman" w:eastAsia="仿宋_GB2312"/>
          <w:i w:val="0"/>
          <w:iCs w:val="0"/>
          <w:color w:val="000000" w:themeColor="text1"/>
          <w:kern w:val="21"/>
          <w:sz w:val="36"/>
          <w:szCs w:val="36"/>
          <w:u w:val="none" w:color="auto"/>
          <w14:textFill>
            <w14:solidFill>
              <w14:schemeClr w14:val="tx1"/>
            </w14:solidFill>
          </w14:textFill>
        </w:rPr>
      </w:pPr>
    </w:p>
    <w:bookmarkEnd w:id="0"/>
    <w:p>
      <w:pPr>
        <w:adjustRightInd w:val="0"/>
        <w:snapToGrid w:val="0"/>
        <w:spacing w:line="288" w:lineRule="auto"/>
        <w:jc w:val="center"/>
        <w:rPr>
          <w:rFonts w:ascii="Times New Roman" w:hAnsi="Times New Roman" w:eastAsia="楷体_GB2312"/>
          <w:i w:val="0"/>
          <w:iCs w:val="0"/>
          <w:color w:val="000000" w:themeColor="text1"/>
          <w:kern w:val="21"/>
          <w:sz w:val="36"/>
          <w:szCs w:val="36"/>
          <w:u w:val="none" w:color="auto"/>
          <w14:textFill>
            <w14:solidFill>
              <w14:schemeClr w14:val="tx1"/>
            </w14:solidFill>
          </w14:textFill>
        </w:rPr>
        <w:sectPr>
          <w:footerReference r:id="rId3" w:type="default"/>
          <w:footerReference r:id="rId4" w:type="even"/>
          <w:pgSz w:w="11907" w:h="16838"/>
          <w:pgMar w:top="1418" w:right="1418" w:bottom="1418" w:left="1701" w:header="851" w:footer="1077" w:gutter="0"/>
          <w:pgNumType w:start="3"/>
          <w:cols w:space="720" w:num="1"/>
          <w:docGrid w:linePitch="312" w:charSpace="0"/>
        </w:sectPr>
      </w:pPr>
      <w:r>
        <w:rPr>
          <w:rFonts w:hint="eastAsia" w:ascii="Times New Roman" w:hAnsi="Times New Roman" w:eastAsia="楷体_GB2312"/>
          <w:i w:val="0"/>
          <w:iCs w:val="0"/>
          <w:color w:val="000000" w:themeColor="text1"/>
          <w:kern w:val="21"/>
          <w:sz w:val="36"/>
          <w:szCs w:val="36"/>
          <w:u w:val="none" w:color="auto"/>
          <w14:textFill>
            <w14:solidFill>
              <w14:schemeClr w14:val="tx1"/>
            </w14:solidFill>
          </w14:textFill>
        </w:rPr>
        <w:t>中华人民共和国生态环境部制</w:t>
      </w:r>
    </w:p>
    <w:p>
      <w:pPr>
        <w:pStyle w:val="16"/>
        <w:adjustRightInd w:val="0"/>
        <w:snapToGrid w:val="0"/>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一、建设项目基本情况</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6"/>
        <w:gridCol w:w="2521"/>
        <w:gridCol w:w="1816"/>
        <w:gridCol w:w="2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建设项目名称</w:t>
            </w:r>
          </w:p>
        </w:tc>
        <w:tc>
          <w:tcPr>
            <w:tcW w:w="3947" w:type="pct"/>
            <w:gridSpan w:val="3"/>
            <w:vAlign w:val="center"/>
          </w:tcPr>
          <w:p>
            <w:pPr>
              <w:adjustRightInd w:val="0"/>
              <w:snapToGrid w:val="0"/>
              <w:spacing w:line="360" w:lineRule="auto"/>
              <w:rPr>
                <w:rFonts w:ascii="Times New Roman" w:hAnsi="Times New Roman" w:eastAsia="Calibri"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吉林源翔农牧科技有限公司锅炉新建项目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项目代码</w:t>
            </w:r>
          </w:p>
        </w:tc>
        <w:tc>
          <w:tcPr>
            <w:tcW w:w="3947" w:type="pct"/>
            <w:gridSpan w:val="3"/>
            <w:vAlign w:val="center"/>
          </w:tcPr>
          <w:p>
            <w:pPr>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建设单位联系人</w:t>
            </w:r>
          </w:p>
        </w:tc>
        <w:tc>
          <w:tcPr>
            <w:tcW w:w="1430" w:type="pct"/>
            <w:vAlign w:val="center"/>
          </w:tcPr>
          <w:p>
            <w:pPr>
              <w:adjustRightInd w:val="0"/>
              <w:snapToGrid w:val="0"/>
              <w:spacing w:line="360" w:lineRule="auto"/>
              <w:jc w:val="center"/>
              <w:rPr>
                <w:rFonts w:ascii="Times New Roman" w:hAnsi="Times New Roman" w:cs="宋体" w:eastAsiaTheme="minorEastAsia"/>
                <w:i w:val="0"/>
                <w:iCs w:val="0"/>
                <w:color w:val="000000" w:themeColor="text1"/>
                <w:kern w:val="21"/>
                <w:sz w:val="24"/>
                <w:u w:val="none" w:color="auto"/>
                <w14:textFill>
                  <w14:solidFill>
                    <w14:schemeClr w14:val="tx1"/>
                  </w14:solidFill>
                </w14:textFill>
              </w:rPr>
            </w:pPr>
            <w:r>
              <w:rPr>
                <w:rFonts w:hint="eastAsia" w:ascii="Times New Roman" w:hAnsi="Times New Roman" w:cs="宋体" w:eastAsiaTheme="minorEastAsia"/>
                <w:i w:val="0"/>
                <w:iCs w:val="0"/>
                <w:color w:val="000000" w:themeColor="text1"/>
                <w:kern w:val="21"/>
                <w:sz w:val="24"/>
                <w:u w:val="none" w:color="auto"/>
                <w:lang w:eastAsia="zh-CN"/>
                <w14:textFill>
                  <w14:solidFill>
                    <w14:schemeClr w14:val="tx1"/>
                  </w14:solidFill>
                </w14:textFill>
              </w:rPr>
              <w:t>姜延河</w:t>
            </w:r>
          </w:p>
        </w:tc>
        <w:tc>
          <w:tcPr>
            <w:tcW w:w="10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联系方式</w:t>
            </w:r>
          </w:p>
        </w:tc>
        <w:tc>
          <w:tcPr>
            <w:tcW w:w="1487"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13844111519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建设地点</w:t>
            </w:r>
          </w:p>
        </w:tc>
        <w:tc>
          <w:tcPr>
            <w:tcW w:w="3947" w:type="pct"/>
            <w:gridSpan w:val="3"/>
            <w:vAlign w:val="center"/>
          </w:tcPr>
          <w:p>
            <w:pPr>
              <w:adjustRightInd w:val="0"/>
              <w:snapToGrid w:val="0"/>
              <w:spacing w:line="360" w:lineRule="auto"/>
              <w:jc w:val="center"/>
              <w:rPr>
                <w:rFonts w:hint="eastAsia" w:ascii="Times New Roman" w:hAnsi="Times New Roman" w:eastAsia="宋体" w:cs="宋体"/>
                <w:i w:val="0"/>
                <w:iCs w:val="0"/>
                <w:color w:val="000000" w:themeColor="text1"/>
                <w:kern w:val="21"/>
                <w:sz w:val="24"/>
                <w:u w:val="none" w:color="auto"/>
                <w:lang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lang w:eastAsia="zh-CN"/>
                <w14:textFill>
                  <w14:solidFill>
                    <w14:schemeClr w14:val="tx1"/>
                  </w14:solidFill>
                </w14:textFill>
              </w:rPr>
              <w:t>吉林省白山市江源区立新村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地理坐标</w:t>
            </w:r>
          </w:p>
        </w:tc>
        <w:tc>
          <w:tcPr>
            <w:tcW w:w="3947" w:type="pct"/>
            <w:gridSpan w:val="3"/>
            <w:vAlign w:val="center"/>
          </w:tcPr>
          <w:p>
            <w:pPr>
              <w:jc w:val="cente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pP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江源区祖代鸡一厂 12</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6</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度</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36</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分</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53</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93</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秒，4</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2</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度</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0</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7分</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03</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98</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秒</w:t>
            </w:r>
          </w:p>
          <w:p>
            <w:pPr>
              <w:jc w:val="cente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pP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江源区祖代鸡</w:t>
            </w:r>
            <w:r>
              <w:rPr>
                <w:rFonts w:hint="eastAsia" w:ascii="Times New Roman" w:hAnsi="Times New Roman" w:eastAsia="宋体" w:cs="宋体"/>
                <w:i w:val="0"/>
                <w:iCs w:val="0"/>
                <w:color w:val="000000" w:themeColor="text1"/>
                <w:kern w:val="21"/>
                <w:sz w:val="24"/>
                <w:u w:val="none" w:color="auto"/>
                <w:lang w:eastAsia="zh-CN"/>
                <w14:textFill>
                  <w14:solidFill>
                    <w14:schemeClr w14:val="tx1"/>
                  </w14:solidFill>
                </w14:textFill>
              </w:rPr>
              <w:t>二</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厂 12</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6</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度</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37</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分</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15</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64</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秒，4</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2</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度</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0</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7分</w:t>
            </w:r>
            <w: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t>10.2</w:t>
            </w:r>
            <w:r>
              <w:rPr>
                <w:rFonts w:hint="eastAsia" w:ascii="Times New Roman" w:hAnsi="Times New Roman" w:eastAsia="宋体" w:cs="宋体"/>
                <w:i w:val="0"/>
                <w:iCs w:val="0"/>
                <w:color w:val="000000" w:themeColor="text1"/>
                <w:kern w:val="21"/>
                <w:sz w:val="24"/>
                <w:u w:val="none" w:color="auto"/>
                <w14:textFill>
                  <w14:solidFill>
                    <w14:schemeClr w14:val="tx1"/>
                  </w14:solidFill>
                </w14:textFill>
              </w:rPr>
              <w:t>8秒</w:t>
            </w:r>
          </w:p>
          <w:p>
            <w:pPr>
              <w:jc w:val="center"/>
              <w:rPr>
                <w:i w:val="0"/>
                <w:iCs w:val="0"/>
                <w:u w:val="none" w:color="auto"/>
              </w:rPr>
            </w:pPr>
            <w:r>
              <w:rPr>
                <w:rFonts w:hint="eastAsia" w:ascii="Times New Roman" w:hAnsi="Times New Roman" w:cs="宋体"/>
                <w:i w:val="0"/>
                <w:iCs w:val="0"/>
                <w:color w:val="000000" w:themeColor="text1"/>
                <w:kern w:val="21"/>
                <w:sz w:val="24"/>
                <w:u w:val="none" w:color="auto"/>
                <w14:textFill>
                  <w14:solidFill>
                    <w14:schemeClr w14:val="tx1"/>
                  </w14:solidFill>
                </w14:textFill>
              </w:rPr>
              <w:t>江源区</w:t>
            </w:r>
            <w:r>
              <w:rPr>
                <w:rFonts w:hint="eastAsia" w:ascii="Times New Roman" w:hAnsi="Times New Roman" w:cs="宋体"/>
                <w:i w:val="0"/>
                <w:iCs w:val="0"/>
                <w:color w:val="000000" w:themeColor="text1"/>
                <w:kern w:val="21"/>
                <w:sz w:val="24"/>
                <w:u w:val="none" w:color="auto"/>
                <w:lang w:eastAsia="zh-CN"/>
                <w14:textFill>
                  <w14:solidFill>
                    <w14:schemeClr w14:val="tx1"/>
                  </w14:solidFill>
                </w14:textFill>
              </w:rPr>
              <w:t>祖代鸡雏厂</w:t>
            </w:r>
            <w:r>
              <w:rPr>
                <w:rFonts w:hint="eastAsia" w:ascii="Times New Roman" w:hAnsi="Times New Roman" w:cs="宋体"/>
                <w:i w:val="0"/>
                <w:iCs w:val="0"/>
                <w:color w:val="000000" w:themeColor="text1"/>
                <w:kern w:val="21"/>
                <w:sz w:val="24"/>
                <w:u w:val="none" w:color="auto"/>
                <w14:textFill>
                  <w14:solidFill>
                    <w14:schemeClr w14:val="tx1"/>
                  </w14:solidFill>
                </w14:textFill>
              </w:rPr>
              <w:t xml:space="preserve"> 12</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6</w:t>
            </w:r>
            <w:r>
              <w:rPr>
                <w:rFonts w:hint="eastAsia" w:ascii="Times New Roman" w:hAnsi="Times New Roman" w:cs="宋体"/>
                <w:i w:val="0"/>
                <w:iCs w:val="0"/>
                <w:color w:val="000000" w:themeColor="text1"/>
                <w:kern w:val="21"/>
                <w:sz w:val="24"/>
                <w:u w:val="none" w:color="auto"/>
                <w14:textFill>
                  <w14:solidFill>
                    <w14:schemeClr w14:val="tx1"/>
                  </w14:solidFill>
                </w14:textFill>
              </w:rPr>
              <w:t>度</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36</w:t>
            </w:r>
            <w:r>
              <w:rPr>
                <w:rFonts w:hint="eastAsia" w:ascii="Times New Roman" w:hAnsi="Times New Roman" w:cs="宋体"/>
                <w:i w:val="0"/>
                <w:iCs w:val="0"/>
                <w:color w:val="000000" w:themeColor="text1"/>
                <w:kern w:val="21"/>
                <w:sz w:val="24"/>
                <w:u w:val="none" w:color="auto"/>
                <w14:textFill>
                  <w14:solidFill>
                    <w14:schemeClr w14:val="tx1"/>
                  </w14:solidFill>
                </w14:textFill>
              </w:rPr>
              <w:t>分</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29</w:t>
            </w:r>
            <w:r>
              <w:rPr>
                <w:rFonts w:hint="eastAsia" w:ascii="Times New Roman" w:hAnsi="Times New Roman" w:cs="宋体"/>
                <w:i w:val="0"/>
                <w:iCs w:val="0"/>
                <w:color w:val="000000" w:themeColor="text1"/>
                <w:kern w:val="21"/>
                <w:sz w:val="24"/>
                <w:u w:val="none" w:color="auto"/>
                <w14:textFill>
                  <w14:solidFill>
                    <w14:schemeClr w14:val="tx1"/>
                  </w14:solidFill>
                </w14:textFill>
              </w:rPr>
              <w:t>.</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49</w:t>
            </w:r>
            <w:r>
              <w:rPr>
                <w:rFonts w:hint="eastAsia" w:ascii="Times New Roman" w:hAnsi="Times New Roman" w:cs="宋体"/>
                <w:i w:val="0"/>
                <w:iCs w:val="0"/>
                <w:color w:val="000000" w:themeColor="text1"/>
                <w:kern w:val="21"/>
                <w:sz w:val="24"/>
                <w:u w:val="none" w:color="auto"/>
                <w14:textFill>
                  <w14:solidFill>
                    <w14:schemeClr w14:val="tx1"/>
                  </w14:solidFill>
                </w14:textFill>
              </w:rPr>
              <w:t>秒，4</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2</w:t>
            </w:r>
            <w:r>
              <w:rPr>
                <w:rFonts w:hint="eastAsia" w:ascii="Times New Roman" w:hAnsi="Times New Roman" w:cs="宋体"/>
                <w:i w:val="0"/>
                <w:iCs w:val="0"/>
                <w:color w:val="000000" w:themeColor="text1"/>
                <w:kern w:val="21"/>
                <w:sz w:val="24"/>
                <w:u w:val="none" w:color="auto"/>
                <w14:textFill>
                  <w14:solidFill>
                    <w14:schemeClr w14:val="tx1"/>
                  </w14:solidFill>
                </w14:textFill>
              </w:rPr>
              <w:t>度</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0</w:t>
            </w:r>
            <w:r>
              <w:rPr>
                <w:rFonts w:hint="eastAsia" w:ascii="Times New Roman" w:hAnsi="Times New Roman" w:cs="宋体"/>
                <w:i w:val="0"/>
                <w:iCs w:val="0"/>
                <w:color w:val="000000" w:themeColor="text1"/>
                <w:kern w:val="21"/>
                <w:sz w:val="24"/>
                <w:u w:val="none" w:color="auto"/>
                <w14:textFill>
                  <w14:solidFill>
                    <w14:schemeClr w14:val="tx1"/>
                  </w14:solidFill>
                </w14:textFill>
              </w:rPr>
              <w:t>7分2</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6</w:t>
            </w:r>
            <w:r>
              <w:rPr>
                <w:rFonts w:hint="eastAsia" w:ascii="Times New Roman" w:hAnsi="Times New Roman" w:cs="宋体"/>
                <w:i w:val="0"/>
                <w:iCs w:val="0"/>
                <w:color w:val="000000" w:themeColor="text1"/>
                <w:kern w:val="21"/>
                <w:sz w:val="24"/>
                <w:u w:val="none" w:color="auto"/>
                <w14:textFill>
                  <w14:solidFill>
                    <w14:schemeClr w14:val="tx1"/>
                  </w14:solidFill>
                </w14:textFill>
              </w:rPr>
              <w:t>.</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21</w:t>
            </w:r>
            <w:r>
              <w:rPr>
                <w:rFonts w:hint="eastAsia" w:ascii="Times New Roman" w:hAnsi="Times New Roman" w:cs="宋体"/>
                <w:i w:val="0"/>
                <w:iCs w:val="0"/>
                <w:color w:val="000000" w:themeColor="text1"/>
                <w:kern w:val="21"/>
                <w:sz w:val="24"/>
                <w:u w:val="none" w:color="auto"/>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国民经济</w:t>
            </w:r>
          </w:p>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行业类别</w:t>
            </w:r>
          </w:p>
        </w:tc>
        <w:tc>
          <w:tcPr>
            <w:tcW w:w="1430" w:type="pct"/>
            <w:vAlign w:val="center"/>
          </w:tcPr>
          <w:p>
            <w:pPr>
              <w:adjustRightInd w:val="0"/>
              <w:snapToGrid w:val="0"/>
              <w:spacing w:line="360"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D4430热力生产和供应</w:t>
            </w:r>
          </w:p>
        </w:tc>
        <w:tc>
          <w:tcPr>
            <w:tcW w:w="10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bookmarkStart w:id="1" w:name="_Hlk49843745"/>
            <w:r>
              <w:rPr>
                <w:rFonts w:hint="eastAsia" w:ascii="Times New Roman" w:hAnsi="Times New Roman" w:cs="宋体"/>
                <w:i w:val="0"/>
                <w:iCs w:val="0"/>
                <w:color w:val="000000" w:themeColor="text1"/>
                <w:kern w:val="21"/>
                <w:sz w:val="24"/>
                <w:u w:val="none" w:color="auto"/>
                <w14:textFill>
                  <w14:solidFill>
                    <w14:schemeClr w14:val="tx1"/>
                  </w14:solidFill>
                </w14:textFill>
              </w:rPr>
              <w:t>建设项目</w:t>
            </w:r>
          </w:p>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行业类别</w:t>
            </w:r>
            <w:bookmarkEnd w:id="1"/>
          </w:p>
        </w:tc>
        <w:tc>
          <w:tcPr>
            <w:tcW w:w="1487" w:type="pct"/>
            <w:vAlign w:val="center"/>
          </w:tcPr>
          <w:p>
            <w:pPr>
              <w:adjustRightInd w:val="0"/>
              <w:snapToGrid w:val="0"/>
              <w:spacing w:line="276" w:lineRule="auto"/>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建设性质</w:t>
            </w:r>
          </w:p>
        </w:tc>
        <w:tc>
          <w:tcPr>
            <w:tcW w:w="1430" w:type="pct"/>
            <w:vAlign w:val="center"/>
          </w:tcPr>
          <w:p>
            <w:pPr>
              <w:adjustRightInd w:val="0"/>
              <w:snapToGrid w:val="0"/>
              <w:spacing w:line="360"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sym w:font="Wingdings 2" w:char="0052"/>
            </w:r>
            <w:r>
              <w:rPr>
                <w:rFonts w:hint="eastAsia" w:ascii="Times New Roman" w:hAnsi="Times New Roman" w:cs="宋体"/>
                <w:i w:val="0"/>
                <w:iCs w:val="0"/>
                <w:color w:val="000000" w:themeColor="text1"/>
                <w:kern w:val="21"/>
                <w:sz w:val="24"/>
                <w:u w:val="none" w:color="auto"/>
                <w14:textFill>
                  <w14:solidFill>
                    <w14:schemeClr w14:val="tx1"/>
                  </w14:solidFill>
                </w14:textFill>
              </w:rPr>
              <w:t>新建（迁建）</w:t>
            </w:r>
          </w:p>
          <w:p>
            <w:pPr>
              <w:adjustRightInd w:val="0"/>
              <w:snapToGrid w:val="0"/>
              <w:spacing w:line="360"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sym w:font="Wingdings 2" w:char="00A3"/>
            </w:r>
            <w:r>
              <w:rPr>
                <w:rFonts w:hint="eastAsia" w:ascii="Times New Roman" w:hAnsi="Times New Roman" w:cs="宋体"/>
                <w:i w:val="0"/>
                <w:iCs w:val="0"/>
                <w:color w:val="000000" w:themeColor="text1"/>
                <w:kern w:val="21"/>
                <w:sz w:val="24"/>
                <w:u w:val="none" w:color="auto"/>
                <w14:textFill>
                  <w14:solidFill>
                    <w14:schemeClr w14:val="tx1"/>
                  </w14:solidFill>
                </w14:textFill>
              </w:rPr>
              <w:t>改建</w:t>
            </w:r>
          </w:p>
          <w:p>
            <w:pPr>
              <w:adjustRightInd w:val="0"/>
              <w:snapToGrid w:val="0"/>
              <w:spacing w:line="360"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sym w:font="Wingdings 2" w:char="00A3"/>
            </w:r>
            <w:r>
              <w:rPr>
                <w:rFonts w:hint="eastAsia" w:ascii="Times New Roman" w:hAnsi="Times New Roman" w:cs="宋体"/>
                <w:i w:val="0"/>
                <w:iCs w:val="0"/>
                <w:color w:val="000000" w:themeColor="text1"/>
                <w:kern w:val="21"/>
                <w:sz w:val="24"/>
                <w:u w:val="none" w:color="auto"/>
                <w14:textFill>
                  <w14:solidFill>
                    <w14:schemeClr w14:val="tx1"/>
                  </w14:solidFill>
                </w14:textFill>
              </w:rPr>
              <w:t>扩建</w:t>
            </w:r>
          </w:p>
          <w:p>
            <w:pPr>
              <w:adjustRightInd w:val="0"/>
              <w:snapToGrid w:val="0"/>
              <w:spacing w:line="360"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□技术改造</w:t>
            </w:r>
          </w:p>
        </w:tc>
        <w:tc>
          <w:tcPr>
            <w:tcW w:w="10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建设项目申报情形</w:t>
            </w:r>
          </w:p>
        </w:tc>
        <w:tc>
          <w:tcPr>
            <w:tcW w:w="1487" w:type="pct"/>
            <w:vAlign w:val="center"/>
          </w:tcPr>
          <w:p>
            <w:pPr>
              <w:adjustRightInd w:val="0"/>
              <w:snapToGrid w:val="0"/>
              <w:spacing w:line="276"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√首次申报项目</w:t>
            </w:r>
          </w:p>
          <w:p>
            <w:pPr>
              <w:adjustRightInd w:val="0"/>
              <w:snapToGrid w:val="0"/>
              <w:spacing w:line="276"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□不予批准后再次申报项目</w:t>
            </w:r>
          </w:p>
          <w:p>
            <w:pPr>
              <w:adjustRightInd w:val="0"/>
              <w:snapToGrid w:val="0"/>
              <w:spacing w:line="276"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□超五年重新审核项目</w:t>
            </w:r>
          </w:p>
          <w:p>
            <w:pPr>
              <w:adjustRightInd w:val="0"/>
              <w:snapToGrid w:val="0"/>
              <w:spacing w:line="276" w:lineRule="auto"/>
              <w:jc w:val="left"/>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项目审批（核准</w:t>
            </w:r>
            <w:r>
              <w:rPr>
                <w:rFonts w:ascii="Times New Roman" w:hAnsi="Times New Roman" w:cs="宋体"/>
                <w:i w:val="0"/>
                <w:iCs w:val="0"/>
                <w:color w:val="000000" w:themeColor="text1"/>
                <w:kern w:val="21"/>
                <w:sz w:val="24"/>
                <w:u w:val="none" w:color="auto"/>
                <w14:textFill>
                  <w14:solidFill>
                    <w14:schemeClr w14:val="tx1"/>
                  </w14:solidFill>
                </w14:textFill>
              </w:rPr>
              <w:t>/</w:t>
            </w:r>
          </w:p>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备案）部门（选填）</w:t>
            </w:r>
          </w:p>
        </w:tc>
        <w:tc>
          <w:tcPr>
            <w:tcW w:w="14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p>
        </w:tc>
        <w:tc>
          <w:tcPr>
            <w:tcW w:w="10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项目审批（核准</w:t>
            </w:r>
            <w:r>
              <w:rPr>
                <w:rFonts w:ascii="Times New Roman" w:hAnsi="Times New Roman" w:cs="宋体"/>
                <w:i w:val="0"/>
                <w:iCs w:val="0"/>
                <w:color w:val="000000" w:themeColor="text1"/>
                <w:kern w:val="21"/>
                <w:sz w:val="24"/>
                <w:u w:val="none" w:color="auto"/>
                <w14:textFill>
                  <w14:solidFill>
                    <w14:schemeClr w14:val="tx1"/>
                  </w14:solidFill>
                </w14:textFill>
              </w:rPr>
              <w:t>/</w:t>
            </w:r>
          </w:p>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备案）文号（选填）</w:t>
            </w:r>
          </w:p>
        </w:tc>
        <w:tc>
          <w:tcPr>
            <w:tcW w:w="1487"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总投资（万元）</w:t>
            </w:r>
          </w:p>
        </w:tc>
        <w:tc>
          <w:tcPr>
            <w:tcW w:w="1430" w:type="pct"/>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ascii="Times New Roman" w:hAnsi="Times New Roman" w:eastAsia="仿宋" w:cs="仿宋"/>
                <w:i w:val="0"/>
                <w:iCs w:val="0"/>
                <w:color w:val="000000" w:themeColor="text1"/>
                <w:sz w:val="24"/>
                <w:u w:val="none" w:color="auto"/>
                <w14:textFill>
                  <w14:solidFill>
                    <w14:schemeClr w14:val="tx1"/>
                  </w14:solidFill>
                </w14:textFill>
              </w:rPr>
              <w:t>300</w:t>
            </w:r>
          </w:p>
        </w:tc>
        <w:tc>
          <w:tcPr>
            <w:tcW w:w="1030"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环保投资（万元）</w:t>
            </w:r>
          </w:p>
        </w:tc>
        <w:tc>
          <w:tcPr>
            <w:tcW w:w="1487" w:type="pct"/>
            <w:vAlign w:val="center"/>
          </w:tcPr>
          <w:p>
            <w:pPr>
              <w:adjustRightInd w:val="0"/>
              <w:snapToGrid w:val="0"/>
              <w:spacing w:line="360" w:lineRule="auto"/>
              <w:jc w:val="center"/>
              <w:rPr>
                <w:rFonts w:hint="default"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环保投资占比（</w:t>
            </w:r>
            <w:r>
              <w:rPr>
                <w:rFonts w:ascii="Times New Roman" w:hAnsi="Times New Roman" w:cs="宋体"/>
                <w:i w:val="0"/>
                <w:iCs w:val="0"/>
                <w:color w:val="000000" w:themeColor="text1"/>
                <w:kern w:val="21"/>
                <w:sz w:val="24"/>
                <w:u w:val="none" w:color="auto"/>
                <w14:textFill>
                  <w14:solidFill>
                    <w14:schemeClr w14:val="tx1"/>
                  </w14:solidFill>
                </w14:textFill>
              </w:rPr>
              <w:t>%</w:t>
            </w:r>
            <w:r>
              <w:rPr>
                <w:rFonts w:hint="eastAsia" w:ascii="Times New Roman" w:hAnsi="Times New Roman" w:cs="宋体"/>
                <w:i w:val="0"/>
                <w:iCs w:val="0"/>
                <w:color w:val="000000" w:themeColor="text1"/>
                <w:kern w:val="21"/>
                <w:sz w:val="24"/>
                <w:u w:val="none" w:color="auto"/>
                <w14:textFill>
                  <w14:solidFill>
                    <w14:schemeClr w14:val="tx1"/>
                  </w14:solidFill>
                </w14:textFill>
              </w:rPr>
              <w:t>）</w:t>
            </w:r>
          </w:p>
        </w:tc>
        <w:tc>
          <w:tcPr>
            <w:tcW w:w="1430" w:type="pct"/>
            <w:vAlign w:val="center"/>
          </w:tcPr>
          <w:p>
            <w:pPr>
              <w:adjustRightInd w:val="0"/>
              <w:snapToGrid w:val="0"/>
              <w:spacing w:line="360" w:lineRule="auto"/>
              <w:jc w:val="center"/>
              <w:rPr>
                <w:rFonts w:hint="default"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1.43</w:t>
            </w:r>
          </w:p>
        </w:tc>
        <w:tc>
          <w:tcPr>
            <w:tcW w:w="1030"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施工工期</w:t>
            </w:r>
          </w:p>
        </w:tc>
        <w:tc>
          <w:tcPr>
            <w:tcW w:w="1487" w:type="pct"/>
            <w:vAlign w:val="center"/>
          </w:tcPr>
          <w:p>
            <w:pPr>
              <w:adjustRightInd w:val="0"/>
              <w:snapToGrid w:val="0"/>
              <w:spacing w:line="360" w:lineRule="auto"/>
              <w:jc w:val="center"/>
              <w:rPr>
                <w:rFonts w:hint="eastAsia"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3"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是否开工建设</w:t>
            </w:r>
          </w:p>
        </w:tc>
        <w:tc>
          <w:tcPr>
            <w:tcW w:w="1430" w:type="pct"/>
            <w:vAlign w:val="center"/>
          </w:tcPr>
          <w:p>
            <w:pPr>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sym w:font="Wingdings 2" w:char="00A3"/>
            </w:r>
            <w:r>
              <w:rPr>
                <w:rFonts w:hint="eastAsia" w:ascii="Times New Roman" w:hAnsi="Times New Roman" w:cs="宋体"/>
                <w:i w:val="0"/>
                <w:iCs w:val="0"/>
                <w:color w:val="000000" w:themeColor="text1"/>
                <w:kern w:val="21"/>
                <w:sz w:val="24"/>
                <w:u w:val="none" w:color="auto"/>
                <w14:textFill>
                  <w14:solidFill>
                    <w14:schemeClr w14:val="tx1"/>
                  </w14:solidFill>
                </w14:textFill>
              </w:rPr>
              <w:t>否</w:t>
            </w:r>
          </w:p>
          <w:p>
            <w:pPr>
              <w:adjustRightInd w:val="0"/>
              <w:snapToGrid w:val="0"/>
              <w:spacing w:line="360" w:lineRule="auto"/>
              <w:rPr>
                <w:rFonts w:hint="default"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sym w:font="Wingdings 2" w:char="0052"/>
            </w:r>
            <w:r>
              <w:rPr>
                <w:rFonts w:hint="eastAsia" w:ascii="Times New Roman" w:hAnsi="Times New Roman" w:cs="宋体"/>
                <w:i w:val="0"/>
                <w:iCs w:val="0"/>
                <w:color w:val="000000" w:themeColor="text1"/>
                <w:kern w:val="21"/>
                <w:sz w:val="24"/>
                <w:u w:val="none" w:color="auto"/>
                <w14:textFill>
                  <w14:solidFill>
                    <w14:schemeClr w14:val="tx1"/>
                  </w14:solidFill>
                </w14:textFill>
              </w:rPr>
              <w:t>是：</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2021年12月</w:t>
            </w:r>
          </w:p>
        </w:tc>
        <w:tc>
          <w:tcPr>
            <w:tcW w:w="1030" w:type="pct"/>
            <w:tcMar>
              <w:top w:w="16" w:type="dxa"/>
              <w:left w:w="16" w:type="dxa"/>
              <w:right w:w="16" w:type="dxa"/>
            </w:tcMar>
            <w:vAlign w:val="center"/>
          </w:tcPr>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用地（用海）</w:t>
            </w:r>
          </w:p>
          <w:p>
            <w:pPr>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面积（</w:t>
            </w:r>
            <w:r>
              <w:rPr>
                <w:rFonts w:ascii="Times New Roman" w:hAnsi="Times New Roman" w:cs="宋体"/>
                <w:i w:val="0"/>
                <w:iCs w:val="0"/>
                <w:color w:val="000000" w:themeColor="text1"/>
                <w:kern w:val="21"/>
                <w:sz w:val="24"/>
                <w:u w:val="none" w:color="auto"/>
                <w14:textFill>
                  <w14:solidFill>
                    <w14:schemeClr w14:val="tx1"/>
                  </w14:solidFill>
                </w14:textFill>
              </w:rPr>
              <w:t>m</w:t>
            </w:r>
            <w:r>
              <w:rPr>
                <w:rFonts w:ascii="Times New Roman" w:hAnsi="Times New Roman" w:cs="宋体"/>
                <w:i w:val="0"/>
                <w:iCs w:val="0"/>
                <w:color w:val="000000" w:themeColor="text1"/>
                <w:kern w:val="21"/>
                <w:sz w:val="24"/>
                <w:u w:val="none" w:color="auto"/>
                <w:vertAlign w:val="superscript"/>
                <w14:textFill>
                  <w14:solidFill>
                    <w14:schemeClr w14:val="tx1"/>
                  </w14:solidFill>
                </w14:textFill>
              </w:rPr>
              <w:t>2</w:t>
            </w:r>
            <w:r>
              <w:rPr>
                <w:rFonts w:hint="eastAsia" w:ascii="Times New Roman" w:hAnsi="Times New Roman" w:cs="宋体"/>
                <w:i w:val="0"/>
                <w:iCs w:val="0"/>
                <w:color w:val="000000" w:themeColor="text1"/>
                <w:kern w:val="21"/>
                <w:sz w:val="24"/>
                <w:u w:val="none" w:color="auto"/>
                <w14:textFill>
                  <w14:solidFill>
                    <w14:schemeClr w14:val="tx1"/>
                  </w14:solidFill>
                </w14:textFill>
              </w:rPr>
              <w:t>）</w:t>
            </w:r>
          </w:p>
        </w:tc>
        <w:tc>
          <w:tcPr>
            <w:tcW w:w="1487" w:type="pct"/>
            <w:vAlign w:val="center"/>
          </w:tcPr>
          <w:p>
            <w:pPr>
              <w:adjustRightInd w:val="0"/>
              <w:snapToGrid w:val="0"/>
              <w:spacing w:line="360" w:lineRule="auto"/>
              <w:jc w:val="center"/>
              <w:rPr>
                <w:rFonts w:hint="default" w:ascii="Times New Roman" w:hAnsi="Times New Roman" w:eastAsia="宋体" w:cs="宋体"/>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53" w:type="pct"/>
            <w:vAlign w:val="center"/>
          </w:tcPr>
          <w:p>
            <w:pPr>
              <w:autoSpaceDE w:val="0"/>
              <w:autoSpaceDN w:val="0"/>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专项评价设置情况</w:t>
            </w:r>
          </w:p>
        </w:tc>
        <w:tc>
          <w:tcPr>
            <w:tcW w:w="3947" w:type="pct"/>
            <w:gridSpan w:val="3"/>
            <w:vAlign w:val="center"/>
          </w:tcPr>
          <w:p>
            <w:pPr>
              <w:autoSpaceDE w:val="0"/>
              <w:autoSpaceDN w:val="0"/>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无</w:t>
            </w:r>
          </w:p>
        </w:tc>
      </w:tr>
    </w:tbl>
    <w:p>
      <w:pPr>
        <w:autoSpaceDE w:val="0"/>
        <w:autoSpaceDN w:val="0"/>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sectPr>
          <w:footerReference r:id="rId5" w:type="default"/>
          <w:pgSz w:w="11907" w:h="16838"/>
          <w:pgMar w:top="1418" w:right="1418" w:bottom="1418" w:left="1701" w:header="851" w:footer="1077" w:gutter="0"/>
          <w:pgNumType w:start="1"/>
          <w:cols w:space="720" w:num="1"/>
          <w:docGrid w:linePitch="312" w:charSpace="0"/>
        </w:sectPr>
      </w:pPr>
    </w:p>
    <w:tbl>
      <w:tblPr>
        <w:tblStyle w:val="18"/>
        <w:tblW w:w="48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7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vAlign w:val="center"/>
          </w:tcPr>
          <w:p>
            <w:pPr>
              <w:autoSpaceDE w:val="0"/>
              <w:autoSpaceDN w:val="0"/>
              <w:adjustRightInd w:val="0"/>
              <w:snapToGrid w:val="0"/>
              <w:spacing w:line="276"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规划情况</w:t>
            </w:r>
          </w:p>
        </w:tc>
        <w:tc>
          <w:tcPr>
            <w:tcW w:w="4510" w:type="pct"/>
            <w:vAlign w:val="center"/>
          </w:tcPr>
          <w:p>
            <w:pPr>
              <w:spacing w:line="360" w:lineRule="auto"/>
              <w:ind w:firstLine="480" w:firstLineChars="200"/>
              <w:rPr>
                <w:rFonts w:hint="eastAsia" w:ascii="Times New Roman" w:hAnsi="Times New Roman" w:eastAsia="宋体" w:cs="宋体"/>
                <w:i w:val="0"/>
                <w:iCs w:val="0"/>
                <w:color w:val="000000" w:themeColor="text1"/>
                <w:kern w:val="21"/>
                <w:sz w:val="24"/>
                <w:u w:val="none" w:color="auto"/>
                <w:lang w:eastAsia="zh-CN"/>
                <w14:textFill>
                  <w14:solidFill>
                    <w14:schemeClr w14:val="tx1"/>
                  </w14:solidFill>
                </w14:textFill>
              </w:rPr>
            </w:pPr>
            <w:r>
              <w:rPr>
                <w:rFonts w:hint="eastAsia" w:ascii="Times New Roman" w:hAnsi="Times New Roman" w:cs="宋体"/>
                <w:i/>
                <w:iCs/>
                <w:color w:val="000000" w:themeColor="text1"/>
                <w:kern w:val="21"/>
                <w:sz w:val="24"/>
                <w:u w:val="single" w:color="auto"/>
                <w14:textFill>
                  <w14:solidFill>
                    <w14:schemeClr w14:val="tx1"/>
                  </w14:solidFill>
                </w14:textFill>
              </w:rPr>
              <w:t>项目锅炉房占地为原有养殖场用地，项目用地性质为</w:t>
            </w:r>
            <w:r>
              <w:rPr>
                <w:rFonts w:hint="eastAsia" w:ascii="Times New Roman" w:hAnsi="Times New Roman" w:cs="宋体"/>
                <w:i/>
                <w:iCs/>
                <w:color w:val="000000" w:themeColor="text1"/>
                <w:kern w:val="21"/>
                <w:sz w:val="24"/>
                <w:u w:val="single" w:color="auto"/>
                <w:lang w:eastAsia="zh-CN"/>
                <w14:textFill>
                  <w14:solidFill>
                    <w14:schemeClr w14:val="tx1"/>
                  </w14:solidFill>
                </w14:textFill>
              </w:rPr>
              <w:t>农用设施</w:t>
            </w:r>
            <w:r>
              <w:rPr>
                <w:rFonts w:hint="eastAsia" w:ascii="Times New Roman" w:hAnsi="Times New Roman" w:cs="宋体"/>
                <w:i/>
                <w:iCs/>
                <w:color w:val="000000" w:themeColor="text1"/>
                <w:kern w:val="21"/>
                <w:sz w:val="24"/>
                <w:u w:val="single" w:color="auto"/>
                <w14:textFill>
                  <w14:solidFill>
                    <w14:schemeClr w14:val="tx1"/>
                  </w14:solidFill>
                </w14:textFill>
              </w:rPr>
              <w:t>用地</w:t>
            </w:r>
            <w:r>
              <w:rPr>
                <w:rFonts w:hint="eastAsia" w:ascii="Times New Roman" w:hAnsi="Times New Roman" w:cs="宋体"/>
                <w:i w:val="0"/>
                <w:iCs w:val="0"/>
                <w:color w:val="000000" w:themeColor="text1"/>
                <w:kern w:val="21"/>
                <w:sz w:val="24"/>
                <w:u w:val="none" w:color="auto"/>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vAlign w:val="center"/>
          </w:tcPr>
          <w:p>
            <w:pPr>
              <w:adjustRightInd w:val="0"/>
              <w:snapToGrid w:val="0"/>
              <w:spacing w:line="276"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规划环境影响</w:t>
            </w:r>
          </w:p>
          <w:p>
            <w:pPr>
              <w:adjustRightInd w:val="0"/>
              <w:snapToGrid w:val="0"/>
              <w:spacing w:line="276"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评价情况</w:t>
            </w:r>
          </w:p>
        </w:tc>
        <w:tc>
          <w:tcPr>
            <w:tcW w:w="4510" w:type="pct"/>
            <w:vAlign w:val="center"/>
          </w:tcPr>
          <w:p>
            <w:pPr>
              <w:spacing w:line="360" w:lineRule="auto"/>
              <w:ind w:firstLine="480" w:firstLineChars="200"/>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i w:val="0"/>
                <w:iCs w:val="0"/>
                <w:color w:val="000000" w:themeColor="text1"/>
                <w:sz w:val="24"/>
                <w:u w:val="none" w:color="auto"/>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vAlign w:val="center"/>
          </w:tcPr>
          <w:p>
            <w:pPr>
              <w:autoSpaceDE w:val="0"/>
              <w:autoSpaceDN w:val="0"/>
              <w:adjustRightInd w:val="0"/>
              <w:snapToGrid w:val="0"/>
              <w:spacing w:line="276"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规划及规划环境影响评价符合性分析</w:t>
            </w:r>
          </w:p>
        </w:tc>
        <w:tc>
          <w:tcPr>
            <w:tcW w:w="4510" w:type="pct"/>
            <w:vAlign w:val="center"/>
          </w:tcPr>
          <w:p>
            <w:pPr>
              <w:spacing w:line="360" w:lineRule="auto"/>
              <w:ind w:firstLine="480" w:firstLineChars="200"/>
              <w:rPr>
                <w:rFonts w:ascii="Times New Roman" w:hAnsi="Times New Roman"/>
                <w:i w:val="0"/>
                <w:iCs w:val="0"/>
                <w:color w:val="000000" w:themeColor="text1"/>
                <w:sz w:val="24"/>
                <w:u w:val="none" w:color="auto"/>
                <w14:textFill>
                  <w14:solidFill>
                    <w14:schemeClr w14:val="tx1"/>
                  </w14:solidFill>
                </w14:textFill>
              </w:rPr>
            </w:pPr>
            <w:r>
              <w:rPr>
                <w:rFonts w:hint="eastAsia" w:ascii="Times New Roman" w:hAnsi="Times New Roman"/>
                <w:i w:val="0"/>
                <w:iCs w:val="0"/>
                <w:color w:val="000000" w:themeColor="text1"/>
                <w:sz w:val="24"/>
                <w:u w:val="none" w:color="auto"/>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vAlign w:val="center"/>
          </w:tcPr>
          <w:p>
            <w:pPr>
              <w:autoSpaceDE w:val="0"/>
              <w:autoSpaceDN w:val="0"/>
              <w:adjustRightInd w:val="0"/>
              <w:snapToGrid w:val="0"/>
              <w:spacing w:line="360" w:lineRule="auto"/>
              <w:jc w:val="center"/>
              <w:rPr>
                <w:rFonts w:ascii="Times New Roman" w:hAnsi="Times New Roman" w:cs="宋体"/>
                <w:i w:val="0"/>
                <w:iCs w:val="0"/>
                <w:color w:val="000000" w:themeColor="text1"/>
                <w:kern w:val="21"/>
                <w:sz w:val="24"/>
                <w:u w:val="none" w:color="auto"/>
                <w14:textFill>
                  <w14:solidFill>
                    <w14:schemeClr w14:val="tx1"/>
                  </w14:solidFill>
                </w14:textFill>
              </w:rPr>
            </w:pPr>
            <w:r>
              <w:rPr>
                <w:rFonts w:hint="eastAsia" w:ascii="Times New Roman" w:hAnsi="Times New Roman" w:cs="宋体"/>
                <w:i w:val="0"/>
                <w:iCs w:val="0"/>
                <w:color w:val="000000" w:themeColor="text1"/>
                <w:kern w:val="21"/>
                <w:sz w:val="24"/>
                <w:u w:val="none" w:color="auto"/>
                <w14:textFill>
                  <w14:solidFill>
                    <w14:schemeClr w14:val="tx1"/>
                  </w14:solidFill>
                </w14:textFill>
              </w:rPr>
              <w:t>其他符合性分析</w:t>
            </w:r>
          </w:p>
        </w:tc>
        <w:tc>
          <w:tcPr>
            <w:tcW w:w="4510" w:type="pct"/>
            <w:vAlign w:val="center"/>
          </w:tcPr>
          <w:p>
            <w:pPr>
              <w:spacing w:line="360" w:lineRule="auto"/>
              <w:ind w:firstLine="482" w:firstLineChars="200"/>
              <w:rPr>
                <w:rFonts w:ascii="Times New Roman" w:hAnsi="Times New Roman"/>
                <w:i w:val="0"/>
                <w:iCs w:val="0"/>
                <w:color w:val="000000" w:themeColor="text1"/>
                <w:sz w:val="24"/>
                <w:u w:val="none" w:color="auto"/>
                <w14:textFill>
                  <w14:solidFill>
                    <w14:schemeClr w14:val="tx1"/>
                  </w14:solidFill>
                </w14:textFill>
              </w:rPr>
            </w:pPr>
            <w:r>
              <w:rPr>
                <w:rFonts w:hint="eastAsia" w:ascii="Times New Roman" w:hAnsi="Times New Roman"/>
                <w:b/>
                <w:bCs/>
                <w:i w:val="0"/>
                <w:iCs w:val="0"/>
                <w:color w:val="000000" w:themeColor="text1"/>
                <w:sz w:val="24"/>
                <w:u w:val="none" w:color="auto"/>
                <w14:textFill>
                  <w14:solidFill>
                    <w14:schemeClr w14:val="tx1"/>
                  </w14:solidFill>
                </w14:textFill>
              </w:rPr>
              <w:t xml:space="preserve">1. </w:t>
            </w:r>
            <w:r>
              <w:rPr>
                <w:rFonts w:ascii="Times New Roman" w:hAnsi="Times New Roman"/>
                <w:b/>
                <w:bCs/>
                <w:i w:val="0"/>
                <w:iCs w:val="0"/>
                <w:color w:val="000000" w:themeColor="text1"/>
                <w:sz w:val="24"/>
                <w:u w:val="none" w:color="auto"/>
                <w14:textFill>
                  <w14:solidFill>
                    <w14:schemeClr w14:val="tx1"/>
                  </w14:solidFill>
                </w14:textFill>
              </w:rPr>
              <w:t>与产业政策的符合性</w:t>
            </w:r>
            <w:r>
              <w:rPr>
                <w:rFonts w:hint="eastAsia" w:ascii="Times New Roman" w:hAnsi="Times New Roman"/>
                <w:b/>
                <w:bCs/>
                <w:i w:val="0"/>
                <w:iCs w:val="0"/>
                <w:color w:val="000000" w:themeColor="text1"/>
                <w:sz w:val="24"/>
                <w:u w:val="none" w:color="auto"/>
                <w14:textFill>
                  <w14:solidFill>
                    <w14:schemeClr w14:val="tx1"/>
                  </w14:solidFill>
                </w14:textFill>
              </w:rPr>
              <w:t>分析</w:t>
            </w:r>
          </w:p>
          <w:p>
            <w:pPr>
              <w:spacing w:line="360" w:lineRule="auto"/>
              <w:ind w:firstLine="480" w:firstLineChars="200"/>
              <w:rPr>
                <w:rFonts w:ascii="Times New Roman" w:hAnsi="Times New Roman"/>
                <w:i w:val="0"/>
                <w:iCs w:val="0"/>
                <w:color w:val="000000" w:themeColor="text1"/>
                <w:sz w:val="24"/>
                <w:u w:val="none" w:color="auto"/>
                <w14:textFill>
                  <w14:solidFill>
                    <w14:schemeClr w14:val="tx1"/>
                  </w14:solidFill>
                </w14:textFill>
              </w:rPr>
            </w:pPr>
            <w:r>
              <w:rPr>
                <w:rFonts w:hint="eastAsia" w:ascii="Times New Roman" w:hAnsi="Times New Roman"/>
                <w:i w:val="0"/>
                <w:iCs w:val="0"/>
                <w:color w:val="000000" w:themeColor="text1"/>
                <w:sz w:val="24"/>
                <w:u w:val="none" w:color="auto"/>
                <w14:textFill>
                  <w14:solidFill>
                    <w14:schemeClr w14:val="tx1"/>
                  </w14:solidFill>
                </w14:textFill>
              </w:rPr>
              <w:t>本项目属于热力生产和供应工程，查阅《产业结构调整指导目录(2019年本)》，不属于《产业结构调整指导目录（2019年本）》中所限值、淘汰类，即属于允许类。因此，该项目符合国家和地方的有关产业政策规定。</w:t>
            </w:r>
          </w:p>
          <w:p>
            <w:pPr>
              <w:spacing w:line="360" w:lineRule="auto"/>
              <w:ind w:firstLine="482" w:firstLineChars="200"/>
              <w:rPr>
                <w:rFonts w:ascii="Times New Roman" w:hAnsi="Times New Roman"/>
                <w:i w:val="0"/>
                <w:iCs w:val="0"/>
                <w:color w:val="000000" w:themeColor="text1"/>
                <w:sz w:val="24"/>
                <w:u w:val="none" w:color="auto"/>
                <w14:textFill>
                  <w14:solidFill>
                    <w14:schemeClr w14:val="tx1"/>
                  </w14:solidFill>
                </w14:textFill>
              </w:rPr>
            </w:pPr>
            <w:r>
              <w:rPr>
                <w:rFonts w:hint="eastAsia" w:ascii="Times New Roman" w:hAnsi="Times New Roman"/>
                <w:b/>
                <w:bCs/>
                <w:i w:val="0"/>
                <w:iCs w:val="0"/>
                <w:color w:val="000000" w:themeColor="text1"/>
                <w:sz w:val="24"/>
                <w:u w:val="none" w:color="auto"/>
                <w14:textFill>
                  <w14:solidFill>
                    <w14:schemeClr w14:val="tx1"/>
                  </w14:solidFill>
                </w14:textFill>
              </w:rPr>
              <w:t>2. 与三线一单的符合性分析</w:t>
            </w:r>
          </w:p>
          <w:p>
            <w:pPr>
              <w:adjustRightInd w:val="0"/>
              <w:snapToGrid w:val="0"/>
              <w:spacing w:line="360" w:lineRule="auto"/>
              <w:ind w:firstLine="480" w:firstLineChars="200"/>
              <w:rPr>
                <w:rFonts w:ascii="Times New Roman" w:hAnsi="Times New Roman"/>
                <w:i w:val="0"/>
                <w:iCs w:val="0"/>
                <w:color w:val="000000" w:themeColor="text1"/>
                <w:sz w:val="24"/>
                <w:u w:val="none" w:color="auto"/>
                <w14:textFill>
                  <w14:solidFill>
                    <w14:schemeClr w14:val="tx1"/>
                  </w14:solidFill>
                </w14:textFill>
              </w:rPr>
            </w:pPr>
            <w:r>
              <w:rPr>
                <w:rFonts w:hint="eastAsia" w:ascii="Times New Roman" w:hAnsi="Times New Roman"/>
                <w:i w:val="0"/>
                <w:iCs w:val="0"/>
                <w:color w:val="000000" w:themeColor="text1"/>
                <w:sz w:val="24"/>
                <w:u w:val="none" w:color="auto"/>
                <w14:textFill>
                  <w14:solidFill>
                    <w14:schemeClr w14:val="tx1"/>
                  </w14:solidFill>
                </w14:textFill>
              </w:rPr>
              <w:t>《关于以改善环境质量为核心加强环境影响评价管理的通知》（环环评[2016]150号）指出：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从源头防范环境污染和生态破坏的作用，加快推进改善环境质量。</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w:t>
            </w:r>
            <w:r>
              <w:rPr>
                <w:rFonts w:ascii="Times New Roman" w:cs="Times New Roman"/>
                <w:i w:val="0"/>
                <w:iCs w:val="0"/>
                <w:color w:val="000000" w:themeColor="text1"/>
                <w:kern w:val="2"/>
                <w:u w:val="none" w:color="auto"/>
                <w14:textFill>
                  <w14:solidFill>
                    <w14:schemeClr w14:val="tx1"/>
                  </w14:solidFill>
                </w14:textFill>
              </w:rPr>
              <w:t>1</w:t>
            </w:r>
            <w:r>
              <w:rPr>
                <w:rFonts w:hint="eastAsia" w:ascii="Times New Roman" w:cs="Times New Roman"/>
                <w:i w:val="0"/>
                <w:iCs w:val="0"/>
                <w:color w:val="000000" w:themeColor="text1"/>
                <w:kern w:val="2"/>
                <w:u w:val="none" w:color="auto"/>
                <w14:textFill>
                  <w14:solidFill>
                    <w14:schemeClr w14:val="tx1"/>
                  </w14:solidFill>
                </w14:textFill>
              </w:rPr>
              <w:t>）生态红线</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对照《白山市人民政府关于实施</w:t>
            </w:r>
            <w:r>
              <w:rPr>
                <w:rFonts w:ascii="Times New Roman" w:cs="Times New Roman"/>
                <w:i w:val="0"/>
                <w:iCs w:val="0"/>
                <w:color w:val="000000" w:themeColor="text1"/>
                <w:kern w:val="2"/>
                <w:u w:val="none" w:color="auto"/>
                <w14:textFill>
                  <w14:solidFill>
                    <w14:schemeClr w14:val="tx1"/>
                  </w14:solidFill>
                </w14:textFill>
              </w:rPr>
              <w:t>“</w:t>
            </w:r>
            <w:r>
              <w:rPr>
                <w:rFonts w:hint="eastAsia" w:ascii="Times New Roman" w:cs="Times New Roman"/>
                <w:i w:val="0"/>
                <w:iCs w:val="0"/>
                <w:color w:val="000000" w:themeColor="text1"/>
                <w:kern w:val="2"/>
                <w:u w:val="none" w:color="auto"/>
                <w14:textFill>
                  <w14:solidFill>
                    <w14:schemeClr w14:val="tx1"/>
                  </w14:solidFill>
                </w14:textFill>
              </w:rPr>
              <w:t>三线一单</w:t>
            </w:r>
            <w:r>
              <w:rPr>
                <w:rFonts w:ascii="Times New Roman" w:cs="Times New Roman"/>
                <w:i w:val="0"/>
                <w:iCs w:val="0"/>
                <w:color w:val="000000" w:themeColor="text1"/>
                <w:kern w:val="2"/>
                <w:u w:val="none" w:color="auto"/>
                <w14:textFill>
                  <w14:solidFill>
                    <w14:schemeClr w14:val="tx1"/>
                  </w14:solidFill>
                </w14:textFill>
              </w:rPr>
              <w:t>”</w:t>
            </w:r>
            <w:r>
              <w:rPr>
                <w:rFonts w:hint="eastAsia" w:ascii="Times New Roman" w:cs="Times New Roman"/>
                <w:i w:val="0"/>
                <w:iCs w:val="0"/>
                <w:color w:val="000000" w:themeColor="text1"/>
                <w:kern w:val="2"/>
                <w:u w:val="none" w:color="auto"/>
                <w14:textFill>
                  <w14:solidFill>
                    <w14:schemeClr w14:val="tx1"/>
                  </w14:solidFill>
                </w14:textFill>
              </w:rPr>
              <w:t>生态环境分区管控的意见》（白山政函【</w:t>
            </w:r>
            <w:r>
              <w:rPr>
                <w:rFonts w:ascii="Times New Roman" w:cs="Times New Roman"/>
                <w:i w:val="0"/>
                <w:iCs w:val="0"/>
                <w:color w:val="000000" w:themeColor="text1"/>
                <w:kern w:val="2"/>
                <w:u w:val="none" w:color="auto"/>
                <w14:textFill>
                  <w14:solidFill>
                    <w14:schemeClr w14:val="tx1"/>
                  </w14:solidFill>
                </w14:textFill>
              </w:rPr>
              <w:t>2021</w:t>
            </w:r>
            <w:r>
              <w:rPr>
                <w:rFonts w:hint="eastAsia" w:ascii="Times New Roman" w:cs="Times New Roman"/>
                <w:i w:val="0"/>
                <w:iCs w:val="0"/>
                <w:color w:val="000000" w:themeColor="text1"/>
                <w:kern w:val="2"/>
                <w:u w:val="none" w:color="auto"/>
                <w14:textFill>
                  <w14:solidFill>
                    <w14:schemeClr w14:val="tx1"/>
                  </w14:solidFill>
                </w14:textFill>
              </w:rPr>
              <w:t>】</w:t>
            </w:r>
            <w:r>
              <w:rPr>
                <w:rFonts w:ascii="Times New Roman" w:cs="Times New Roman"/>
                <w:i w:val="0"/>
                <w:iCs w:val="0"/>
                <w:color w:val="000000" w:themeColor="text1"/>
                <w:kern w:val="2"/>
                <w:u w:val="none" w:color="auto"/>
                <w14:textFill>
                  <w14:solidFill>
                    <w14:schemeClr w14:val="tx1"/>
                  </w14:solidFill>
                </w14:textFill>
              </w:rPr>
              <w:t>107</w:t>
            </w:r>
            <w:r>
              <w:rPr>
                <w:rFonts w:hint="eastAsia" w:ascii="Times New Roman" w:cs="Times New Roman"/>
                <w:i w:val="0"/>
                <w:iCs w:val="0"/>
                <w:color w:val="000000" w:themeColor="text1"/>
                <w:kern w:val="2"/>
                <w:u w:val="none" w:color="auto"/>
                <w14:textFill>
                  <w14:solidFill>
                    <w14:schemeClr w14:val="tx1"/>
                  </w14:solidFill>
                </w14:textFill>
              </w:rPr>
              <w:t>号），本项目所在地区属于重点管控单元。按照《生态保护红线划定技术指南》，采用《吉林省生态保护红线报告》全省生态保护红线分布结果。生态保护红线划定过程中突出了对长白山区核心区域的保护，长白山国家级自然保护区全部划入红线，其紧邻市县</w:t>
            </w:r>
            <w:r>
              <w:rPr>
                <w:rFonts w:ascii="Times New Roman" w:cs="Times New Roman"/>
                <w:i w:val="0"/>
                <w:iCs w:val="0"/>
                <w:color w:val="000000" w:themeColor="text1"/>
                <w:kern w:val="2"/>
                <w:u w:val="none" w:color="auto"/>
                <w14:textFill>
                  <w14:solidFill>
                    <w14:schemeClr w14:val="tx1"/>
                  </w14:solidFill>
                </w14:textFill>
              </w:rPr>
              <w:t>——</w:t>
            </w:r>
            <w:r>
              <w:rPr>
                <w:rFonts w:hint="eastAsia" w:ascii="Times New Roman" w:cs="Times New Roman"/>
                <w:i w:val="0"/>
                <w:iCs w:val="0"/>
                <w:color w:val="000000" w:themeColor="text1"/>
                <w:kern w:val="2"/>
                <w:u w:val="none" w:color="auto"/>
                <w14:textFill>
                  <w14:solidFill>
                    <w14:schemeClr w14:val="tx1"/>
                  </w14:solidFill>
                </w14:textFill>
              </w:rPr>
              <w:t>安图县、抚松县、临江市、靖宇县、长白山县，红线面积区域占比在</w:t>
            </w:r>
            <w:r>
              <w:rPr>
                <w:rFonts w:ascii="Times New Roman" w:cs="Times New Roman"/>
                <w:i w:val="0"/>
                <w:iCs w:val="0"/>
                <w:color w:val="000000" w:themeColor="text1"/>
                <w:kern w:val="2"/>
                <w:u w:val="none" w:color="auto"/>
                <w14:textFill>
                  <w14:solidFill>
                    <w14:schemeClr w14:val="tx1"/>
                  </w14:solidFill>
                </w14:textFill>
              </w:rPr>
              <w:t xml:space="preserve"> 60%</w:t>
            </w:r>
            <w:r>
              <w:rPr>
                <w:rFonts w:hint="eastAsia" w:ascii="Times New Roman" w:cs="Times New Roman"/>
                <w:i w:val="0"/>
                <w:iCs w:val="0"/>
                <w:color w:val="000000" w:themeColor="text1"/>
                <w:kern w:val="2"/>
                <w:u w:val="none" w:color="auto"/>
                <w14:textFill>
                  <w14:solidFill>
                    <w14:schemeClr w14:val="tx1"/>
                  </w14:solidFill>
                </w14:textFill>
              </w:rPr>
              <w:t>左右；再外围市县</w:t>
            </w:r>
            <w:r>
              <w:rPr>
                <w:rFonts w:ascii="Times New Roman" w:cs="Times New Roman"/>
                <w:i w:val="0"/>
                <w:iCs w:val="0"/>
                <w:color w:val="000000" w:themeColor="text1"/>
                <w:kern w:val="2"/>
                <w:u w:val="none" w:color="auto"/>
                <w14:textFill>
                  <w14:solidFill>
                    <w14:schemeClr w14:val="tx1"/>
                  </w14:solidFill>
                </w14:textFill>
              </w:rPr>
              <w:t>——</w:t>
            </w:r>
            <w:r>
              <w:rPr>
                <w:rFonts w:hint="eastAsia" w:ascii="Times New Roman" w:cs="Times New Roman"/>
                <w:i w:val="0"/>
                <w:iCs w:val="0"/>
                <w:color w:val="000000" w:themeColor="text1"/>
                <w:kern w:val="2"/>
                <w:u w:val="none" w:color="auto"/>
                <w14:textFill>
                  <w14:solidFill>
                    <w14:schemeClr w14:val="tx1"/>
                  </w14:solidFill>
                </w14:textFill>
              </w:rPr>
              <w:t>和龙、敦化、桦甸、通化县，红线面积区域占比在</w:t>
            </w:r>
            <w:r>
              <w:rPr>
                <w:rFonts w:ascii="Times New Roman" w:cs="Times New Roman"/>
                <w:i w:val="0"/>
                <w:iCs w:val="0"/>
                <w:color w:val="000000" w:themeColor="text1"/>
                <w:kern w:val="2"/>
                <w:u w:val="none" w:color="auto"/>
                <w14:textFill>
                  <w14:solidFill>
                    <w14:schemeClr w14:val="tx1"/>
                  </w14:solidFill>
                </w14:textFill>
              </w:rPr>
              <w:t xml:space="preserve"> 40%</w:t>
            </w:r>
            <w:r>
              <w:rPr>
                <w:rFonts w:hint="eastAsia" w:ascii="Times New Roman" w:cs="Times New Roman"/>
                <w:i w:val="0"/>
                <w:iCs w:val="0"/>
                <w:color w:val="000000" w:themeColor="text1"/>
                <w:kern w:val="2"/>
                <w:u w:val="none" w:color="auto"/>
                <w14:textFill>
                  <w14:solidFill>
                    <w14:schemeClr w14:val="tx1"/>
                  </w14:solidFill>
                </w14:textFill>
              </w:rPr>
              <w:t>左右。本项目不属于生态保护红线、自然保护地、饮用水水源保护区及其他生态功能重要区和生态环境敏感区，不属于禁止开发区域，符合生态保护红线要求。</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w:t>
            </w:r>
            <w:r>
              <w:rPr>
                <w:rFonts w:ascii="Times New Roman" w:cs="Times New Roman"/>
                <w:i w:val="0"/>
                <w:iCs w:val="0"/>
                <w:color w:val="000000" w:themeColor="text1"/>
                <w:kern w:val="2"/>
                <w:u w:val="none" w:color="auto"/>
                <w14:textFill>
                  <w14:solidFill>
                    <w14:schemeClr w14:val="tx1"/>
                  </w14:solidFill>
                </w14:textFill>
              </w:rPr>
              <w:t>2</w:t>
            </w:r>
            <w:r>
              <w:rPr>
                <w:rFonts w:hint="eastAsia" w:ascii="Times New Roman" w:cs="Times New Roman"/>
                <w:i w:val="0"/>
                <w:iCs w:val="0"/>
                <w:color w:val="000000" w:themeColor="text1"/>
                <w:kern w:val="2"/>
                <w:u w:val="none" w:color="auto"/>
                <w14:textFill>
                  <w14:solidFill>
                    <w14:schemeClr w14:val="tx1"/>
                  </w14:solidFill>
                </w14:textFill>
              </w:rPr>
              <w:t>）环境质量底线</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根据吉林省生态环境厅公布的《</w:t>
            </w:r>
            <w:r>
              <w:rPr>
                <w:rFonts w:ascii="Times New Roman" w:cs="Times New Roman"/>
                <w:i w:val="0"/>
                <w:iCs w:val="0"/>
                <w:color w:val="000000" w:themeColor="text1"/>
                <w:kern w:val="2"/>
                <w:u w:val="none" w:color="auto"/>
                <w14:textFill>
                  <w14:solidFill>
                    <w14:schemeClr w14:val="tx1"/>
                  </w14:solidFill>
                </w14:textFill>
              </w:rPr>
              <w:t>2020</w:t>
            </w:r>
            <w:r>
              <w:rPr>
                <w:rFonts w:hint="eastAsia" w:ascii="Times New Roman" w:cs="Times New Roman"/>
                <w:i w:val="0"/>
                <w:iCs w:val="0"/>
                <w:color w:val="000000" w:themeColor="text1"/>
                <w:kern w:val="2"/>
                <w:u w:val="none" w:color="auto"/>
                <w14:textFill>
                  <w14:solidFill>
                    <w14:schemeClr w14:val="tx1"/>
                  </w14:solidFill>
                </w14:textFill>
              </w:rPr>
              <w:t>年吉林省各县（市、区）六项污染物浓度年均值》数据，白山市为达标区；根据监测数据可知，</w:t>
            </w:r>
            <w:r>
              <w:rPr>
                <w:rFonts w:ascii="Times New Roman" w:cs="Times New Roman"/>
                <w:i w:val="0"/>
                <w:iCs w:val="0"/>
                <w:color w:val="000000" w:themeColor="text1"/>
                <w:kern w:val="2"/>
                <w:u w:val="none" w:color="auto"/>
                <w14:textFill>
                  <w14:solidFill>
                    <w14:schemeClr w14:val="tx1"/>
                  </w14:solidFill>
                </w14:textFill>
              </w:rPr>
              <w:t>NOx</w:t>
            </w:r>
            <w:r>
              <w:rPr>
                <w:rFonts w:hint="eastAsia" w:ascii="Times New Roman" w:cs="Times New Roman"/>
                <w:i w:val="0"/>
                <w:iCs w:val="0"/>
                <w:color w:val="000000" w:themeColor="text1"/>
                <w:kern w:val="2"/>
                <w:u w:val="none" w:color="auto"/>
                <w14:textFill>
                  <w14:solidFill>
                    <w14:schemeClr w14:val="tx1"/>
                  </w14:solidFill>
                </w14:textFill>
              </w:rPr>
              <w:t>、</w:t>
            </w:r>
            <w:r>
              <w:rPr>
                <w:rFonts w:ascii="Times New Roman" w:cs="Times New Roman"/>
                <w:i w:val="0"/>
                <w:iCs w:val="0"/>
                <w:color w:val="000000" w:themeColor="text1"/>
                <w:kern w:val="2"/>
                <w:u w:val="none" w:color="auto"/>
                <w14:textFill>
                  <w14:solidFill>
                    <w14:schemeClr w14:val="tx1"/>
                  </w14:solidFill>
                </w14:textFill>
              </w:rPr>
              <w:t>TSP</w:t>
            </w:r>
            <w:r>
              <w:rPr>
                <w:rFonts w:hint="eastAsia" w:ascii="Times New Roman" w:cs="Times New Roman"/>
                <w:i w:val="0"/>
                <w:iCs w:val="0"/>
                <w:color w:val="000000" w:themeColor="text1"/>
                <w:kern w:val="2"/>
                <w:u w:val="none" w:color="auto"/>
                <w14:textFill>
                  <w14:solidFill>
                    <w14:schemeClr w14:val="tx1"/>
                  </w14:solidFill>
                </w14:textFill>
              </w:rPr>
              <w:t>监测点位污染物单项标准指数小于</w:t>
            </w:r>
            <w:r>
              <w:rPr>
                <w:rFonts w:ascii="Times New Roman" w:cs="Times New Roman"/>
                <w:i w:val="0"/>
                <w:iCs w:val="0"/>
                <w:color w:val="000000" w:themeColor="text1"/>
                <w:kern w:val="2"/>
                <w:u w:val="none" w:color="auto"/>
                <w14:textFill>
                  <w14:solidFill>
                    <w14:schemeClr w14:val="tx1"/>
                  </w14:solidFill>
                </w14:textFill>
              </w:rPr>
              <w:t>100%</w:t>
            </w:r>
            <w:r>
              <w:rPr>
                <w:rFonts w:hint="eastAsia" w:ascii="Times New Roman" w:cs="Times New Roman"/>
                <w:i w:val="0"/>
                <w:iCs w:val="0"/>
                <w:color w:val="000000" w:themeColor="text1"/>
                <w:kern w:val="2"/>
                <w:u w:val="none" w:color="auto"/>
                <w14:textFill>
                  <w14:solidFill>
                    <w14:schemeClr w14:val="tx1"/>
                  </w14:solidFill>
                </w14:textFill>
              </w:rPr>
              <w:t>，能够满足《环境空气质量标准》（</w:t>
            </w:r>
            <w:r>
              <w:rPr>
                <w:rFonts w:ascii="Times New Roman" w:cs="Times New Roman"/>
                <w:i w:val="0"/>
                <w:iCs w:val="0"/>
                <w:color w:val="000000" w:themeColor="text1"/>
                <w:kern w:val="2"/>
                <w:u w:val="none" w:color="auto"/>
                <w14:textFill>
                  <w14:solidFill>
                    <w14:schemeClr w14:val="tx1"/>
                  </w14:solidFill>
                </w14:textFill>
              </w:rPr>
              <w:t>GB3095-2012</w:t>
            </w:r>
            <w:r>
              <w:rPr>
                <w:rFonts w:hint="eastAsia" w:ascii="Times New Roman" w:cs="Times New Roman"/>
                <w:i w:val="0"/>
                <w:iCs w:val="0"/>
                <w:color w:val="000000" w:themeColor="text1"/>
                <w:kern w:val="2"/>
                <w:u w:val="none" w:color="auto"/>
                <w14:textFill>
                  <w14:solidFill>
                    <w14:schemeClr w14:val="tx1"/>
                  </w14:solidFill>
                </w14:textFill>
              </w:rPr>
              <w:t>）中二级标准；区域声环境满足《声环境质量标准》（</w:t>
            </w:r>
            <w:r>
              <w:rPr>
                <w:rFonts w:ascii="Times New Roman" w:cs="Times New Roman"/>
                <w:i w:val="0"/>
                <w:iCs w:val="0"/>
                <w:color w:val="000000" w:themeColor="text1"/>
                <w:kern w:val="2"/>
                <w:u w:val="none" w:color="auto"/>
                <w14:textFill>
                  <w14:solidFill>
                    <w14:schemeClr w14:val="tx1"/>
                  </w14:solidFill>
                </w14:textFill>
              </w:rPr>
              <w:t>GB3096-2008</w:t>
            </w:r>
            <w:r>
              <w:rPr>
                <w:rFonts w:hint="eastAsia" w:ascii="Times New Roman" w:cs="Times New Roman"/>
                <w:i w:val="0"/>
                <w:iCs w:val="0"/>
                <w:color w:val="000000" w:themeColor="text1"/>
                <w:kern w:val="2"/>
                <w:u w:val="none" w:color="auto"/>
                <w14:textFill>
                  <w14:solidFill>
                    <w14:schemeClr w14:val="tx1"/>
                  </w14:solidFill>
                </w14:textFill>
              </w:rPr>
              <w:t>）中</w:t>
            </w:r>
            <w:r>
              <w:rPr>
                <w:rFonts w:ascii="Times New Roman" w:cs="Times New Roman"/>
                <w:i w:val="0"/>
                <w:iCs w:val="0"/>
                <w:color w:val="000000" w:themeColor="text1"/>
                <w:kern w:val="2"/>
                <w:u w:val="none" w:color="auto"/>
                <w14:textFill>
                  <w14:solidFill>
                    <w14:schemeClr w14:val="tx1"/>
                  </w14:solidFill>
                </w14:textFill>
              </w:rPr>
              <w:t>2</w:t>
            </w:r>
            <w:r>
              <w:rPr>
                <w:rFonts w:hint="eastAsia" w:ascii="Times New Roman" w:cs="Times New Roman"/>
                <w:i w:val="0"/>
                <w:iCs w:val="0"/>
                <w:color w:val="000000" w:themeColor="text1"/>
                <w:kern w:val="2"/>
                <w:u w:val="none" w:color="auto"/>
                <w14:textFill>
                  <w14:solidFill>
                    <w14:schemeClr w14:val="tx1"/>
                  </w14:solidFill>
                </w14:textFill>
              </w:rPr>
              <w:t>类功能区，项目区域环境质量现状较好，具有相应的环境容量。本项目主要废气为氮氧化物、二氧化硫及颗粒物，采取相应治理措施后可达标排放；项目产生的固体废物全部妥善处理，不直接排入外环境；项目三废均能有效处理，不会明显降低区域环境质量现状；本项目建设不会对当地环境质量底线造成冲击。</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w:t>
            </w:r>
            <w:r>
              <w:rPr>
                <w:rFonts w:ascii="Times New Roman" w:cs="Times New Roman"/>
                <w:i w:val="0"/>
                <w:iCs w:val="0"/>
                <w:color w:val="000000" w:themeColor="text1"/>
                <w:kern w:val="2"/>
                <w:u w:val="none" w:color="auto"/>
                <w14:textFill>
                  <w14:solidFill>
                    <w14:schemeClr w14:val="tx1"/>
                  </w14:solidFill>
                </w14:textFill>
              </w:rPr>
              <w:t>3</w:t>
            </w:r>
            <w:r>
              <w:rPr>
                <w:rFonts w:hint="eastAsia" w:ascii="Times New Roman" w:cs="Times New Roman"/>
                <w:i w:val="0"/>
                <w:iCs w:val="0"/>
                <w:color w:val="000000" w:themeColor="text1"/>
                <w:kern w:val="2"/>
                <w:u w:val="none" w:color="auto"/>
                <w14:textFill>
                  <w14:solidFill>
                    <w14:schemeClr w14:val="tx1"/>
                  </w14:solidFill>
                </w14:textFill>
              </w:rPr>
              <w:t>）资源利用上限</w:t>
            </w:r>
          </w:p>
          <w:p>
            <w:pPr>
              <w:pStyle w:val="24"/>
              <w:spacing w:line="360" w:lineRule="auto"/>
              <w:ind w:firstLine="480" w:firstLineChars="200"/>
              <w:rPr>
                <w:rFonts w:ascii="Times New Roman" w:cs="Times New Roman"/>
                <w:i w:val="0"/>
                <w:iCs w:val="0"/>
                <w:color w:val="000000" w:themeColor="text1"/>
                <w:kern w:val="2"/>
                <w:u w:val="none" w:color="auto"/>
                <w14:textFill>
                  <w14:solidFill>
                    <w14:schemeClr w14:val="tx1"/>
                  </w14:solidFill>
                </w14:textFill>
              </w:rPr>
            </w:pPr>
            <w:r>
              <w:rPr>
                <w:rFonts w:hint="eastAsia" w:ascii="Times New Roman" w:cs="Times New Roman"/>
                <w:i w:val="0"/>
                <w:iCs w:val="0"/>
                <w:color w:val="000000" w:themeColor="text1"/>
                <w:kern w:val="2"/>
                <w:u w:val="none" w:color="auto"/>
                <w14:textFill>
                  <w14:solidFill>
                    <w14:schemeClr w14:val="tx1"/>
                  </w14:solidFill>
                </w14:textFill>
              </w:rPr>
              <w:t>本项目属于热力生产和供应工程，项目原料为生物质颗粒，具有低碳、节能、环保可再生利用的优势且运行过程全部在锅炉房内进行，运营期消耗的电能、水资源较少，项目资源消耗量相对区域资源利用总量较少，不涉及突破区域土地资源、水资源等资源利用上线。</w:t>
            </w:r>
          </w:p>
          <w:p>
            <w:pPr>
              <w:spacing w:line="360" w:lineRule="auto"/>
              <w:ind w:firstLine="482" w:firstLineChars="200"/>
              <w:rPr>
                <w:rFonts w:ascii="Times New Roman" w:hAnsi="Times New Roman"/>
                <w:b/>
                <w:bCs/>
                <w:i w:val="0"/>
                <w:iCs w:val="0"/>
                <w:color w:val="000000" w:themeColor="text1"/>
                <w:sz w:val="24"/>
                <w:u w:val="none" w:color="auto"/>
                <w14:textFill>
                  <w14:solidFill>
                    <w14:schemeClr w14:val="tx1"/>
                  </w14:solidFill>
                </w14:textFill>
              </w:rPr>
            </w:pPr>
            <w:r>
              <w:rPr>
                <w:rFonts w:hint="eastAsia" w:ascii="Times New Roman" w:hAnsi="Times New Roman"/>
                <w:b/>
                <w:bCs/>
                <w:i w:val="0"/>
                <w:iCs w:val="0"/>
                <w:color w:val="000000" w:themeColor="text1"/>
                <w:sz w:val="24"/>
                <w:u w:val="none" w:color="auto"/>
                <w14:textFill>
                  <w14:solidFill>
                    <w14:schemeClr w14:val="tx1"/>
                  </w14:solidFill>
                </w14:textFill>
              </w:rPr>
              <w:t>（4）与生态环境准入清单相符性</w:t>
            </w:r>
          </w:p>
          <w:p>
            <w:pPr>
              <w:pStyle w:val="24"/>
              <w:spacing w:line="360" w:lineRule="auto"/>
              <w:ind w:firstLine="482" w:firstLineChars="200"/>
              <w:rPr>
                <w:rFonts w:ascii="Times New Roman" w:cs="Times New Roman"/>
                <w:b/>
                <w:bCs/>
                <w:i/>
                <w:iCs/>
                <w:color w:val="000000" w:themeColor="text1"/>
                <w:kern w:val="2"/>
                <w:u w:val="single" w:color="auto"/>
                <w14:textFill>
                  <w14:solidFill>
                    <w14:schemeClr w14:val="tx1"/>
                  </w14:solidFill>
                </w14:textFill>
              </w:rPr>
            </w:pPr>
            <w:r>
              <w:rPr>
                <w:rFonts w:ascii="Times New Roman" w:cs="Times New Roman"/>
                <w:b/>
                <w:bCs/>
                <w:i/>
                <w:iCs/>
                <w:color w:val="000000" w:themeColor="text1"/>
                <w:kern w:val="2"/>
                <w:u w:val="single" w:color="auto"/>
                <w14:textFill>
                  <w14:solidFill>
                    <w14:schemeClr w14:val="tx1"/>
                  </w14:solidFill>
                </w14:textFill>
              </w:rPr>
              <w:t>经查阅环境准入清单，以环境管控单元为基础，从空间布局约束、污染物排放管控、风险管控防控、资源开发利用效率四个维度进行对比</w:t>
            </w:r>
            <w:r>
              <w:rPr>
                <w:rFonts w:hint="eastAsia" w:ascii="Times New Roman" w:cs="Times New Roman"/>
                <w:b/>
                <w:bCs/>
                <w:i/>
                <w:iCs/>
                <w:color w:val="000000" w:themeColor="text1"/>
                <w:kern w:val="2"/>
                <w:u w:val="single" w:color="auto"/>
                <w14:textFill>
                  <w14:solidFill>
                    <w14:schemeClr w14:val="tx1"/>
                  </w14:solidFill>
                </w14:textFill>
              </w:rPr>
              <w:t>，详见表1和表2</w:t>
            </w:r>
            <w:r>
              <w:rPr>
                <w:rFonts w:ascii="Times New Roman" w:cs="Times New Roman"/>
                <w:b/>
                <w:bCs/>
                <w:i/>
                <w:iCs/>
                <w:color w:val="000000" w:themeColor="text1"/>
                <w:kern w:val="2"/>
                <w:u w:val="single" w:color="auto"/>
                <w14:textFill>
                  <w14:solidFill>
                    <w14:schemeClr w14:val="tx1"/>
                  </w14:solidFill>
                </w14:textFill>
              </w:rPr>
              <w:t>，本项目</w:t>
            </w:r>
            <w:r>
              <w:rPr>
                <w:rFonts w:hint="eastAsia" w:ascii="Times New Roman" w:cs="Times New Roman"/>
                <w:b/>
                <w:bCs/>
                <w:i/>
                <w:iCs/>
                <w:color w:val="000000" w:themeColor="text1"/>
                <w:kern w:val="2"/>
                <w:u w:val="single" w:color="auto"/>
                <w:lang w:eastAsia="zh-CN"/>
                <w14:textFill>
                  <w14:solidFill>
                    <w14:schemeClr w14:val="tx1"/>
                  </w14:solidFill>
                </w14:textFill>
              </w:rPr>
              <w:t>位于白山市重点管控单元内，</w:t>
            </w:r>
            <w:r>
              <w:rPr>
                <w:rFonts w:ascii="Times New Roman" w:cs="Times New Roman"/>
                <w:b/>
                <w:bCs/>
                <w:i/>
                <w:iCs/>
                <w:color w:val="000000" w:themeColor="text1"/>
                <w:kern w:val="2"/>
                <w:u w:val="single" w:color="auto"/>
                <w14:textFill>
                  <w14:solidFill>
                    <w14:schemeClr w14:val="tx1"/>
                  </w14:solidFill>
                </w14:textFill>
              </w:rPr>
              <w:t>符合环境准入清单。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仿宋_GB2312" w:eastAsia="宋体" w:cs="Times New Roman"/>
                <w:i w:val="0"/>
                <w:iCs w:val="0"/>
                <w:color w:val="000000" w:themeColor="text1"/>
                <w:kern w:val="2"/>
                <w:sz w:val="24"/>
                <w:szCs w:val="24"/>
                <w:u w:val="none" w:color="auto"/>
                <w:lang w:val="en-US" w:eastAsia="zh-CN" w:bidi="ar-SA"/>
                <w14:textFill>
                  <w14:solidFill>
                    <w14:schemeClr w14:val="tx1"/>
                  </w14:solidFill>
                </w14:textFill>
              </w:rPr>
            </w:pPr>
            <w:r>
              <w:rPr>
                <w:rFonts w:hint="eastAsia" w:ascii="Times New Roman" w:hAnsi="仿宋_GB2312" w:cs="Times New Roman"/>
                <w:b/>
                <w:bCs/>
                <w:i/>
                <w:iCs/>
                <w:color w:val="000000" w:themeColor="text1"/>
                <w:kern w:val="2"/>
                <w:sz w:val="24"/>
                <w:szCs w:val="24"/>
                <w:u w:val="single" w:color="auto"/>
                <w:lang w:val="en-US" w:eastAsia="zh-CN" w:bidi="ar-SA"/>
                <w14:textFill>
                  <w14:solidFill>
                    <w14:schemeClr w14:val="tx1"/>
                  </w14:solidFill>
                </w14:textFill>
              </w:rPr>
              <w:t>重点</w:t>
            </w:r>
            <w:r>
              <w:rPr>
                <w:rFonts w:hint="eastAsia" w:ascii="Times New Roman" w:hAnsi="仿宋_GB2312" w:eastAsia="宋体" w:cs="Times New Roman"/>
                <w:b/>
                <w:bCs/>
                <w:i/>
                <w:iCs/>
                <w:color w:val="000000" w:themeColor="text1"/>
                <w:kern w:val="2"/>
                <w:sz w:val="24"/>
                <w:szCs w:val="24"/>
                <w:u w:val="single" w:color="auto"/>
                <w:lang w:val="en-US" w:eastAsia="zh-CN" w:bidi="ar-SA"/>
                <w14:textFill>
                  <w14:solidFill>
                    <w14:schemeClr w14:val="tx1"/>
                  </w14:solidFill>
                </w14:textFill>
              </w:rPr>
              <w:t>管控单位的管控要求为优化空间和产业布局，结合生态环境质量达标情况以及经济社会发展水平等，按照差别化的生态环境准入要求，加强污染物排放控制和环境风险防控，不断提升资源利用效率，稳步改善生态环境质量。水环境重点管控区、大气环境重点管控区和土壤污染风险重点管控区应当按照管控对象不同属性和功能，严格按照法律法规和有关规定分类实施重点管控。</w:t>
            </w:r>
          </w:p>
          <w:p>
            <w:pPr>
              <w:widowControl/>
              <w:snapToGrid w:val="0"/>
              <w:jc w:val="center"/>
              <w:rPr>
                <w:b/>
                <w:bCs/>
                <w:i w:val="0"/>
                <w:iCs w:val="0"/>
                <w:kern w:val="0"/>
                <w:szCs w:val="21"/>
                <w:u w:val="none" w:color="auto"/>
              </w:rPr>
            </w:pPr>
            <w:r>
              <w:rPr>
                <w:rFonts w:hint="eastAsia"/>
                <w:b/>
                <w:bCs/>
                <w:i w:val="0"/>
                <w:iCs w:val="0"/>
                <w:kern w:val="0"/>
                <w:szCs w:val="21"/>
                <w:u w:val="none" w:color="auto"/>
              </w:rPr>
              <w:t>表</w:t>
            </w:r>
            <w:r>
              <w:rPr>
                <w:b/>
                <w:bCs/>
                <w:i w:val="0"/>
                <w:iCs w:val="0"/>
                <w:kern w:val="0"/>
                <w:szCs w:val="21"/>
                <w:u w:val="none" w:color="auto"/>
              </w:rPr>
              <w:t xml:space="preserve">1  </w:t>
            </w:r>
            <w:r>
              <w:rPr>
                <w:rFonts w:hint="eastAsia"/>
                <w:b/>
                <w:bCs/>
                <w:i w:val="0"/>
                <w:iCs w:val="0"/>
                <w:kern w:val="0"/>
                <w:szCs w:val="21"/>
                <w:u w:val="none" w:color="auto"/>
              </w:rPr>
              <w:t>白山市生态环境准入清单</w:t>
            </w:r>
          </w:p>
          <w:tbl>
            <w:tblPr>
              <w:tblStyle w:val="19"/>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32"/>
              <w:gridCol w:w="4549"/>
              <w:gridCol w:w="1722"/>
              <w:gridCol w:w="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612" w:hRule="atLeast"/>
                <w:jc w:val="center"/>
              </w:trPr>
              <w:tc>
                <w:tcPr>
                  <w:tcW w:w="592" w:type="pct"/>
                  <w:tcBorders>
                    <w:top w:val="single" w:color="auto" w:sz="12"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管控</w:t>
                  </w:r>
                </w:p>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类别</w:t>
                  </w:r>
                </w:p>
              </w:tc>
              <w:tc>
                <w:tcPr>
                  <w:tcW w:w="3252" w:type="pct"/>
                  <w:gridSpan w:val="2"/>
                  <w:tcBorders>
                    <w:top w:val="single" w:color="auto" w:sz="12"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管控要求</w:t>
                  </w:r>
                </w:p>
              </w:tc>
              <w:tc>
                <w:tcPr>
                  <w:tcW w:w="1124" w:type="pct"/>
                  <w:tcBorders>
                    <w:top w:val="single" w:color="auto" w:sz="12" w:space="0"/>
                    <w:left w:val="single" w:color="auto" w:sz="4" w:space="0"/>
                    <w:bottom w:val="single" w:color="auto" w:sz="4" w:space="0"/>
                    <w:right w:val="nil"/>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90" w:hRule="atLeast"/>
                <w:jc w:val="center"/>
              </w:trPr>
              <w:tc>
                <w:tcPr>
                  <w:tcW w:w="592" w:type="pct"/>
                  <w:vMerge w:val="restart"/>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空间布局约束</w:t>
                  </w:r>
                </w:p>
              </w:tc>
              <w:tc>
                <w:tcPr>
                  <w:tcW w:w="32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严格落实《中华人民共和国自然保护区条例（2017年修订）》《水产种质资源保护区管理暂行办法（2016年修正本）》《国家湿地公园管理办法》《国家级森林公园管理办法》《湿地保护管理规程》《中华人民共和国森林法》要求。</w:t>
                  </w:r>
                </w:p>
              </w:tc>
              <w:tc>
                <w:tcPr>
                  <w:tcW w:w="1124" w:type="pct"/>
                  <w:tcBorders>
                    <w:top w:val="single" w:color="auto" w:sz="4" w:space="0"/>
                    <w:left w:val="single" w:color="auto" w:sz="4" w:space="0"/>
                    <w:bottom w:val="single" w:color="auto" w:sz="4" w:space="0"/>
                    <w:right w:val="nil"/>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符合。本项目不涉及自然保护区、国家湿地公园、国家级森林公园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447"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32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禁止在自然保护区、森林公园，景区及附近林地；江河源头和两岸林地；水库湖泊周围等生态重要区位林地；国道、省道、县道两侧第一层山脊内林地；坡度在25度以上的林地；山脊、沟壑等林地；不符合人数种植标准和要求的其他林地的采伐迹地种植人参</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符合。本项目不涉及人参种植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526" w:hRule="atLeast"/>
                <w:jc w:val="center"/>
              </w:trPr>
              <w:tc>
                <w:tcPr>
                  <w:tcW w:w="592" w:type="pct"/>
                  <w:vMerge w:val="restart"/>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污染物排放管控</w:t>
                  </w:r>
                </w:p>
              </w:tc>
              <w:tc>
                <w:tcPr>
                  <w:tcW w:w="282"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环境质量目标</w:t>
                  </w: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大气环境质量持续改善，2025年，实现空气质量优良率达到95%，PM2.5年均浓度确保控制在28微克/立方米。</w:t>
                  </w:r>
                </w:p>
              </w:tc>
              <w:tc>
                <w:tcPr>
                  <w:tcW w:w="1124" w:type="pct"/>
                  <w:tcBorders>
                    <w:top w:val="single" w:color="auto" w:sz="4" w:space="0"/>
                    <w:left w:val="single" w:color="auto" w:sz="4" w:space="0"/>
                    <w:bottom w:val="single" w:color="auto" w:sz="4" w:space="0"/>
                    <w:right w:val="nil"/>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符合。本项目大气污染物可实现达标排放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631"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水环境质量持续改善。到2025年，地表水优良比例达到95%、城市集中式饮用水水源达到或优于III类比例达到100%。到2055年，白山地区水生态环境质量在满足水生态功能区要求外，河流生态水量得到根本保障，水生态系统功能全面改善。断面均达到III类或III类以上水质目标。</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符合。本项目无新增废水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318"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到2025年，受污染耕地安全利用率达到92%以上，污染地块安全利用率达到92%以上；到2035年，受污染耕地安全利用率达到95%以上，污染地块安全利用率达到95%以上。</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符合。本项目不涉及耕地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881"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282"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污染物控制要求</w:t>
                  </w: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1.深入实施氮氧化物和VOCs总量控制。以工业园区、企业集群和重点企业为重点管控对象，逐步实施挥发性有机物总量控制。</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2.实施煤炭消费总量控制。推行使用清洁可再生能源。</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3.深化重点领域大气污染防治。深化燃煤锅炉综合整治，突出解决城乡结合部散煤燃烧问题。全面推行重点行业超低排放改造和深度治理。深化柴油货车污染防治。加强秸秆禁烧和综合利用，加快秸秆收储运体系建设。严格控制餐饮油烟污染。</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符合。本项目生物质锅炉烟气经布袋除尘器处理后经35m高排气筒达标排放，对环境空气影响较小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697"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1.加快建设生活污水收集管网，加快填补污水收集管网空白区，各县（市、区）建成区生活污水处理全面达到一级A排放标准。</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2.工业园区污水处理设施全部达标排放，完成区城内重点污染源企业的核查工作，督促其新建或改进污水处理设施，实现污水稳定达标排放。</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3.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符合。本项目无新增废水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9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1.做好土壤保护基础工作，开展土壤环境质量调查，掌握全市土壤环境污染和环境风险状况。建设土壤环境监测网络，采用“互联网+”技术，在全市域范围内合理设置监测点位，建设土壤环境监测网络，建立建设用地调查评估制度。</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2.实施土壤分类别分用途管理。实施农用地分类别管理。</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3.推进农用地风险防控。严守永久基本农田控制线。对受污染农用地治理修复。</w:t>
                  </w:r>
                </w:p>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4.推动建设用地污染场地修复。建立土壤污染源头预防和风险管控体系。开展建设用地污染地块修复工程。按照科学有序原则开发利用未利用地。开展土壤和地下水污染场地修复治理工程，推动建设污染场地土壤治理试点示范。加快工矿污染地块治理与修复。</w:t>
                  </w:r>
                </w:p>
              </w:tc>
              <w:tc>
                <w:tcPr>
                  <w:tcW w:w="1124" w:type="pct"/>
                  <w:tcBorders>
                    <w:top w:val="single" w:color="auto" w:sz="4" w:space="0"/>
                    <w:left w:val="single" w:color="auto" w:sz="4" w:space="0"/>
                    <w:bottom w:val="single" w:color="auto" w:sz="4" w:space="0"/>
                    <w:right w:val="nil"/>
                  </w:tcBorders>
                  <w:vAlign w:val="center"/>
                </w:tcPr>
                <w:p>
                  <w:pPr>
                    <w:autoSpaceDE w:val="0"/>
                    <w:autoSpaceDN w:val="0"/>
                    <w:adjustRightInd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符合。本项目不会污染土壤和地下。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90" w:hRule="atLeast"/>
                <w:jc w:val="center"/>
              </w:trPr>
              <w:tc>
                <w:tcPr>
                  <w:tcW w:w="592" w:type="pct"/>
                  <w:tcBorders>
                    <w:top w:val="single" w:color="auto" w:sz="4" w:space="0"/>
                    <w:left w:val="nil"/>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环境风险防控</w:t>
                  </w:r>
                </w:p>
              </w:tc>
              <w:tc>
                <w:tcPr>
                  <w:tcW w:w="32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1.强化危险废物风险防控。强化固体废物全过程监管，加强环境风险评估，紧盯“一废一库一品”（危险废物、尾矿库、危险化学品），加强医疗废物收集和处置等全程跟踪监管，强化污水处理厂污泥处置和管理。</w:t>
                  </w:r>
                </w:p>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2.开展重点区域分级分类管理。加快实施建设用地分用途管理。严格建设用地规划，实施农用地土壤分类管控。</w:t>
                  </w:r>
                </w:p>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3.防范重点领域环境风险。加强涉重行业综合防控。强化白山市金属表面处理、燃煤火力发电等行业重金属污染防治措施。推进化学品环境风险防控。开展白山市有毒有害化学品企业调查，加强重点行业危险化学品全过程环境监管。加强核与辐射环境监管。健全核与辐射应急响应体系。加强危险废物监管。推广区域性医疗废物协同与应急处置机制。推进重金属污染风险防治。加强企业生产全过程污染管控，开展涉重历史遗留问题环境风险隐患排查。</w:t>
                  </w:r>
                </w:p>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4.提升环境风险预警、排查、应对水平。完善化工企业环境风险预警体系，推动存在重大环境风险的化工园区、化工企业建设“一体化”、“智能化”预警体系。</w:t>
                  </w:r>
                </w:p>
              </w:tc>
              <w:tc>
                <w:tcPr>
                  <w:tcW w:w="1124" w:type="pct"/>
                  <w:tcBorders>
                    <w:top w:val="single" w:color="auto" w:sz="4" w:space="0"/>
                    <w:left w:val="single" w:color="auto" w:sz="4" w:space="0"/>
                    <w:bottom w:val="single" w:color="auto" w:sz="4" w:space="0"/>
                    <w:right w:val="nil"/>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符合。本项目不涉及表面处理、燃煤和有毒有害化学品，不涉及核与辐射和医疗废物。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2" w:type="pct"/>
                  <w:vMerge w:val="restart"/>
                  <w:tcBorders>
                    <w:top w:val="single" w:color="auto" w:sz="4" w:space="0"/>
                    <w:left w:val="nil"/>
                    <w:bottom w:val="single" w:color="auto" w:sz="12"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资源利用要求</w:t>
                  </w:r>
                </w:p>
              </w:tc>
              <w:tc>
                <w:tcPr>
                  <w:tcW w:w="2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水资源</w:t>
                  </w:r>
                </w:p>
              </w:tc>
              <w:tc>
                <w:tcPr>
                  <w:tcW w:w="296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2025年，水资源管理控制指标为4.43亿m</w:t>
                  </w:r>
                  <w:r>
                    <w:rPr>
                      <w:rFonts w:ascii="Times New Roman" w:hAnsi="Times New Roman"/>
                      <w:i w:val="0"/>
                      <w:iCs w:val="0"/>
                      <w:color w:val="000000" w:themeColor="text1"/>
                      <w:sz w:val="18"/>
                      <w:szCs w:val="18"/>
                      <w:u w:val="none" w:color="auto"/>
                      <w:vertAlign w:val="superscript"/>
                      <w14:textFill>
                        <w14:solidFill>
                          <w14:schemeClr w14:val="tx1"/>
                        </w14:solidFill>
                      </w14:textFill>
                    </w:rPr>
                    <w:t>3</w:t>
                  </w:r>
                  <w:r>
                    <w:rPr>
                      <w:rFonts w:ascii="Times New Roman" w:hAnsi="Times New Roman"/>
                      <w:i w:val="0"/>
                      <w:iCs w:val="0"/>
                      <w:color w:val="000000" w:themeColor="text1"/>
                      <w:sz w:val="18"/>
                      <w:szCs w:val="18"/>
                      <w:u w:val="none" w:color="auto"/>
                      <w14:textFill>
                        <w14:solidFill>
                          <w14:schemeClr w14:val="tx1"/>
                        </w14:solidFill>
                      </w14:textFill>
                    </w:rPr>
                    <w:t>；2035年，水资源管理控制指标为4.81亿m</w:t>
                  </w:r>
                  <w:r>
                    <w:rPr>
                      <w:rFonts w:ascii="Times New Roman" w:hAnsi="Times New Roman"/>
                      <w:i w:val="0"/>
                      <w:iCs w:val="0"/>
                      <w:color w:val="000000" w:themeColor="text1"/>
                      <w:sz w:val="18"/>
                      <w:szCs w:val="18"/>
                      <w:u w:val="none" w:color="auto"/>
                      <w:vertAlign w:val="superscript"/>
                      <w14:textFill>
                        <w14:solidFill>
                          <w14:schemeClr w14:val="tx1"/>
                        </w14:solidFill>
                      </w14:textFill>
                    </w:rPr>
                    <w:t>3</w:t>
                  </w:r>
                  <w:r>
                    <w:rPr>
                      <w:rFonts w:ascii="Times New Roman" w:hAnsi="Times New Roman"/>
                      <w:i w:val="0"/>
                      <w:iCs w:val="0"/>
                      <w:color w:val="000000" w:themeColor="text1"/>
                      <w:sz w:val="18"/>
                      <w:szCs w:val="18"/>
                      <w:u w:val="none" w:color="auto"/>
                      <w14:textFill>
                        <w14:solidFill>
                          <w14:schemeClr w14:val="tx1"/>
                        </w14:solidFill>
                      </w14:textFill>
                    </w:rPr>
                    <w:t>。</w:t>
                  </w:r>
                </w:p>
              </w:tc>
              <w:tc>
                <w:tcPr>
                  <w:tcW w:w="1155" w:type="pct"/>
                  <w:gridSpan w:val="2"/>
                  <w:vMerge w:val="restart"/>
                  <w:tcBorders>
                    <w:top w:val="single" w:color="auto" w:sz="4" w:space="0"/>
                    <w:left w:val="single" w:color="auto" w:sz="4" w:space="0"/>
                    <w:bottom w:val="single" w:color="auto" w:sz="12" w:space="0"/>
                    <w:right w:val="nil"/>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符合。本项目水资源消耗量较低。本项目不涉及煤炭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ascii="Times New Roman" w:hAnsi="Times New Roman"/>
                      <w:i w:val="0"/>
                      <w:iCs w:val="0"/>
                      <w:szCs w:val="21"/>
                      <w:u w:val="none" w:color="auto"/>
                    </w:rPr>
                  </w:pPr>
                </w:p>
              </w:tc>
              <w:tc>
                <w:tcPr>
                  <w:tcW w:w="282" w:type="pct"/>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Times New Roman" w:hAnsi="Times New Roman"/>
                      <w:i w:val="0"/>
                      <w:iCs w:val="0"/>
                      <w:szCs w:val="21"/>
                      <w:u w:val="none" w:color="auto"/>
                    </w:rPr>
                  </w:pPr>
                  <w:r>
                    <w:rPr>
                      <w:rFonts w:ascii="Times New Roman" w:hAnsi="Times New Roman"/>
                      <w:i w:val="0"/>
                      <w:iCs w:val="0"/>
                      <w:szCs w:val="21"/>
                      <w:u w:val="none" w:color="auto"/>
                    </w:rPr>
                    <w:t>能源</w:t>
                  </w:r>
                </w:p>
              </w:tc>
              <w:tc>
                <w:tcPr>
                  <w:tcW w:w="2969" w:type="pct"/>
                  <w:tcBorders>
                    <w:top w:val="single" w:color="auto" w:sz="4" w:space="0"/>
                    <w:left w:val="single" w:color="auto" w:sz="4" w:space="0"/>
                    <w:bottom w:val="single" w:color="auto" w:sz="12" w:space="0"/>
                    <w:right w:val="single" w:color="auto" w:sz="4" w:space="0"/>
                  </w:tcBorders>
                  <w:vAlign w:val="center"/>
                </w:tcPr>
                <w:p>
                  <w:pPr>
                    <w:autoSpaceDE w:val="0"/>
                    <w:autoSpaceDN w:val="0"/>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r>
                    <w:rPr>
                      <w:rFonts w:ascii="Times New Roman" w:hAnsi="Times New Roman"/>
                      <w:i w:val="0"/>
                      <w:iCs w:val="0"/>
                      <w:color w:val="000000" w:themeColor="text1"/>
                      <w:sz w:val="18"/>
                      <w:szCs w:val="18"/>
                      <w:u w:val="none" w:color="auto"/>
                      <w14:textFill>
                        <w14:solidFill>
                          <w14:schemeClr w14:val="tx1"/>
                        </w14:solidFill>
                      </w14:textFill>
                    </w:rPr>
                    <w:t>2025年，能源消费总量以省正式下达目标为准，煤炭占一次能源消费总量比例逐年降低，非化石能源占能源消费总量比重以省正式下达目标为准。</w:t>
                  </w:r>
                </w:p>
              </w:tc>
              <w:tc>
                <w:tcPr>
                  <w:tcW w:w="0" w:type="auto"/>
                  <w:gridSpan w:val="2"/>
                  <w:vMerge w:val="continue"/>
                  <w:tcBorders>
                    <w:top w:val="single" w:color="auto" w:sz="4" w:space="0"/>
                    <w:left w:val="single" w:color="auto" w:sz="4" w:space="0"/>
                    <w:bottom w:val="single" w:color="auto" w:sz="12" w:space="0"/>
                    <w:right w:val="single" w:color="auto" w:sz="4" w:space="0"/>
                  </w:tcBorders>
                  <w:vAlign w:val="center"/>
                </w:tcPr>
                <w:p>
                  <w:pPr>
                    <w:widowControl/>
                    <w:spacing w:line="276" w:lineRule="auto"/>
                    <w:jc w:val="center"/>
                    <w:rPr>
                      <w:rFonts w:ascii="Times New Roman" w:hAnsi="Times New Roman"/>
                      <w:i w:val="0"/>
                      <w:iCs w:val="0"/>
                      <w:color w:val="000000" w:themeColor="text1"/>
                      <w:sz w:val="18"/>
                      <w:szCs w:val="18"/>
                      <w:u w:val="none" w:color="auto"/>
                      <w14:textFill>
                        <w14:solidFill>
                          <w14:schemeClr w14:val="tx1"/>
                        </w14:solidFill>
                      </w14:textFill>
                    </w:rPr>
                  </w:pPr>
                </w:p>
              </w:tc>
            </w:tr>
          </w:tbl>
          <w:p>
            <w:pPr>
              <w:pStyle w:val="24"/>
              <w:spacing w:line="360" w:lineRule="auto"/>
              <w:ind w:firstLine="480" w:firstLineChars="200"/>
              <w:rPr>
                <w:rFonts w:ascii="Times New Roman" w:hAnsi="Times New Roman" w:cs="Times New Roman"/>
                <w:i w:val="0"/>
                <w:iCs w:val="0"/>
                <w:color w:val="auto"/>
                <w:u w:val="none" w:color="auto"/>
              </w:rPr>
            </w:pPr>
            <w:r>
              <w:rPr>
                <w:rFonts w:hint="eastAsia" w:ascii="Times New Roman" w:cs="Times New Roman"/>
                <w:i w:val="0"/>
                <w:iCs w:val="0"/>
                <w:color w:val="auto"/>
                <w:u w:val="none" w:color="auto"/>
              </w:rPr>
              <w:t>综上，本项目符合白山市生态环境准入清单要求中管控要求。</w:t>
            </w:r>
            <w:r>
              <w:rPr>
                <w:rFonts w:ascii="Times New Roman" w:cs="Times New Roman"/>
                <w:i w:val="0"/>
                <w:iCs w:val="0"/>
                <w:color w:val="000000" w:themeColor="text1"/>
                <w:kern w:val="2"/>
                <w:u w:val="none" w:color="auto"/>
                <w14:textFill>
                  <w14:solidFill>
                    <w14:schemeClr w14:val="tx1"/>
                  </w14:solidFill>
                </w14:textFill>
              </w:rPr>
              <w:t>本项目符合 “三线一单”要求。</w:t>
            </w: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cs="宋体"/>
                <w:b/>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ind w:firstLine="482" w:firstLineChars="200"/>
              <w:rPr>
                <w:rFonts w:ascii="Times New Roman" w:hAnsi="Times New Roman" w:cs="宋体"/>
                <w:b/>
                <w:i w:val="0"/>
                <w:iCs w:val="0"/>
                <w:color w:val="000000" w:themeColor="text1"/>
                <w:kern w:val="21"/>
                <w:sz w:val="24"/>
                <w:u w:val="none" w:color="auto"/>
                <w14:textFill>
                  <w14:solidFill>
                    <w14:schemeClr w14:val="tx1"/>
                  </w14:solidFill>
                </w14:textFill>
              </w:rPr>
            </w:pPr>
            <w:r>
              <w:rPr>
                <w:rFonts w:hint="eastAsia" w:ascii="Times New Roman" w:hAnsi="Times New Roman" w:cs="宋体"/>
                <w:b/>
                <w:i w:val="0"/>
                <w:iCs w:val="0"/>
                <w:color w:val="000000" w:themeColor="text1"/>
                <w:kern w:val="21"/>
                <w:sz w:val="24"/>
                <w:u w:val="none" w:color="auto"/>
                <w14:textFill>
                  <w14:solidFill>
                    <w14:schemeClr w14:val="tx1"/>
                  </w14:solidFill>
                </w14:textFill>
              </w:rPr>
              <w:t>3.与《吉林省人民政府办公厅关于印发吉林省空气、水环境、土壤环境质量巩固提升三个行动方案的通知》的符合性分析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s="宋体"/>
                <w:b/>
                <w:i w:val="0"/>
                <w:iCs w:val="0"/>
                <w:color w:val="000000" w:themeColor="text1"/>
                <w:kern w:val="21"/>
                <w:sz w:val="24"/>
                <w:u w:val="none" w:color="auto"/>
                <w14:textFill>
                  <w14:solidFill>
                    <w14:schemeClr w14:val="tx1"/>
                  </w14:solidFill>
                </w14:textFill>
              </w:rPr>
            </w:pPr>
            <w:r>
              <w:rPr>
                <w:rFonts w:hint="eastAsia" w:ascii="Times New Roman" w:hAnsi="Times New Roman" w:cs="宋体"/>
                <w:b/>
                <w:i w:val="0"/>
                <w:iCs w:val="0"/>
                <w:color w:val="000000" w:themeColor="text1"/>
                <w:kern w:val="21"/>
                <w:sz w:val="24"/>
                <w:u w:val="none" w:color="auto"/>
                <w14:textFill>
                  <w14:solidFill>
                    <w14:schemeClr w14:val="tx1"/>
                  </w14:solidFill>
                </w14:textFill>
              </w:rPr>
              <w:t>表</w:t>
            </w:r>
            <w:r>
              <w:rPr>
                <w:rFonts w:hint="eastAsia" w:ascii="Times New Roman" w:hAnsi="Times New Roman" w:cs="宋体"/>
                <w:b/>
                <w:i w:val="0"/>
                <w:iCs w:val="0"/>
                <w:color w:val="000000" w:themeColor="text1"/>
                <w:kern w:val="21"/>
                <w:sz w:val="24"/>
                <w:u w:val="none" w:color="auto"/>
                <w:lang w:val="en-US" w:eastAsia="zh-CN"/>
                <w14:textFill>
                  <w14:solidFill>
                    <w14:schemeClr w14:val="tx1"/>
                  </w14:solidFill>
                </w14:textFill>
              </w:rPr>
              <w:t>2</w:t>
            </w:r>
            <w:r>
              <w:rPr>
                <w:rFonts w:hint="eastAsia" w:ascii="Times New Roman" w:hAnsi="Times New Roman" w:cs="宋体"/>
                <w:b/>
                <w:i w:val="0"/>
                <w:iCs w:val="0"/>
                <w:color w:val="000000" w:themeColor="text1"/>
                <w:kern w:val="21"/>
                <w:sz w:val="24"/>
                <w:u w:val="none" w:color="auto"/>
                <w14:textFill>
                  <w14:solidFill>
                    <w14:schemeClr w14:val="tx1"/>
                  </w14:solidFill>
                </w14:textFill>
              </w:rPr>
              <w:t xml:space="preserve">  行动方案要求</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528"/>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2" w:type="dxa"/>
                  <w:gridSpan w:val="2"/>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规划要求</w:t>
                  </w:r>
                </w:p>
              </w:tc>
              <w:tc>
                <w:tcPr>
                  <w:tcW w:w="1306" w:type="dxa"/>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吉林省人民政府办公厅关于印发吉林省空气、水环境、土壤环境质量巩固提升三个行动方案</w:t>
                  </w:r>
                </w:p>
              </w:tc>
              <w:tc>
                <w:tcPr>
                  <w:tcW w:w="5528" w:type="dxa"/>
                  <w:shd w:val="clear" w:color="auto" w:fill="auto"/>
                  <w:vAlign w:val="center"/>
                </w:tcPr>
                <w:p>
                  <w:pPr>
                    <w:autoSpaceDE w:val="0"/>
                    <w:autoSpaceDN w:val="0"/>
                    <w:spacing w:line="276" w:lineRule="auto"/>
                    <w:jc w:val="left"/>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推进重点行业污染深度治理。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w:t>
                  </w:r>
                </w:p>
                <w:p>
                  <w:pPr>
                    <w:autoSpaceDE w:val="0"/>
                    <w:autoSpaceDN w:val="0"/>
                    <w:spacing w:line="276" w:lineRule="auto"/>
                    <w:jc w:val="left"/>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长春市、吉林市、辽源市等空气质量未达标地区新建项目主要污染物全面执行大气污染物特别排放限值。</w:t>
                  </w:r>
                </w:p>
              </w:tc>
              <w:tc>
                <w:tcPr>
                  <w:tcW w:w="1306" w:type="dxa"/>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本项目位于白山市</w:t>
                  </w:r>
                  <w:r>
                    <w:rPr>
                      <w:rFonts w:hint="eastAsia"/>
                      <w:i w:val="0"/>
                      <w:iCs w:val="0"/>
                      <w:color w:val="000000" w:themeColor="text1"/>
                      <w:sz w:val="18"/>
                      <w:szCs w:val="18"/>
                      <w:u w:val="none" w:color="auto"/>
                      <w:lang w:eastAsia="zh-CN"/>
                      <w14:textFill>
                        <w14:solidFill>
                          <w14:schemeClr w14:val="tx1"/>
                        </w14:solidFill>
                      </w14:textFill>
                    </w:rPr>
                    <w:t>江源区</w:t>
                  </w:r>
                  <w:r>
                    <w:rPr>
                      <w:rFonts w:hint="eastAsia"/>
                      <w:i w:val="0"/>
                      <w:iCs w:val="0"/>
                      <w:color w:val="000000" w:themeColor="text1"/>
                      <w:sz w:val="18"/>
                      <w:szCs w:val="18"/>
                      <w:u w:val="none" w:color="auto"/>
                      <w14:textFill>
                        <w14:solidFill>
                          <w14:schemeClr w14:val="tx1"/>
                        </w14:solidFill>
                      </w14:textFill>
                    </w:rPr>
                    <w:t>，锅炉燃料为生物质。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p>
              </w:tc>
              <w:tc>
                <w:tcPr>
                  <w:tcW w:w="5528" w:type="dxa"/>
                  <w:shd w:val="clear" w:color="auto" w:fill="auto"/>
                  <w:vAlign w:val="center"/>
                </w:tcPr>
                <w:p>
                  <w:pPr>
                    <w:autoSpaceDE w:val="0"/>
                    <w:autoSpaceDN w:val="0"/>
                    <w:spacing w:line="276" w:lineRule="auto"/>
                    <w:jc w:val="left"/>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严格建筑施工扬尘管控。严格实施建筑施工标准化管理，建立建筑工地项目清单和台账，将扬尘治理费用列入工程造价，加大监管力度，对不达标的施工现场限期整改，情节严重的停工整改。加强建筑渣土及运输车辆规范管理工作，严格落实密闭运输，依法打击不按规定路线行驶、渣土抛撒滴漏以及车轮带泥行驶、随意倾倒等违法行为。加大混凝土搅拌车监管，混凝土搅拌站内必须配备抑尘设施，出站前对混凝土搅拌车辆进行冲洗。混凝土搅拌车辆要在出料口处加装防漏撒设施，进入工地作业时应遵守工地扬尘防治要求。</w:t>
                  </w:r>
                </w:p>
              </w:tc>
              <w:tc>
                <w:tcPr>
                  <w:tcW w:w="1306" w:type="dxa"/>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本项目施工期环保措施严格按照行动方案要求执行。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autoSpaceDE w:val="0"/>
                    <w:autoSpaceDN w:val="0"/>
                    <w:spacing w:line="276" w:lineRule="auto"/>
                    <w:jc w:val="center"/>
                    <w:rPr>
                      <w:i w:val="0"/>
                      <w:iCs w:val="0"/>
                      <w:color w:val="000000" w:themeColor="text1"/>
                      <w:sz w:val="18"/>
                      <w:szCs w:val="18"/>
                      <w:u w:val="none" w:color="auto"/>
                      <w14:textFill>
                        <w14:solidFill>
                          <w14:schemeClr w14:val="tx1"/>
                        </w14:solidFill>
                      </w14:textFill>
                    </w:rPr>
                  </w:pPr>
                </w:p>
              </w:tc>
              <w:tc>
                <w:tcPr>
                  <w:tcW w:w="5528" w:type="dxa"/>
                  <w:shd w:val="clear" w:color="auto" w:fill="auto"/>
                  <w:vAlign w:val="center"/>
                </w:tcPr>
                <w:p>
                  <w:pPr>
                    <w:autoSpaceDE w:val="0"/>
                    <w:autoSpaceDN w:val="0"/>
                    <w:spacing w:line="276" w:lineRule="auto"/>
                    <w:jc w:val="left"/>
                    <w:rPr>
                      <w:rFonts w:hint="eastAsia"/>
                      <w:i w:val="0"/>
                      <w:iCs w:val="0"/>
                      <w:color w:val="000000" w:themeColor="text1"/>
                      <w:sz w:val="18"/>
                      <w:szCs w:val="18"/>
                      <w:u w:val="none" w:color="auto"/>
                      <w14:textFill>
                        <w14:solidFill>
                          <w14:schemeClr w14:val="tx1"/>
                        </w14:solidFill>
                      </w14:textFill>
                    </w:rPr>
                  </w:pPr>
                  <w:r>
                    <w:rPr>
                      <w:rFonts w:hint="eastAsia"/>
                      <w:i w:val="0"/>
                      <w:iCs w:val="0"/>
                      <w:color w:val="000000" w:themeColor="text1"/>
                      <w:sz w:val="18"/>
                      <w:szCs w:val="18"/>
                      <w:u w:val="none" w:color="auto"/>
                      <w14:textFill>
                        <w14:solidFill>
                          <w14:schemeClr w14:val="tx1"/>
                        </w14:solidFill>
                      </w14:textFill>
                    </w:rPr>
                    <w:t>根据《吉林省空气质量巩固提升行动方案》中（二）深入推进燃煤污染控制“7.加大燃煤锅炉淘汰力度。严控新建燃煤锅炉，县级以上城市建成区原则上不再新建每小时35蒸吨以下燃煤锅炉，其他地区原则上不再新建每小时10蒸吨以下燃煤锅炉。按照国家政策的调整和要求，逐步开展燃煤锅炉淘汰工作。”</w:t>
                  </w:r>
                </w:p>
              </w:tc>
              <w:tc>
                <w:tcPr>
                  <w:tcW w:w="1306" w:type="dxa"/>
                  <w:shd w:val="clear" w:color="auto" w:fill="auto"/>
                  <w:vAlign w:val="center"/>
                </w:tcPr>
                <w:p>
                  <w:pPr>
                    <w:autoSpaceDE w:val="0"/>
                    <w:autoSpaceDN w:val="0"/>
                    <w:spacing w:line="276" w:lineRule="auto"/>
                    <w:jc w:val="center"/>
                    <w:rPr>
                      <w:rFonts w:hint="eastAsia" w:eastAsia="宋体"/>
                      <w:i w:val="0"/>
                      <w:iCs w:val="0"/>
                      <w:color w:val="000000" w:themeColor="text1"/>
                      <w:sz w:val="18"/>
                      <w:szCs w:val="18"/>
                      <w:u w:val="none" w:color="auto"/>
                      <w:lang w:eastAsia="zh-CN"/>
                      <w14:textFill>
                        <w14:solidFill>
                          <w14:schemeClr w14:val="tx1"/>
                        </w14:solidFill>
                      </w14:textFill>
                    </w:rPr>
                  </w:pPr>
                  <w:r>
                    <w:rPr>
                      <w:rFonts w:hint="eastAsia"/>
                      <w:i w:val="0"/>
                      <w:iCs w:val="0"/>
                      <w:color w:val="000000" w:themeColor="text1"/>
                      <w:sz w:val="18"/>
                      <w:szCs w:val="18"/>
                      <w:u w:val="none" w:color="auto"/>
                      <w:lang w:eastAsia="zh-CN"/>
                      <w14:textFill>
                        <w14:solidFill>
                          <w14:schemeClr w14:val="tx1"/>
                        </w14:solidFill>
                      </w14:textFill>
                    </w:rPr>
                    <w:t>本项目不位于江源区建成区内，项目建设生物质锅炉，用于冬季取暖，满足行动方案要求</w:t>
                  </w:r>
                </w:p>
              </w:tc>
            </w:tr>
          </w:tbl>
          <w:p>
            <w:pPr>
              <w:numPr>
                <w:ilvl w:val="0"/>
                <w:numId w:val="3"/>
              </w:numPr>
              <w:autoSpaceDE w:val="0"/>
              <w:autoSpaceDN w:val="0"/>
              <w:adjustRightInd w:val="0"/>
              <w:snapToGrid w:val="0"/>
              <w:spacing w:line="360" w:lineRule="auto"/>
              <w:ind w:firstLine="482" w:firstLineChars="200"/>
              <w:rPr>
                <w:rFonts w:hint="eastAsia" w:ascii="Times New Roman" w:hAnsi="Times New Roman" w:cs="Times New Roman"/>
                <w:b/>
                <w:i/>
                <w:iCs/>
                <w:color w:val="000000" w:themeColor="text1"/>
                <w:kern w:val="21"/>
                <w:sz w:val="24"/>
                <w:u w:val="single" w:color="auto"/>
                <w:lang w:eastAsia="zh-CN"/>
                <w14:textFill>
                  <w14:solidFill>
                    <w14:schemeClr w14:val="tx1"/>
                  </w14:solidFill>
                </w14:textFill>
              </w:rPr>
            </w:pPr>
            <w:r>
              <w:rPr>
                <w:rFonts w:hint="eastAsia" w:ascii="Times New Roman" w:hAnsi="Times New Roman" w:cs="Times New Roman"/>
                <w:b/>
                <w:i/>
                <w:iCs/>
                <w:color w:val="000000" w:themeColor="text1"/>
                <w:kern w:val="21"/>
                <w:sz w:val="24"/>
                <w:u w:val="single" w:color="auto"/>
                <w:lang w:eastAsia="zh-CN"/>
                <w14:textFill>
                  <w14:solidFill>
                    <w14:schemeClr w14:val="tx1"/>
                  </w14:solidFill>
                </w14:textFill>
              </w:rPr>
              <w:t>与《白山市人民政府办公厅关于印发白山市空气质量、水环境质量、土壤环境质量、国家生态文明建设示范市创建成果巩固提升行动方案及“无废城市”建设推进方案的通知》</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i/>
                <w:iCs/>
                <w:color w:val="000000" w:themeColor="text1"/>
                <w:kern w:val="21"/>
                <w:sz w:val="24"/>
                <w:u w:val="single" w:color="auto"/>
                <w:lang w:val="en-US" w:eastAsia="zh-CN"/>
                <w14:textFill>
                  <w14:solidFill>
                    <w14:schemeClr w14:val="tx1"/>
                  </w14:solidFill>
                </w14:textFill>
              </w:rPr>
            </w:pPr>
            <w:r>
              <w:rPr>
                <w:rFonts w:hint="eastAsia" w:ascii="Times New Roman" w:hAnsi="Times New Roman" w:eastAsia="宋体" w:cs="宋体"/>
                <w:b/>
                <w:i/>
                <w:iCs/>
                <w:color w:val="000000" w:themeColor="text1"/>
                <w:kern w:val="21"/>
                <w:sz w:val="24"/>
                <w:u w:val="single" w:color="auto"/>
                <w:lang w:eastAsia="zh-CN"/>
                <w14:textFill>
                  <w14:solidFill>
                    <w14:schemeClr w14:val="tx1"/>
                  </w14:solidFill>
                </w14:textFill>
              </w:rPr>
              <w:t>表</w:t>
            </w:r>
            <w:r>
              <w:rPr>
                <w:rFonts w:hint="eastAsia" w:ascii="Times New Roman" w:hAnsi="Times New Roman" w:eastAsia="宋体" w:cs="宋体"/>
                <w:b/>
                <w:i/>
                <w:iCs/>
                <w:color w:val="000000" w:themeColor="text1"/>
                <w:kern w:val="21"/>
                <w:sz w:val="24"/>
                <w:u w:val="single" w:color="auto"/>
                <w:lang w:val="en-US" w:eastAsia="zh-CN"/>
                <w14:textFill>
                  <w14:solidFill>
                    <w14:schemeClr w14:val="tx1"/>
                  </w14:solidFill>
                </w14:textFill>
              </w:rPr>
              <w:t>3  白山市行动方案要求</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5102"/>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2" w:type="dxa"/>
                  <w:gridSpan w:val="2"/>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14:textFill>
                        <w14:solidFill>
                          <w14:schemeClr w14:val="tx1"/>
                        </w14:solidFill>
                      </w14:textFill>
                    </w:rPr>
                    <w:t>规划要求</w:t>
                  </w:r>
                </w:p>
              </w:tc>
              <w:tc>
                <w:tcPr>
                  <w:tcW w:w="1306" w:type="dxa"/>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14:textFill>
                        <w14:solidFill>
                          <w14:schemeClr w14:val="tx1"/>
                        </w14:solidFill>
                      </w14:textFill>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0" w:type="dxa"/>
                  <w:vMerge w:val="restart"/>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lang w:eastAsia="zh-CN"/>
                      <w14:textFill>
                        <w14:solidFill>
                          <w14:schemeClr w14:val="tx1"/>
                        </w14:solidFill>
                      </w14:textFill>
                    </w:rPr>
                    <w:t>白山市人民政府办公厅关于印发白山市空气质量、水环境质量、土壤环境质量、国家生态文明建设示范市创建成果巩固提升行动方案及“无废城市”建设推进方案的通知</w:t>
                  </w:r>
                </w:p>
              </w:tc>
              <w:tc>
                <w:tcPr>
                  <w:tcW w:w="5102" w:type="dxa"/>
                  <w:shd w:val="clear" w:color="auto" w:fill="auto"/>
                  <w:vAlign w:val="center"/>
                </w:tcPr>
                <w:p>
                  <w:pPr>
                    <w:autoSpaceDE w:val="0"/>
                    <w:autoSpaceDN w:val="0"/>
                    <w:spacing w:line="276" w:lineRule="auto"/>
                    <w:jc w:val="left"/>
                    <w:rPr>
                      <w:i/>
                      <w:iCs/>
                      <w:color w:val="000000" w:themeColor="text1"/>
                      <w:sz w:val="18"/>
                      <w:szCs w:val="18"/>
                      <w:u w:val="single" w:color="auto"/>
                      <w14:textFill>
                        <w14:solidFill>
                          <w14:schemeClr w14:val="tx1"/>
                        </w14:solidFill>
                      </w14:textFill>
                    </w:rPr>
                  </w:pPr>
                  <w:r>
                    <w:rPr>
                      <w:i/>
                      <w:iCs/>
                      <w:color w:val="000000" w:themeColor="text1"/>
                      <w:sz w:val="18"/>
                      <w:szCs w:val="18"/>
                      <w:u w:val="single" w:color="auto"/>
                      <w14:textFill>
                        <w14:solidFill>
                          <w14:schemeClr w14:val="tx1"/>
                        </w14:solidFill>
                      </w14:textFill>
                    </w:rPr>
                    <w:t>严格煤炭消费总量控制。制定煤炭消费总量控制目标，加快清洁能源替代，大力提高天然气利用水平。优化调控煤炭消费，积极推广应用煤炭清洁高效利用和新型节能技术，逐步关停改造分散燃煤锅炉、热电联产以及小火电，推进煤炭清洁利用，探索绿色电厂建设。完善能源消费政策机制，加大经济政策调节力度，促进能源结构调整和节能减排</w:t>
                  </w:r>
                </w:p>
              </w:tc>
              <w:tc>
                <w:tcPr>
                  <w:tcW w:w="1306" w:type="dxa"/>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14:textFill>
                        <w14:solidFill>
                          <w14:schemeClr w14:val="tx1"/>
                        </w14:solidFill>
                      </w14:textFill>
                    </w:rPr>
                    <w:t>本项目位于白山市</w:t>
                  </w:r>
                  <w:r>
                    <w:rPr>
                      <w:rFonts w:hint="eastAsia"/>
                      <w:i/>
                      <w:iCs/>
                      <w:color w:val="000000" w:themeColor="text1"/>
                      <w:sz w:val="18"/>
                      <w:szCs w:val="18"/>
                      <w:u w:val="single" w:color="auto"/>
                      <w:lang w:eastAsia="zh-CN"/>
                      <w14:textFill>
                        <w14:solidFill>
                          <w14:schemeClr w14:val="tx1"/>
                        </w14:solidFill>
                      </w14:textFill>
                    </w:rPr>
                    <w:t>江源区</w:t>
                  </w:r>
                  <w:r>
                    <w:rPr>
                      <w:rFonts w:hint="eastAsia"/>
                      <w:i/>
                      <w:iCs/>
                      <w:color w:val="000000" w:themeColor="text1"/>
                      <w:sz w:val="18"/>
                      <w:szCs w:val="18"/>
                      <w:u w:val="single" w:color="auto"/>
                      <w14:textFill>
                        <w14:solidFill>
                          <w14:schemeClr w14:val="tx1"/>
                        </w14:solidFill>
                      </w14:textFill>
                    </w:rPr>
                    <w:t>，锅炉燃料为生物质。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310" w:type="dxa"/>
                  <w:vMerge w:val="continue"/>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p>
              </w:tc>
              <w:tc>
                <w:tcPr>
                  <w:tcW w:w="5102" w:type="dxa"/>
                  <w:shd w:val="clear" w:color="auto" w:fill="auto"/>
                  <w:vAlign w:val="center"/>
                </w:tcPr>
                <w:p>
                  <w:pPr>
                    <w:autoSpaceDE w:val="0"/>
                    <w:autoSpaceDN w:val="0"/>
                    <w:spacing w:line="276" w:lineRule="auto"/>
                    <w:jc w:val="left"/>
                    <w:rPr>
                      <w:i/>
                      <w:iCs/>
                      <w:color w:val="000000" w:themeColor="text1"/>
                      <w:sz w:val="18"/>
                      <w:szCs w:val="18"/>
                      <w:u w:val="single" w:color="auto"/>
                      <w14:textFill>
                        <w14:solidFill>
                          <w14:schemeClr w14:val="tx1"/>
                        </w14:solidFill>
                      </w14:textFill>
                    </w:rPr>
                  </w:pPr>
                  <w:r>
                    <w:rPr>
                      <w:i/>
                      <w:iCs/>
                      <w:color w:val="000000" w:themeColor="text1"/>
                      <w:sz w:val="18"/>
                      <w:szCs w:val="18"/>
                      <w:u w:val="single" w:color="auto"/>
                      <w14:textFill>
                        <w14:solidFill>
                          <w14:schemeClr w14:val="tx1"/>
                        </w14:solidFill>
                      </w14:textFill>
                    </w:rPr>
                    <w:t>严把燃煤锅炉准入关。县城及市中心建成区原则上不再新建每小时35蒸吨以下燃煤锅炉，其他地区原则上不再新建每小时10蒸吨以下燃煤锅炉。按照国家政策的调整和要求，深入开展燃煤锅炉淘汰工作。</w:t>
                  </w:r>
                </w:p>
              </w:tc>
              <w:tc>
                <w:tcPr>
                  <w:tcW w:w="1306" w:type="dxa"/>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lang w:eastAsia="zh-CN"/>
                      <w14:textFill>
                        <w14:solidFill>
                          <w14:schemeClr w14:val="tx1"/>
                        </w14:solidFill>
                      </w14:textFill>
                    </w:rPr>
                    <w:t>本项目不位于江源区建成区内，项目建设生物质锅炉，满足行动方案要求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0" w:type="dxa"/>
                  <w:vMerge w:val="continue"/>
                  <w:shd w:val="clear" w:color="auto" w:fill="auto"/>
                  <w:vAlign w:val="center"/>
                </w:tcPr>
                <w:p>
                  <w:pPr>
                    <w:autoSpaceDE w:val="0"/>
                    <w:autoSpaceDN w:val="0"/>
                    <w:spacing w:line="276" w:lineRule="auto"/>
                    <w:jc w:val="center"/>
                    <w:rPr>
                      <w:i/>
                      <w:iCs/>
                      <w:color w:val="000000" w:themeColor="text1"/>
                      <w:sz w:val="18"/>
                      <w:szCs w:val="18"/>
                      <w:u w:val="single" w:color="auto"/>
                      <w14:textFill>
                        <w14:solidFill>
                          <w14:schemeClr w14:val="tx1"/>
                        </w14:solidFill>
                      </w14:textFill>
                    </w:rPr>
                  </w:pPr>
                </w:p>
              </w:tc>
              <w:tc>
                <w:tcPr>
                  <w:tcW w:w="5102" w:type="dxa"/>
                  <w:shd w:val="clear" w:color="auto" w:fill="auto"/>
                  <w:vAlign w:val="center"/>
                </w:tcPr>
                <w:p>
                  <w:pPr>
                    <w:autoSpaceDE w:val="0"/>
                    <w:autoSpaceDN w:val="0"/>
                    <w:spacing w:line="276" w:lineRule="auto"/>
                    <w:jc w:val="left"/>
                    <w:rPr>
                      <w:rFonts w:hint="eastAsia"/>
                      <w:i/>
                      <w:iCs/>
                      <w:color w:val="000000" w:themeColor="text1"/>
                      <w:sz w:val="18"/>
                      <w:szCs w:val="18"/>
                      <w:u w:val="single" w:color="auto"/>
                      <w14:textFill>
                        <w14:solidFill>
                          <w14:schemeClr w14:val="tx1"/>
                        </w14:solidFill>
                      </w14:textFill>
                    </w:rPr>
                  </w:pPr>
                  <w:r>
                    <w:rPr>
                      <w:rFonts w:hint="eastAsia"/>
                      <w:i/>
                      <w:iCs/>
                      <w:color w:val="000000" w:themeColor="text1"/>
                      <w:sz w:val="18"/>
                      <w:szCs w:val="18"/>
                      <w:u w:val="single" w:color="auto"/>
                      <w14:textFill>
                        <w14:solidFill>
                          <w14:schemeClr w14:val="tx1"/>
                        </w14:solidFill>
                      </w14:textFill>
                    </w:rPr>
                    <w:t>加强秸秆综合利用。推行保护性耕作技术，推进秸秆生物质发电、秸秆成型燃料加工和燃煤供热锅炉生物质改造和秸秆基料化利用，加快秸秆收储运体系建设，持续提高秸秆“五化”利用能力。</w:t>
                  </w:r>
                </w:p>
              </w:tc>
              <w:tc>
                <w:tcPr>
                  <w:tcW w:w="1306" w:type="dxa"/>
                  <w:shd w:val="clear" w:color="auto" w:fill="auto"/>
                  <w:vAlign w:val="center"/>
                </w:tcPr>
                <w:p>
                  <w:pPr>
                    <w:autoSpaceDE w:val="0"/>
                    <w:autoSpaceDN w:val="0"/>
                    <w:spacing w:line="276" w:lineRule="auto"/>
                    <w:jc w:val="center"/>
                    <w:rPr>
                      <w:rFonts w:hint="eastAsia" w:eastAsia="宋体"/>
                      <w:i/>
                      <w:iCs/>
                      <w:color w:val="000000" w:themeColor="text1"/>
                      <w:sz w:val="18"/>
                      <w:szCs w:val="18"/>
                      <w:u w:val="single" w:color="auto"/>
                      <w:lang w:eastAsia="zh-CN"/>
                      <w14:textFill>
                        <w14:solidFill>
                          <w14:schemeClr w14:val="tx1"/>
                        </w14:solidFill>
                      </w14:textFill>
                    </w:rPr>
                  </w:pPr>
                  <w:r>
                    <w:rPr>
                      <w:rFonts w:hint="eastAsia"/>
                      <w:i/>
                      <w:iCs/>
                      <w:color w:val="000000" w:themeColor="text1"/>
                      <w:sz w:val="18"/>
                      <w:szCs w:val="18"/>
                      <w:u w:val="single" w:color="auto"/>
                      <w:lang w:eastAsia="zh-CN"/>
                      <w14:textFill>
                        <w14:solidFill>
                          <w14:schemeClr w14:val="tx1"/>
                        </w14:solidFill>
                      </w14:textFill>
                    </w:rPr>
                    <w:t>项目建设生物质锅炉，满足行动方案要求</w:t>
                  </w:r>
                </w:p>
              </w:tc>
            </w:tr>
          </w:tbl>
          <w:p>
            <w:pPr>
              <w:autoSpaceDE w:val="0"/>
              <w:autoSpaceDN w:val="0"/>
              <w:adjustRightInd w:val="0"/>
              <w:snapToGrid w:val="0"/>
              <w:spacing w:line="360" w:lineRule="auto"/>
              <w:ind w:firstLine="482" w:firstLineChars="200"/>
              <w:rPr>
                <w:rFonts w:hint="default" w:ascii="Times New Roman" w:hAnsi="Times New Roman" w:cs="Times New Roman"/>
                <w:b/>
                <w:i/>
                <w:iCs/>
                <w:color w:val="000000" w:themeColor="text1"/>
                <w:kern w:val="21"/>
                <w:sz w:val="24"/>
                <w:u w:val="single" w:color="auto"/>
                <w14:textFill>
                  <w14:solidFill>
                    <w14:schemeClr w14:val="tx1"/>
                  </w14:solidFill>
                </w14:textFill>
              </w:rPr>
            </w:pPr>
            <w:r>
              <w:rPr>
                <w:rFonts w:hint="eastAsia" w:ascii="Times New Roman" w:hAnsi="Times New Roman" w:cs="Times New Roman"/>
                <w:b/>
                <w:i/>
                <w:iCs/>
                <w:color w:val="000000" w:themeColor="text1"/>
                <w:kern w:val="21"/>
                <w:sz w:val="24"/>
                <w:u w:val="single" w:color="auto"/>
                <w:lang w:val="en-US" w:eastAsia="zh-CN"/>
                <w14:textFill>
                  <w14:solidFill>
                    <w14:schemeClr w14:val="tx1"/>
                  </w14:solidFill>
                </w14:textFill>
              </w:rPr>
              <w:t>5.</w:t>
            </w:r>
            <w:r>
              <w:rPr>
                <w:rFonts w:hint="default" w:ascii="Times New Roman" w:hAnsi="Times New Roman" w:cs="Times New Roman"/>
                <w:b/>
                <w:i/>
                <w:iCs/>
                <w:color w:val="000000" w:themeColor="text1"/>
                <w:kern w:val="21"/>
                <w:sz w:val="24"/>
                <w:u w:val="single" w:color="auto"/>
                <w14:textFill>
                  <w14:solidFill>
                    <w14:schemeClr w14:val="tx1"/>
                  </w14:solidFill>
                </w14:textFill>
              </w:rPr>
              <w:t>关于生物质锅炉项目环评类别分析</w:t>
            </w:r>
          </w:p>
          <w:p>
            <w:pPr>
              <w:pStyle w:val="24"/>
              <w:spacing w:line="360" w:lineRule="auto"/>
              <w:ind w:firstLine="480" w:firstLineChars="200"/>
              <w:rPr>
                <w:rFonts w:hint="eastAsia" w:ascii="Times New Roman" w:hAnsi="Times New Roman" w:eastAsia="宋体" w:cs="Times New Roman"/>
                <w:i/>
                <w:iCs/>
                <w:color w:val="auto"/>
                <w:u w:val="single" w:color="auto"/>
                <w:lang w:eastAsia="zh-CN"/>
              </w:rPr>
            </w:pPr>
            <w:r>
              <w:rPr>
                <w:rFonts w:hint="default" w:ascii="Times New Roman" w:hAnsi="Times New Roman" w:cs="Times New Roman"/>
                <w:i/>
                <w:iCs/>
                <w:color w:val="auto"/>
                <w:u w:val="single" w:color="auto"/>
              </w:rPr>
              <w:t>根据中华人民共和国生态环境部办公厅生态环境部于2021年6月1日发布</w:t>
            </w:r>
            <w:r>
              <w:rPr>
                <w:rFonts w:hint="eastAsia" w:ascii="Times New Roman" w:hAnsi="Times New Roman" w:cs="Times New Roman"/>
                <w:i/>
                <w:iCs/>
                <w:color w:val="auto"/>
                <w:u w:val="single" w:color="auto"/>
                <w:lang w:eastAsia="zh-CN"/>
              </w:rPr>
              <w:t>对黑龙江省生态环境厅</w:t>
            </w:r>
            <w:r>
              <w:rPr>
                <w:rFonts w:hint="default" w:ascii="Times New Roman" w:hAnsi="Times New Roman" w:cs="Times New Roman"/>
                <w:i/>
                <w:iCs/>
                <w:color w:val="auto"/>
                <w:u w:val="single" w:color="auto"/>
              </w:rPr>
              <w:t>关于生物质锅炉等项目环评类别判定事宜的复函（环办环评函[2021]264号）</w:t>
            </w:r>
            <w:r>
              <w:rPr>
                <w:rFonts w:hint="eastAsia" w:ascii="Times New Roman" w:hAnsi="Times New Roman" w:cs="Times New Roman"/>
                <w:i/>
                <w:iCs/>
                <w:color w:val="auto"/>
                <w:u w:val="single" w:color="auto"/>
                <w:lang w:eastAsia="zh-CN"/>
              </w:rPr>
              <w:t>：“</w:t>
            </w:r>
            <w:r>
              <w:rPr>
                <w:rFonts w:hint="default" w:ascii="Times New Roman" w:hAnsi="Times New Roman" w:cs="Times New Roman"/>
                <w:i/>
                <w:iCs/>
                <w:color w:val="auto"/>
                <w:u w:val="single" w:color="auto"/>
              </w:rPr>
              <w:t>《</w:t>
            </w:r>
            <w:r>
              <w:rPr>
                <w:rFonts w:hint="default" w:ascii="Times New Roman" w:hAnsi="Times New Roman" w:cs="Times New Roman"/>
                <w:i/>
                <w:iCs/>
                <w:color w:val="auto"/>
                <w:u w:val="single" w:color="auto"/>
              </w:rPr>
              <w:fldChar w:fldCharType="begin"/>
            </w:r>
            <w:r>
              <w:rPr>
                <w:rFonts w:hint="default" w:ascii="Times New Roman" w:hAnsi="Times New Roman" w:cs="Times New Roman"/>
                <w:i/>
                <w:iCs/>
                <w:color w:val="auto"/>
                <w:u w:val="single" w:color="auto"/>
              </w:rPr>
              <w:instrText xml:space="preserve"> HYPERLINK "https://www.waizi.org.cn/doc/95242.html" \o "《建设项目环境影响评价分类管理名录（2021年版）》生态环境部令第16号" \t "https://www.waizi.org.cn/doc/_blank" </w:instrText>
            </w:r>
            <w:r>
              <w:rPr>
                <w:rFonts w:hint="default" w:ascii="Times New Roman" w:hAnsi="Times New Roman" w:cs="Times New Roman"/>
                <w:i/>
                <w:iCs/>
                <w:color w:val="auto"/>
                <w:u w:val="single" w:color="auto"/>
              </w:rPr>
              <w:fldChar w:fldCharType="separate"/>
            </w:r>
            <w:r>
              <w:rPr>
                <w:rFonts w:hint="default" w:ascii="Times New Roman" w:hAnsi="Times New Roman" w:cs="Times New Roman"/>
                <w:i/>
                <w:iCs/>
                <w:color w:val="auto"/>
                <w:u w:val="single" w:color="auto"/>
              </w:rPr>
              <w:t>建设项目环境影响评价分类管理名录（2021年版）</w:t>
            </w:r>
            <w:r>
              <w:rPr>
                <w:rFonts w:hint="default" w:ascii="Times New Roman" w:hAnsi="Times New Roman" w:cs="Times New Roman"/>
                <w:i/>
                <w:iCs/>
                <w:color w:val="auto"/>
                <w:u w:val="single" w:color="auto"/>
              </w:rPr>
              <w:fldChar w:fldCharType="end"/>
            </w:r>
            <w:r>
              <w:rPr>
                <w:rFonts w:hint="default" w:ascii="Times New Roman" w:hAnsi="Times New Roman" w:cs="Times New Roman"/>
                <w:i/>
                <w:iCs/>
                <w:color w:val="auto"/>
                <w:u w:val="single" w:color="auto"/>
              </w:rPr>
              <w:t>》（</w:t>
            </w:r>
            <w:r>
              <w:rPr>
                <w:rFonts w:hint="default" w:ascii="Times New Roman" w:hAnsi="Times New Roman" w:cs="Times New Roman"/>
                <w:i/>
                <w:iCs/>
                <w:color w:val="auto"/>
                <w:u w:val="single" w:color="auto"/>
              </w:rPr>
              <w:fldChar w:fldCharType="begin"/>
            </w:r>
            <w:r>
              <w:rPr>
                <w:rFonts w:hint="default" w:ascii="Times New Roman" w:hAnsi="Times New Roman" w:cs="Times New Roman"/>
                <w:i/>
                <w:iCs/>
                <w:color w:val="auto"/>
                <w:u w:val="single" w:color="auto"/>
              </w:rPr>
              <w:instrText xml:space="preserve"> HYPERLINK "https://www.waizi.org.cn/doc/95242.html" \o "《建设项目环境影响评价分类管理名录（2021年版）》生态环境部令第16号" \t "https://www.waizi.org.cn/doc/_blank" </w:instrText>
            </w:r>
            <w:r>
              <w:rPr>
                <w:rFonts w:hint="default" w:ascii="Times New Roman" w:hAnsi="Times New Roman" w:cs="Times New Roman"/>
                <w:i/>
                <w:iCs/>
                <w:color w:val="auto"/>
                <w:u w:val="single" w:color="auto"/>
              </w:rPr>
              <w:fldChar w:fldCharType="separate"/>
            </w:r>
            <w:r>
              <w:rPr>
                <w:rFonts w:hint="default" w:ascii="Times New Roman" w:hAnsi="Times New Roman" w:cs="Times New Roman"/>
                <w:i/>
                <w:iCs/>
                <w:color w:val="auto"/>
                <w:u w:val="single" w:color="auto"/>
              </w:rPr>
              <w:t>生态环境部令第16号</w:t>
            </w:r>
            <w:r>
              <w:rPr>
                <w:rFonts w:hint="default" w:ascii="Times New Roman" w:hAnsi="Times New Roman" w:cs="Times New Roman"/>
                <w:i/>
                <w:iCs/>
                <w:color w:val="auto"/>
                <w:u w:val="single" w:color="auto"/>
              </w:rPr>
              <w:fldChar w:fldCharType="end"/>
            </w:r>
            <w:r>
              <w:rPr>
                <w:rFonts w:hint="default" w:ascii="Times New Roman" w:hAnsi="Times New Roman" w:cs="Times New Roman"/>
                <w:i/>
                <w:iCs/>
                <w:color w:val="auto"/>
                <w:u w:val="single" w:color="auto"/>
              </w:rPr>
              <w:t>，以下简称《名录》）的“91 热力生产和供应工程（包括建设单位自建自用的供热工程）”规定“使用其他高污染燃料的”编制环境影响报告表。《</w:t>
            </w:r>
            <w:r>
              <w:rPr>
                <w:rFonts w:hint="default" w:ascii="Times New Roman" w:hAnsi="Times New Roman" w:cs="Times New Roman"/>
                <w:i/>
                <w:iCs/>
                <w:color w:val="auto"/>
                <w:u w:val="single" w:color="auto"/>
              </w:rPr>
              <w:fldChar w:fldCharType="begin"/>
            </w:r>
            <w:r>
              <w:rPr>
                <w:rFonts w:hint="default" w:ascii="Times New Roman" w:hAnsi="Times New Roman" w:cs="Times New Roman"/>
                <w:i/>
                <w:iCs/>
                <w:color w:val="auto"/>
                <w:u w:val="single" w:color="auto"/>
              </w:rPr>
              <w:instrText xml:space="preserve"> HYPERLINK "https://www.waizi.org.cn/law/17989.html" \o "国环规大气〔2017〕2号环境保护部关于发布《高污染燃料目录》的通知" \t "https://www.waizi.org.cn/doc/_blank" </w:instrText>
            </w:r>
            <w:r>
              <w:rPr>
                <w:rFonts w:hint="default" w:ascii="Times New Roman" w:hAnsi="Times New Roman" w:cs="Times New Roman"/>
                <w:i/>
                <w:iCs/>
                <w:color w:val="auto"/>
                <w:u w:val="single" w:color="auto"/>
              </w:rPr>
              <w:fldChar w:fldCharType="separate"/>
            </w:r>
            <w:r>
              <w:rPr>
                <w:rFonts w:hint="default" w:ascii="Times New Roman" w:hAnsi="Times New Roman" w:cs="Times New Roman"/>
                <w:i/>
                <w:iCs/>
                <w:color w:val="auto"/>
                <w:u w:val="single" w:color="auto"/>
              </w:rPr>
              <w:t>高污染燃料目录</w:t>
            </w:r>
            <w:r>
              <w:rPr>
                <w:rFonts w:hint="default" w:ascii="Times New Roman" w:hAnsi="Times New Roman" w:cs="Times New Roman"/>
                <w:i/>
                <w:iCs/>
                <w:color w:val="auto"/>
                <w:u w:val="single" w:color="auto"/>
              </w:rPr>
              <w:fldChar w:fldCharType="end"/>
            </w:r>
            <w:r>
              <w:rPr>
                <w:rFonts w:hint="default" w:ascii="Times New Roman" w:hAnsi="Times New Roman" w:cs="Times New Roman"/>
                <w:i/>
                <w:iCs/>
                <w:color w:val="auto"/>
                <w:u w:val="single" w:color="auto"/>
              </w:rPr>
              <w:t>》包括生物质成型燃料，考虑到生物质非成型燃料的污染程度一般高于成型燃料，应同样加强环境准入管理。经研究，你厅来函请示的生物质锅炉的环境影响评价类别应按照《名录》的“91 热力生产和供应工程（包括建设单位自建自用的供热工程）”中“使用其他高污染燃料的”要求编制环境影响报告表。</w:t>
            </w:r>
            <w:r>
              <w:rPr>
                <w:rFonts w:hint="eastAsia" w:ascii="Times New Roman" w:hAnsi="Times New Roman" w:cs="Times New Roman"/>
                <w:i/>
                <w:iCs/>
                <w:color w:val="auto"/>
                <w:u w:val="single" w:color="auto"/>
                <w:lang w:eastAsia="zh-CN"/>
              </w:rPr>
              <w:t>”</w:t>
            </w:r>
            <w:r>
              <w:rPr>
                <w:rFonts w:hint="default" w:ascii="Times New Roman" w:hAnsi="Times New Roman" w:cs="Times New Roman"/>
                <w:i/>
                <w:iCs/>
                <w:color w:val="auto"/>
                <w:u w:val="single" w:color="auto"/>
              </w:rPr>
              <w:t>本项目应编制环境影响报告表。</w:t>
            </w:r>
          </w:p>
          <w:p>
            <w:pPr>
              <w:autoSpaceDE w:val="0"/>
              <w:autoSpaceDN w:val="0"/>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p>
          <w:p>
            <w:pPr>
              <w:pStyle w:val="2"/>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pStyle w:val="3"/>
              <w:widowControl w:val="0"/>
              <w:numPr>
                <w:ilvl w:val="0"/>
                <w:numId w:val="0"/>
              </w:numPr>
              <w:jc w:val="both"/>
              <w:rPr>
                <w:rFonts w:ascii="Times New Roman" w:hAnsi="Times New Roman" w:cs="宋体"/>
                <w:i w:val="0"/>
                <w:iCs w:val="0"/>
                <w:color w:val="000000" w:themeColor="text1"/>
                <w:kern w:val="21"/>
                <w:sz w:val="24"/>
                <w:u w:val="none" w:color="auto"/>
                <w14:textFill>
                  <w14:solidFill>
                    <w14:schemeClr w14:val="tx1"/>
                  </w14:solidFill>
                </w14:textFill>
              </w:rPr>
            </w:pPr>
          </w:p>
          <w:p>
            <w:pPr>
              <w:autoSpaceDE w:val="0"/>
              <w:autoSpaceDN w:val="0"/>
              <w:adjustRightInd w:val="0"/>
              <w:snapToGrid w:val="0"/>
              <w:spacing w:line="360" w:lineRule="auto"/>
              <w:rPr>
                <w:rFonts w:ascii="Times New Roman" w:hAnsi="Times New Roman" w:cs="宋体"/>
                <w:i w:val="0"/>
                <w:iCs w:val="0"/>
                <w:color w:val="000000" w:themeColor="text1"/>
                <w:kern w:val="21"/>
                <w:sz w:val="24"/>
                <w:u w:val="none" w:color="auto"/>
                <w14:textFill>
                  <w14:solidFill>
                    <w14:schemeClr w14:val="tx1"/>
                  </w14:solidFill>
                </w14:textFill>
              </w:rPr>
            </w:pPr>
          </w:p>
        </w:tc>
      </w:tr>
    </w:tbl>
    <w:p>
      <w:pPr>
        <w:spacing w:line="360" w:lineRule="auto"/>
        <w:outlineLvl w:val="0"/>
        <w:rPr>
          <w:rFonts w:ascii="Times New Roman" w:hAnsi="Times New Roman" w:eastAsia="黑体"/>
          <w:i w:val="0"/>
          <w:iCs w:val="0"/>
          <w:color w:val="000000" w:themeColor="text1"/>
          <w:kern w:val="21"/>
          <w:sz w:val="30"/>
          <w:u w:val="none" w:color="auto"/>
          <w14:textFill>
            <w14:solidFill>
              <w14:schemeClr w14:val="tx1"/>
            </w14:solidFill>
          </w14:textFill>
        </w:rPr>
        <w:sectPr>
          <w:pgSz w:w="11907" w:h="16838"/>
          <w:pgMar w:top="1418" w:right="1418" w:bottom="1418" w:left="1701" w:header="851" w:footer="1077" w:gutter="0"/>
          <w:cols w:space="720" w:num="1"/>
          <w:docGrid w:linePitch="312" w:charSpace="0"/>
        </w:sectPr>
      </w:pPr>
    </w:p>
    <w:p>
      <w:pPr>
        <w:pStyle w:val="16"/>
        <w:adjustRightInd w:val="0"/>
        <w:snapToGrid w:val="0"/>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二、建设项目工程分析</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3" w:type="pct"/>
            <w:vAlign w:val="center"/>
          </w:tcPr>
          <w:p>
            <w:pPr>
              <w:pStyle w:val="16"/>
              <w:adjustRightInd w:val="0"/>
              <w:snapToGrid w:val="0"/>
              <w:spacing w:before="0" w:beforeAutospacing="0" w:after="0" w:afterAutospacing="0" w:line="360" w:lineRule="auto"/>
              <w:jc w:val="center"/>
              <w:rPr>
                <w:rFonts w:hint="default" w:ascii="Times New Roman" w:hAnsi="Times New Roman" w:cs="Times New Roman"/>
                <w:i w:val="0"/>
                <w:iCs w:val="0"/>
                <w:color w:val="000000" w:themeColor="text1"/>
                <w:kern w:val="21"/>
                <w:szCs w:val="24"/>
                <w:u w:val="none" w:color="auto"/>
                <w14:textFill>
                  <w14:solidFill>
                    <w14:schemeClr w14:val="tx1"/>
                  </w14:solidFill>
                </w14:textFill>
              </w:rPr>
            </w:pPr>
            <w:r>
              <w:rPr>
                <w:rFonts w:hint="default" w:ascii="Times New Roman" w:hAnsi="Times New Roman" w:cs="Times New Roman"/>
                <w:i w:val="0"/>
                <w:iCs w:val="0"/>
                <w:color w:val="000000" w:themeColor="text1"/>
                <w:kern w:val="21"/>
                <w:szCs w:val="24"/>
                <w:u w:val="none" w:color="auto"/>
                <w14:textFill>
                  <w14:solidFill>
                    <w14:schemeClr w14:val="tx1"/>
                  </w14:solidFill>
                </w14:textFill>
              </w:rPr>
              <w:t>建设内容</w:t>
            </w:r>
          </w:p>
        </w:tc>
        <w:tc>
          <w:tcPr>
            <w:tcW w:w="4746" w:type="pct"/>
            <w:vAlign w:val="center"/>
          </w:tcPr>
          <w:p>
            <w:pPr>
              <w:adjustRightInd w:val="0"/>
              <w:snapToGrid w:val="0"/>
              <w:spacing w:line="360" w:lineRule="auto"/>
              <w:ind w:firstLine="482" w:firstLineChars="200"/>
              <w:rPr>
                <w:rFonts w:hint="default" w:ascii="Times New Roman" w:hAnsi="Times New Roman" w:eastAsia="宋体" w:cs="Times New Roman"/>
                <w:b/>
                <w:bCs/>
                <w:i w:val="0"/>
                <w:iCs w:val="0"/>
                <w:color w:val="000000" w:themeColor="text1"/>
                <w:kern w:val="21"/>
                <w:sz w:val="24"/>
                <w:u w:val="none" w:color="auto"/>
                <w:lang w:val="en-US" w:eastAsia="zh-CN"/>
                <w14:textFill>
                  <w14:solidFill>
                    <w14:schemeClr w14:val="tx1"/>
                  </w14:solidFill>
                </w14:textFill>
              </w:rPr>
            </w:pPr>
            <w:r>
              <w:rPr>
                <w:rFonts w:hint="eastAsia" w:ascii="Times New Roman" w:hAnsi="Times New Roman" w:cs="Times New Roman"/>
                <w:b/>
                <w:bCs/>
                <w:i w:val="0"/>
                <w:iCs w:val="0"/>
                <w:color w:val="000000" w:themeColor="text1"/>
                <w:kern w:val="21"/>
                <w:sz w:val="24"/>
                <w:u w:val="none" w:color="auto"/>
                <w:lang w:val="en-US" w:eastAsia="zh-CN"/>
                <w14:textFill>
                  <w14:solidFill>
                    <w14:schemeClr w14:val="tx1"/>
                  </w14:solidFill>
                </w14:textFill>
              </w:rPr>
              <w:t>项目由来：</w:t>
            </w:r>
            <w:r>
              <w:rPr>
                <w:rFonts w:hint="default" w:ascii="Times New Roman" w:hAnsi="Times New Roman" w:cs="Times New Roman"/>
                <w:i w:val="0"/>
                <w:iCs w:val="0"/>
                <w:color w:val="000000" w:themeColor="text1"/>
                <w:sz w:val="24"/>
                <w:u w:val="none" w:color="auto"/>
                <w14:textFill>
                  <w14:solidFill>
                    <w14:schemeClr w14:val="tx1"/>
                  </w14:solidFill>
                </w14:textFill>
              </w:rPr>
              <w:t>吉林源翔农牧科技有限公司</w:t>
            </w:r>
            <w:r>
              <w:rPr>
                <w:rFonts w:hint="eastAsia" w:ascii="Times New Roman" w:hAnsi="Times New Roman" w:cs="Times New Roman"/>
                <w:i w:val="0"/>
                <w:iCs w:val="0"/>
                <w:color w:val="000000" w:themeColor="text1"/>
                <w:sz w:val="24"/>
                <w:u w:val="none" w:color="auto"/>
                <w:lang w:val="en-US" w:eastAsia="zh-CN"/>
                <w14:textFill>
                  <w14:solidFill>
                    <w14:schemeClr w14:val="tx1"/>
                  </w14:solidFill>
                </w14:textFill>
              </w:rPr>
              <w:t>于</w:t>
            </w:r>
            <w:r>
              <w:rPr>
                <w:rFonts w:hint="eastAsia" w:ascii="Times New Roman" w:hAnsi="Times New Roman" w:cs="宋体"/>
                <w:i w:val="0"/>
                <w:iCs w:val="0"/>
                <w:color w:val="000000" w:themeColor="text1"/>
                <w:kern w:val="21"/>
                <w:sz w:val="24"/>
                <w:u w:val="none" w:color="auto"/>
                <w:lang w:eastAsia="zh-CN"/>
                <w14:textFill>
                  <w14:solidFill>
                    <w14:schemeClr w14:val="tx1"/>
                  </w14:solidFill>
                </w14:textFill>
              </w:rPr>
              <w:t>吉林省白山市江源区立新村</w:t>
            </w:r>
            <w:r>
              <w:rPr>
                <w:rFonts w:hint="eastAsia" w:ascii="Times New Roman" w:hAnsi="Times New Roman" w:cs="宋体"/>
                <w:i w:val="0"/>
                <w:iCs w:val="0"/>
                <w:color w:val="000000" w:themeColor="text1"/>
                <w:kern w:val="21"/>
                <w:sz w:val="24"/>
                <w:u w:val="none" w:color="auto"/>
                <w:lang w:val="en-US" w:eastAsia="zh-CN"/>
                <w14:textFill>
                  <w14:solidFill>
                    <w14:schemeClr w14:val="tx1"/>
                  </w14:solidFill>
                </w14:textFill>
              </w:rPr>
              <w:t>建设</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白山市江源区</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祖代鸡一厂、</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祖代鸡二厂及</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祖代鸡雏厂</w:t>
            </w:r>
            <w:r>
              <w:rPr>
                <w:rFonts w:hint="eastAsia" w:ascii="Times New Roman" w:hAnsi="Times New Roman" w:cs="Times New Roman"/>
                <w:bCs/>
                <w:i w:val="0"/>
                <w:iCs w:val="0"/>
                <w:color w:val="000000" w:themeColor="text1"/>
                <w:kern w:val="21"/>
                <w:sz w:val="24"/>
                <w:u w:val="none" w:color="auto"/>
                <w:lang w:val="en-US" w:eastAsia="zh-CN"/>
                <w14:textFill>
                  <w14:solidFill>
                    <w14:schemeClr w14:val="tx1"/>
                  </w14:solidFill>
                </w14:textFill>
              </w:rPr>
              <w:t>三处养殖场，并于2020年7月31日完成环境影响登记表的填报工作，由于养殖场均不在集中供热范围内，为满足养殖场的生活及生产用热需求，故</w:t>
            </w:r>
            <w:r>
              <w:rPr>
                <w:rFonts w:hint="default" w:ascii="Times New Roman" w:hAnsi="Times New Roman" w:cs="Times New Roman"/>
                <w:i w:val="0"/>
                <w:iCs w:val="0"/>
                <w:color w:val="000000" w:themeColor="text1"/>
                <w:sz w:val="24"/>
                <w:u w:val="none" w:color="auto"/>
                <w14:textFill>
                  <w14:solidFill>
                    <w14:schemeClr w14:val="tx1"/>
                  </w14:solidFill>
                </w14:textFill>
              </w:rPr>
              <w:t>吉林源翔农牧科技有限公司</w:t>
            </w:r>
            <w:r>
              <w:rPr>
                <w:rFonts w:hint="eastAsia" w:ascii="Times New Roman" w:hAnsi="Times New Roman" w:cs="Times New Roman"/>
                <w:i w:val="0"/>
                <w:iCs w:val="0"/>
                <w:color w:val="000000" w:themeColor="text1"/>
                <w:sz w:val="24"/>
                <w:u w:val="none" w:color="auto"/>
                <w:lang w:val="en-US" w:eastAsia="zh-CN"/>
                <w14:textFill>
                  <w14:solidFill>
                    <w14:schemeClr w14:val="tx1"/>
                  </w14:solidFill>
                </w14:textFill>
              </w:rPr>
              <w:t>提出建设本项目。</w:t>
            </w: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1.项目名称、建设性质及建设地点</w:t>
            </w:r>
          </w:p>
          <w:p>
            <w:pPr>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建设单位：吉林源翔农牧科技有限公司</w:t>
            </w:r>
          </w:p>
          <w:p>
            <w:pPr>
              <w:spacing w:line="360" w:lineRule="auto"/>
              <w:ind w:firstLine="480" w:firstLineChars="200"/>
              <w:rPr>
                <w:rFonts w:hint="default" w:ascii="Times New Roman" w:hAnsi="Times New Roman" w:cs="Times New Roman"/>
                <w:i w:val="0"/>
                <w:iCs w:val="0"/>
                <w:color w:val="000000" w:themeColor="text1"/>
                <w:sz w:val="24"/>
                <w:szCs w:val="22"/>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项目名称：吉林源翔农牧科技有限公司锅炉新建项目</w:t>
            </w:r>
          </w:p>
          <w:p>
            <w:pPr>
              <w:spacing w:line="360" w:lineRule="auto"/>
              <w:ind w:firstLine="480" w:firstLineChars="200"/>
              <w:rPr>
                <w:rFonts w:hint="eastAsia" w:ascii="Times New Roman" w:hAnsi="Times New Roman" w:eastAsia="宋体" w:cs="Times New Roman"/>
                <w:i/>
                <w:iCs/>
                <w:color w:val="000000" w:themeColor="text1"/>
                <w:sz w:val="24"/>
                <w:u w:val="single" w:color="auto"/>
                <w:lang w:eastAsia="zh-CN"/>
                <w14:textFill>
                  <w14:solidFill>
                    <w14:schemeClr w14:val="tx1"/>
                  </w14:solidFill>
                </w14:textFill>
              </w:rPr>
            </w:pPr>
            <w:r>
              <w:rPr>
                <w:rFonts w:hint="default" w:ascii="Times New Roman" w:hAnsi="Times New Roman" w:cs="Times New Roman"/>
                <w:i/>
                <w:iCs/>
                <w:color w:val="000000" w:themeColor="text1"/>
                <w:sz w:val="24"/>
                <w:u w:val="single" w:color="auto"/>
                <w14:textFill>
                  <w14:solidFill>
                    <w14:schemeClr w14:val="tx1"/>
                  </w14:solidFill>
                </w14:textFill>
              </w:rPr>
              <w:t>建设性质：</w:t>
            </w:r>
            <w:r>
              <w:rPr>
                <w:rFonts w:hint="eastAsia" w:ascii="Times New Roman" w:hAnsi="Times New Roman" w:cs="Times New Roman"/>
                <w:i/>
                <w:iCs/>
                <w:color w:val="000000" w:themeColor="text1"/>
                <w:sz w:val="24"/>
                <w:u w:val="single" w:color="auto"/>
                <w:lang w:val="en-US" w:eastAsia="zh-CN"/>
                <w14:textFill>
                  <w14:solidFill>
                    <w14:schemeClr w14:val="tx1"/>
                  </w14:solidFill>
                </w14:textFill>
              </w:rPr>
              <w:t>新建</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建设地点：</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本项目建设地点位于白山市江源区</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祖代鸡一厂、</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祖代鸡二厂及</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祖代鸡雏厂。</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祖代鸡一厂</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南侧、西侧为耕地，东侧、北侧</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为</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林地；</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二</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厂</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南侧为耕地，东侧、北侧及西侧</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为</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林地；</w:t>
            </w:r>
            <w:r>
              <w:rPr>
                <w:rFonts w:hint="default" w:ascii="Times New Roman" w:hAnsi="Times New Roman" w:cs="Times New Roman"/>
                <w:i w:val="0"/>
                <w:iCs w:val="0"/>
                <w:color w:val="000000" w:themeColor="text1"/>
                <w:sz w:val="24"/>
                <w:u w:val="none" w:color="auto"/>
                <w14:textFill>
                  <w14:solidFill>
                    <w14:schemeClr w14:val="tx1"/>
                  </w14:solidFill>
                </w14:textFill>
              </w:rPr>
              <w:t>源翔</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祖代鸡雏厂</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东侧、南侧为耕地，西侧、北侧</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为</w:t>
            </w:r>
            <w:r>
              <w:rPr>
                <w:rFonts w:hint="eastAsia" w:ascii="Times New Roman" w:hAnsi="Times New Roman" w:cs="Times New Roman"/>
                <w:bCs/>
                <w:i w:val="0"/>
                <w:iCs w:val="0"/>
                <w:color w:val="000000" w:themeColor="text1"/>
                <w:kern w:val="21"/>
                <w:sz w:val="24"/>
                <w:u w:val="none" w:color="auto"/>
                <w:lang w:eastAsia="zh-CN"/>
                <w14:textFill>
                  <w14:solidFill>
                    <w14:schemeClr w14:val="tx1"/>
                  </w14:solidFill>
                </w14:textFill>
              </w:rPr>
              <w:t>林地</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。项目地理位置图见附图1。</w:t>
            </w: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2.总投资</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本项目总投资300万元。</w:t>
            </w:r>
          </w:p>
          <w:p>
            <w:pPr>
              <w:adjustRightInd w:val="0"/>
              <w:snapToGrid w:val="0"/>
              <w:spacing w:line="360" w:lineRule="auto"/>
              <w:ind w:firstLine="482"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3.</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 xml:space="preserve"> </w:t>
            </w: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主要建设内容</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sz w:val="24"/>
                <w:u w:val="none" w:color="auto"/>
              </w:rPr>
              <w:t>本项目新建3座锅炉房，分别位于白山市江源区祖代鸡一厂、祖代鸡二厂及祖代鸡雏厂，每座锅炉房内分别设置2台生物质锅炉，锅炉房内锅炉吨位均为1台2t/h和4t/h，</w:t>
            </w:r>
            <w:r>
              <w:rPr>
                <w:rFonts w:hint="default" w:ascii="Times New Roman" w:hAnsi="Times New Roman" w:cs="Times New Roman"/>
                <w:i/>
                <w:iCs/>
                <w:sz w:val="24"/>
                <w:u w:val="single" w:color="auto"/>
              </w:rPr>
              <w:t>用于鸡舍供热和冬季取暖供热，不新增建筑用地</w:t>
            </w:r>
            <w:r>
              <w:rPr>
                <w:rFonts w:hint="eastAsia" w:ascii="Times New Roman" w:hAnsi="Times New Roman" w:cs="Times New Roman"/>
                <w:i/>
                <w:iCs/>
                <w:sz w:val="24"/>
                <w:u w:val="single" w:color="auto"/>
                <w:lang w:val="en-US" w:eastAsia="zh-CN"/>
              </w:rPr>
              <w:t>，项目用地性质为农用设施用地</w:t>
            </w:r>
            <w:r>
              <w:rPr>
                <w:rFonts w:hint="default" w:ascii="Times New Roman" w:hAnsi="Times New Roman" w:cs="Times New Roman"/>
                <w:i/>
                <w:iCs/>
                <w:sz w:val="24"/>
                <w:u w:val="single" w:color="auto"/>
              </w:rPr>
              <w:t>，每座锅炉房建筑面积为600m</w:t>
            </w:r>
            <w:r>
              <w:rPr>
                <w:rFonts w:hint="default" w:ascii="Times New Roman" w:hAnsi="Times New Roman" w:cs="Times New Roman"/>
                <w:i/>
                <w:iCs/>
                <w:sz w:val="24"/>
                <w:u w:val="single" w:color="auto"/>
                <w:vertAlign w:val="superscript"/>
              </w:rPr>
              <w:t>2</w:t>
            </w:r>
            <w:r>
              <w:rPr>
                <w:rFonts w:hint="default" w:ascii="Times New Roman" w:hAnsi="Times New Roman" w:cs="Times New Roman"/>
                <w:i/>
                <w:iCs/>
                <w:sz w:val="24"/>
                <w:u w:val="single" w:color="auto"/>
              </w:rPr>
              <w:t>，使用时间约6个月</w:t>
            </w:r>
            <w:r>
              <w:rPr>
                <w:rFonts w:hint="eastAsia" w:ascii="Times New Roman" w:hAnsi="Times New Roman" w:cs="Times New Roman"/>
                <w:i/>
                <w:iCs/>
                <w:sz w:val="24"/>
                <w:u w:val="single" w:color="auto"/>
                <w:lang w:eastAsia="zh-CN"/>
              </w:rPr>
              <w:t>，</w:t>
            </w:r>
            <w:r>
              <w:rPr>
                <w:rFonts w:hint="eastAsia" w:ascii="Times New Roman" w:hAnsi="Times New Roman" w:cs="Times New Roman"/>
                <w:i/>
                <w:iCs/>
                <w:sz w:val="24"/>
                <w:u w:val="single" w:color="auto"/>
                <w:lang w:val="en-US" w:eastAsia="zh-CN"/>
              </w:rPr>
              <w:t>锅炉已建设完成，白山市生态环境局江源区分局已对本项目做出关于未批先建的行政处罚，详见附件</w:t>
            </w:r>
            <w:r>
              <w:rPr>
                <w:rFonts w:hint="default" w:ascii="Times New Roman" w:hAnsi="Times New Roman" w:cs="Times New Roman"/>
                <w:bCs/>
                <w:i/>
                <w:iCs/>
                <w:color w:val="000000" w:themeColor="text1"/>
                <w:kern w:val="21"/>
                <w:sz w:val="24"/>
                <w:u w:val="single" w:color="auto"/>
                <w14:textFill>
                  <w14:solidFill>
                    <w14:schemeClr w14:val="tx1"/>
                  </w14:solidFill>
                </w14:textFill>
              </w:rPr>
              <w:t>。</w:t>
            </w: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表</w:t>
            </w:r>
            <w:r>
              <w:rPr>
                <w:rFonts w:hint="eastAsia" w:ascii="Times New Roman" w:hAnsi="Times New Roman" w:cs="Times New Roman"/>
                <w:b/>
                <w:bCs/>
                <w:i w:val="0"/>
                <w:iCs w:val="0"/>
                <w:color w:val="000000" w:themeColor="text1"/>
                <w:kern w:val="21"/>
                <w:sz w:val="24"/>
                <w:u w:val="none" w:color="auto"/>
                <w:lang w:val="en-US" w:eastAsia="zh-CN"/>
                <w14:textFill>
                  <w14:solidFill>
                    <w14:schemeClr w14:val="tx1"/>
                  </w14:solidFill>
                </w14:textFill>
              </w:rPr>
              <w:t>3</w:t>
            </w: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 xml:space="preserve">  工程组成一览表</w:t>
            </w:r>
          </w:p>
          <w:tbl>
            <w:tblPr>
              <w:tblStyle w:val="18"/>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025"/>
              <w:gridCol w:w="6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 w:type="pct"/>
                  <w:gridSpan w:val="2"/>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工程类别</w:t>
                  </w:r>
                </w:p>
              </w:tc>
              <w:tc>
                <w:tcPr>
                  <w:tcW w:w="4088"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主体</w:t>
                  </w:r>
                </w:p>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工程</w:t>
                  </w: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锅炉房</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本次新建3座锅炉房，分别位于白山市江源区祖代鸡一厂、祖代鸡二厂及祖代鸡雏厂，每座锅炉房占地面积均为600m</w:t>
                  </w:r>
                  <w:r>
                    <w:rPr>
                      <w:rFonts w:hint="default" w:ascii="Times New Roman" w:hAnsi="Times New Roman" w:cs="Times New Roman"/>
                      <w:bCs/>
                      <w:i w:val="0"/>
                      <w:iCs w:val="0"/>
                      <w:color w:val="000000" w:themeColor="text1"/>
                      <w:szCs w:val="21"/>
                      <w:u w:val="none" w:color="auto"/>
                      <w:vertAlign w:val="superscript"/>
                      <w14:textFill>
                        <w14:solidFill>
                          <w14:schemeClr w14:val="tx1"/>
                        </w14:solidFill>
                      </w14:textFill>
                    </w:rPr>
                    <w:t>2</w:t>
                  </w:r>
                  <w:r>
                    <w:rPr>
                      <w:rFonts w:hint="default" w:ascii="Times New Roman" w:hAnsi="Times New Roman" w:cs="Times New Roman"/>
                      <w:bCs/>
                      <w:i w:val="0"/>
                      <w:iCs w:val="0"/>
                      <w:color w:val="000000" w:themeColor="text1"/>
                      <w:szCs w:val="21"/>
                      <w:u w:val="none" w:color="auto"/>
                      <w14:textFill>
                        <w14:solidFill>
                          <w14:schemeClr w14:val="tx1"/>
                        </w14:solidFill>
                      </w14:textFill>
                    </w:rPr>
                    <w:t>，用于鸡舍供热和冬季取暖供热。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restar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储运工程</w:t>
                  </w:r>
                </w:p>
              </w:tc>
              <w:tc>
                <w:tcPr>
                  <w:tcW w:w="615" w:type="pct"/>
                  <w:shd w:val="clear" w:color="auto" w:fill="auto"/>
                  <w:vAlign w:val="center"/>
                </w:tcPr>
                <w:p>
                  <w:pPr>
                    <w:spacing w:line="276" w:lineRule="auto"/>
                    <w:jc w:val="center"/>
                    <w:rPr>
                      <w:rFonts w:hint="default" w:ascii="Times New Roman" w:hAnsi="Times New Roman" w:cs="Times New Roman"/>
                      <w:i w:val="0"/>
                      <w:iCs w:val="0"/>
                      <w:color w:val="000000" w:themeColor="text1"/>
                      <w:kern w:val="0"/>
                      <w:szCs w:val="21"/>
                      <w:u w:val="none" w:color="auto"/>
                      <w14:textFill>
                        <w14:solidFill>
                          <w14:schemeClr w14:val="tx1"/>
                        </w14:solidFill>
                      </w14:textFill>
                    </w:rPr>
                  </w:pPr>
                  <w:r>
                    <w:rPr>
                      <w:rFonts w:hint="default" w:ascii="Times New Roman" w:hAnsi="Times New Roman" w:cs="Times New Roman"/>
                      <w:i w:val="0"/>
                      <w:iCs w:val="0"/>
                      <w:color w:val="000000" w:themeColor="text1"/>
                      <w:kern w:val="0"/>
                      <w:szCs w:val="21"/>
                      <w:u w:val="none" w:color="auto"/>
                      <w14:textFill>
                        <w14:solidFill>
                          <w14:schemeClr w14:val="tx1"/>
                        </w14:solidFill>
                      </w14:textFill>
                    </w:rPr>
                    <w:t>燃料堆场</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spacing w:val="2"/>
                      <w:szCs w:val="21"/>
                      <w:u w:val="none" w:color="auto"/>
                    </w:rPr>
                    <w:t>祖代鸡一厂</w:t>
                  </w:r>
                  <w:r>
                    <w:rPr>
                      <w:rFonts w:hint="default" w:ascii="Times New Roman" w:hAnsi="Times New Roman" w:cs="Times New Roman"/>
                      <w:i w:val="0"/>
                      <w:iCs w:val="0"/>
                      <w:color w:val="000000" w:themeColor="text1"/>
                      <w:kern w:val="0"/>
                      <w:szCs w:val="21"/>
                      <w:u w:val="none" w:color="auto"/>
                      <w14:textFill>
                        <w14:solidFill>
                          <w14:schemeClr w14:val="tx1"/>
                        </w14:solidFill>
                      </w14:textFill>
                    </w:rPr>
                    <w:t>燃料堆场</w:t>
                  </w:r>
                  <w:r>
                    <w:rPr>
                      <w:rFonts w:hint="default" w:ascii="Times New Roman" w:hAnsi="Times New Roman" w:cs="Times New Roman"/>
                      <w:i w:val="0"/>
                      <w:iCs w:val="0"/>
                      <w:spacing w:val="2"/>
                      <w:szCs w:val="21"/>
                      <w:u w:val="none" w:color="auto"/>
                    </w:rPr>
                    <w:t>建筑面积约200m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，位于厂内锅炉房南侧，密闭储存；祖代鸡二厂</w:t>
                  </w:r>
                  <w:r>
                    <w:rPr>
                      <w:rFonts w:hint="default" w:ascii="Times New Roman" w:hAnsi="Times New Roman" w:cs="Times New Roman"/>
                      <w:i w:val="0"/>
                      <w:iCs w:val="0"/>
                      <w:color w:val="000000" w:themeColor="text1"/>
                      <w:kern w:val="0"/>
                      <w:szCs w:val="21"/>
                      <w:u w:val="none" w:color="auto"/>
                      <w14:textFill>
                        <w14:solidFill>
                          <w14:schemeClr w14:val="tx1"/>
                        </w14:solidFill>
                      </w14:textFill>
                    </w:rPr>
                    <w:t>燃料堆场</w:t>
                  </w:r>
                  <w:r>
                    <w:rPr>
                      <w:rFonts w:hint="default" w:ascii="Times New Roman" w:hAnsi="Times New Roman" w:cs="Times New Roman"/>
                      <w:i w:val="0"/>
                      <w:iCs w:val="0"/>
                      <w:spacing w:val="2"/>
                      <w:szCs w:val="21"/>
                      <w:u w:val="none" w:color="auto"/>
                    </w:rPr>
                    <w:t>建筑面积约200m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，位于厂内锅炉房东侧，密闭储存；祖代鸡雏厂</w:t>
                  </w:r>
                  <w:r>
                    <w:rPr>
                      <w:rFonts w:hint="default" w:ascii="Times New Roman" w:hAnsi="Times New Roman" w:cs="Times New Roman"/>
                      <w:i w:val="0"/>
                      <w:iCs w:val="0"/>
                      <w:color w:val="000000" w:themeColor="text1"/>
                      <w:kern w:val="0"/>
                      <w:szCs w:val="21"/>
                      <w:u w:val="none" w:color="auto"/>
                      <w14:textFill>
                        <w14:solidFill>
                          <w14:schemeClr w14:val="tx1"/>
                        </w14:solidFill>
                      </w14:textFill>
                    </w:rPr>
                    <w:t>燃料堆场</w:t>
                  </w:r>
                  <w:r>
                    <w:rPr>
                      <w:rFonts w:hint="default" w:ascii="Times New Roman" w:hAnsi="Times New Roman" w:cs="Times New Roman"/>
                      <w:i w:val="0"/>
                      <w:iCs w:val="0"/>
                      <w:spacing w:val="2"/>
                      <w:szCs w:val="21"/>
                      <w:u w:val="none" w:color="auto"/>
                    </w:rPr>
                    <w:t>建筑面积约200m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，位于厂内锅炉房北侧，密闭储存。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adjustRightInd w:val="0"/>
                    <w:snapToGrid w:val="0"/>
                    <w:spacing w:line="276" w:lineRule="auto"/>
                    <w:jc w:val="center"/>
                    <w:rPr>
                      <w:rFonts w:hint="default" w:ascii="Times New Roman" w:hAnsi="Times New Roman" w:cs="Times New Roman"/>
                      <w:i w:val="0"/>
                      <w:iCs w:val="0"/>
                      <w:color w:val="000000" w:themeColor="text1"/>
                      <w:kern w:val="0"/>
                      <w:szCs w:val="21"/>
                      <w:u w:val="none" w:color="auto"/>
                      <w14:textFill>
                        <w14:solidFill>
                          <w14:schemeClr w14:val="tx1"/>
                        </w14:solidFill>
                      </w14:textFill>
                    </w:rPr>
                  </w:pPr>
                  <w:r>
                    <w:rPr>
                      <w:rFonts w:hint="default" w:ascii="Times New Roman" w:hAnsi="Times New Roman" w:cs="Times New Roman"/>
                      <w:i w:val="0"/>
                      <w:iCs w:val="0"/>
                      <w:color w:val="000000" w:themeColor="text1"/>
                      <w:kern w:val="0"/>
                      <w:szCs w:val="21"/>
                      <w:u w:val="none" w:color="auto"/>
                      <w14:textFill>
                        <w14:solidFill>
                          <w14:schemeClr w14:val="tx1"/>
                        </w14:solidFill>
                      </w14:textFill>
                    </w:rPr>
                    <w:t>灰渣堆场</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spacing w:val="2"/>
                      <w:szCs w:val="21"/>
                      <w:u w:val="none" w:color="auto"/>
                    </w:rPr>
                    <w:t>祖代鸡一厂灰渣堆场建筑面积约50m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，位于锅炉房南侧，密闭储存；祖代鸡二厂渣堆场建筑面积约50m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，位于锅炉房西侧，密闭储存；祖代</w:t>
                  </w:r>
                  <w:r>
                    <w:rPr>
                      <w:rFonts w:hint="default" w:ascii="Times New Roman" w:hAnsi="Times New Roman" w:cs="Times New Roman"/>
                      <w:bCs/>
                      <w:i w:val="0"/>
                      <w:iCs w:val="0"/>
                      <w:color w:val="000000" w:themeColor="text1"/>
                      <w:szCs w:val="21"/>
                      <w:u w:val="none" w:color="auto"/>
                      <w14:textFill>
                        <w14:solidFill>
                          <w14:schemeClr w14:val="tx1"/>
                        </w14:solidFill>
                      </w14:textFill>
                    </w:rPr>
                    <w:t>鸡雏厂</w:t>
                  </w:r>
                  <w:r>
                    <w:rPr>
                      <w:rFonts w:hint="default" w:ascii="Times New Roman" w:hAnsi="Times New Roman" w:cs="Times New Roman"/>
                      <w:i w:val="0"/>
                      <w:iCs w:val="0"/>
                      <w:spacing w:val="2"/>
                      <w:szCs w:val="21"/>
                      <w:u w:val="none" w:color="auto"/>
                    </w:rPr>
                    <w:t>渣堆场建筑面积约50m</w:t>
                  </w:r>
                  <w:r>
                    <w:rPr>
                      <w:rFonts w:hint="default" w:ascii="Times New Roman" w:hAnsi="Times New Roman" w:cs="Times New Roman"/>
                      <w:i w:val="0"/>
                      <w:iCs w:val="0"/>
                      <w:spacing w:val="2"/>
                      <w:szCs w:val="21"/>
                      <w:u w:val="none" w:color="auto"/>
                      <w:vertAlign w:val="superscript"/>
                    </w:rPr>
                    <w:t>2</w:t>
                  </w:r>
                  <w:r>
                    <w:rPr>
                      <w:rFonts w:hint="default" w:ascii="Times New Roman" w:hAnsi="Times New Roman" w:cs="Times New Roman"/>
                      <w:i w:val="0"/>
                      <w:iCs w:val="0"/>
                      <w:spacing w:val="2"/>
                      <w:szCs w:val="21"/>
                      <w:u w:val="none" w:color="auto"/>
                    </w:rPr>
                    <w:t>，位于锅炉房北侧，密闭储存；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restar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公用</w:t>
                  </w:r>
                </w:p>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工程</w:t>
                  </w:r>
                </w:p>
              </w:tc>
              <w:tc>
                <w:tcPr>
                  <w:tcW w:w="615" w:type="pct"/>
                  <w:shd w:val="clear" w:color="auto" w:fill="auto"/>
                  <w:vAlign w:val="center"/>
                </w:tcPr>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供水</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依托厂区内现有深水井，本项目锅炉用水新建锅炉软化水制备供给，可以满足项目需求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排水</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厂区内软化浓水</w:t>
                  </w:r>
                  <w:r>
                    <w:rPr>
                      <w:rFonts w:hint="eastAsia" w:ascii="Times New Roman" w:hAnsi="Times New Roman" w:cs="Times New Roman"/>
                      <w:bCs/>
                      <w:i w:val="0"/>
                      <w:iCs w:val="0"/>
                      <w:color w:val="000000" w:themeColor="text1"/>
                      <w:kern w:val="21"/>
                      <w:szCs w:val="21"/>
                      <w:u w:val="none" w:color="auto"/>
                      <w:lang w:eastAsia="zh-CN"/>
                      <w14:textFill>
                        <w14:solidFill>
                          <w14:schemeClr w14:val="tx1"/>
                        </w14:solidFill>
                      </w14:textFill>
                    </w:rPr>
                    <w:t>用于</w:t>
                  </w: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锅炉灰渣降尘，不外排；项目锅炉排水排入厂区建设的150m</w:t>
                  </w:r>
                  <w:r>
                    <w:rPr>
                      <w:rFonts w:hint="default" w:ascii="Times New Roman" w:hAnsi="Times New Roman" w:cs="Times New Roman"/>
                      <w:bCs/>
                      <w:i w:val="0"/>
                      <w:iCs w:val="0"/>
                      <w:color w:val="000000" w:themeColor="text1"/>
                      <w:kern w:val="21"/>
                      <w:szCs w:val="21"/>
                      <w:u w:val="none" w:color="auto"/>
                      <w:vertAlign w:val="superscript"/>
                      <w14:textFill>
                        <w14:solidFill>
                          <w14:schemeClr w14:val="tx1"/>
                        </w14:solidFill>
                      </w14:textFill>
                    </w:rPr>
                    <w:t>3</w:t>
                  </w: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防渗储池内，定期清运至江源区污水处理厂处理。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供热</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白山市江源区祖代鸡一厂、祖代鸡二厂及祖代鸡雏厂，每座锅炉房内分别设置2台生物质锅炉，锅炉房内锅炉吨位均为1台2t/h和4t/h，用于鸡舍供热和冬季取暖供热。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供电</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依托厂区内现有供电线路，可满足项目用电要求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restar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环保</w:t>
                  </w:r>
                </w:p>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工程</w:t>
                  </w: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废水</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厂区内软化浓水</w:t>
                  </w:r>
                  <w:r>
                    <w:rPr>
                      <w:rFonts w:hint="eastAsia" w:ascii="Times New Roman" w:hAnsi="Times New Roman" w:cs="Times New Roman"/>
                      <w:bCs/>
                      <w:i w:val="0"/>
                      <w:iCs w:val="0"/>
                      <w:color w:val="000000" w:themeColor="text1"/>
                      <w:kern w:val="21"/>
                      <w:szCs w:val="21"/>
                      <w:u w:val="none" w:color="auto"/>
                      <w:lang w:eastAsia="zh-CN"/>
                      <w14:textFill>
                        <w14:solidFill>
                          <w14:schemeClr w14:val="tx1"/>
                        </w14:solidFill>
                      </w14:textFill>
                    </w:rPr>
                    <w:t>用于</w:t>
                  </w: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锅炉灰渣降尘，不外排；项目锅炉排水排入厂区建设的150m</w:t>
                  </w:r>
                  <w:r>
                    <w:rPr>
                      <w:rFonts w:hint="default" w:ascii="Times New Roman" w:hAnsi="Times New Roman" w:cs="Times New Roman"/>
                      <w:bCs/>
                      <w:i w:val="0"/>
                      <w:iCs w:val="0"/>
                      <w:color w:val="000000" w:themeColor="text1"/>
                      <w:kern w:val="21"/>
                      <w:szCs w:val="21"/>
                      <w:u w:val="none" w:color="auto"/>
                      <w:vertAlign w:val="superscript"/>
                      <w14:textFill>
                        <w14:solidFill>
                          <w14:schemeClr w14:val="tx1"/>
                        </w14:solidFill>
                      </w14:textFill>
                    </w:rPr>
                    <w:t>3</w:t>
                  </w: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防渗储池内，定期清运至江源区污水处理厂处理。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废气</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iCs/>
                      <w:color w:val="000000" w:themeColor="text1"/>
                      <w:kern w:val="21"/>
                      <w:szCs w:val="21"/>
                      <w:u w:val="single" w:color="auto"/>
                      <w14:textFill>
                        <w14:solidFill>
                          <w14:schemeClr w14:val="tx1"/>
                        </w14:solidFill>
                      </w14:textFill>
                    </w:rPr>
                    <w:t>每座锅炉房配备1个布袋除尘器</w:t>
                  </w:r>
                  <w:r>
                    <w:rPr>
                      <w:rFonts w:hint="eastAsia" w:ascii="Times New Roman" w:hAnsi="Times New Roman" w:cs="Times New Roman"/>
                      <w:bCs/>
                      <w:i/>
                      <w:iCs/>
                      <w:color w:val="000000" w:themeColor="text1"/>
                      <w:kern w:val="21"/>
                      <w:szCs w:val="21"/>
                      <w:u w:val="single" w:color="auto"/>
                      <w:lang w:eastAsia="zh-CN"/>
                      <w14:textFill>
                        <w14:solidFill>
                          <w14:schemeClr w14:val="tx1"/>
                        </w14:solidFill>
                      </w14:textFill>
                    </w:rPr>
                    <w:t>，共设置</w:t>
                  </w:r>
                  <w:r>
                    <w:rPr>
                      <w:rFonts w:hint="eastAsia" w:ascii="Times New Roman" w:hAnsi="Times New Roman" w:cs="Times New Roman"/>
                      <w:bCs/>
                      <w:i/>
                      <w:iCs/>
                      <w:color w:val="000000" w:themeColor="text1"/>
                      <w:kern w:val="21"/>
                      <w:szCs w:val="21"/>
                      <w:u w:val="single" w:color="auto"/>
                      <w:lang w:val="en-US" w:eastAsia="zh-CN"/>
                      <w14:textFill>
                        <w14:solidFill>
                          <w14:schemeClr w14:val="tx1"/>
                        </w14:solidFill>
                      </w14:textFill>
                    </w:rPr>
                    <w:t>3台布袋除尘器</w:t>
                  </w:r>
                  <w:r>
                    <w:rPr>
                      <w:rFonts w:hint="default" w:ascii="Times New Roman" w:hAnsi="Times New Roman" w:cs="Times New Roman"/>
                      <w:bCs/>
                      <w:i/>
                      <w:iCs/>
                      <w:color w:val="000000" w:themeColor="text1"/>
                      <w:kern w:val="21"/>
                      <w:szCs w:val="21"/>
                      <w:u w:val="single" w:color="auto"/>
                      <w14:textFill>
                        <w14:solidFill>
                          <w14:schemeClr w14:val="tx1"/>
                        </w14:solidFill>
                      </w14:textFill>
                    </w:rPr>
                    <w:t>，</w:t>
                  </w:r>
                  <w:r>
                    <w:rPr>
                      <w:rFonts w:hint="eastAsia" w:ascii="Times New Roman" w:hAnsi="Times New Roman" w:cs="Times New Roman"/>
                      <w:bCs/>
                      <w:i/>
                      <w:iCs/>
                      <w:color w:val="000000" w:themeColor="text1"/>
                      <w:kern w:val="21"/>
                      <w:szCs w:val="21"/>
                      <w:u w:val="single" w:color="auto"/>
                      <w:lang w:eastAsia="zh-CN"/>
                      <w14:textFill>
                        <w14:solidFill>
                          <w14:schemeClr w14:val="tx1"/>
                        </w14:solidFill>
                      </w14:textFill>
                    </w:rPr>
                    <w:t>每个锅炉房内</w:t>
                  </w:r>
                  <w:r>
                    <w:rPr>
                      <w:rFonts w:hint="default" w:ascii="Times New Roman" w:hAnsi="Times New Roman" w:cs="Times New Roman"/>
                      <w:bCs/>
                      <w:i/>
                      <w:iCs/>
                      <w:color w:val="000000" w:themeColor="text1"/>
                      <w:kern w:val="21"/>
                      <w:szCs w:val="21"/>
                      <w:u w:val="single" w:color="auto"/>
                      <w14:textFill>
                        <w14:solidFill>
                          <w14:schemeClr w14:val="tx1"/>
                        </w14:solidFill>
                      </w14:textFill>
                    </w:rPr>
                    <w:t xml:space="preserve">2台生物质锅炉废气经布袋除尘器处理后中各污染物浓度能够满足《锅炉大气污染物排放标准》（GB13271-2014）中表2新建锅炉大气污染物排放浓度限值标准要求，经不低于35m高排气筒排放。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噪声</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本项目产噪设备主要为变压站、水泵、空调等设备运行产生的噪声，采用低噪声设备、对产噪设备进行基础减震，定期保养维护，保持其良好的运转状态，建筑隔声，边界噪声能满足GB12348-2008《工业企业厂界环境噪声排放标准》中1类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 w:type="pct"/>
                  <w:vMerge w:val="continue"/>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p>
              </w:tc>
              <w:tc>
                <w:tcPr>
                  <w:tcW w:w="615" w:type="pct"/>
                  <w:shd w:val="clear" w:color="auto" w:fill="auto"/>
                  <w:vAlign w:val="center"/>
                </w:tcPr>
                <w:p>
                  <w:pPr>
                    <w:spacing w:line="276" w:lineRule="auto"/>
                    <w:jc w:val="center"/>
                    <w:rPr>
                      <w:rFonts w:hint="default" w:ascii="Times New Roman" w:hAnsi="Times New Roman" w:cs="Times New Roman"/>
                      <w:bCs/>
                      <w:i w:val="0"/>
                      <w:iCs w:val="0"/>
                      <w:color w:val="000000" w:themeColor="text1"/>
                      <w:szCs w:val="21"/>
                      <w:u w:val="none" w:color="auto"/>
                      <w14:textFill>
                        <w14:solidFill>
                          <w14:schemeClr w14:val="tx1"/>
                        </w14:solidFill>
                      </w14:textFill>
                    </w:rPr>
                  </w:pPr>
                  <w:r>
                    <w:rPr>
                      <w:rFonts w:hint="default" w:ascii="Times New Roman" w:hAnsi="Times New Roman" w:cs="Times New Roman"/>
                      <w:bCs/>
                      <w:i w:val="0"/>
                      <w:iCs w:val="0"/>
                      <w:color w:val="000000" w:themeColor="text1"/>
                      <w:szCs w:val="21"/>
                      <w:u w:val="none" w:color="auto"/>
                      <w14:textFill>
                        <w14:solidFill>
                          <w14:schemeClr w14:val="tx1"/>
                        </w14:solidFill>
                      </w14:textFill>
                    </w:rPr>
                    <w:t>固体废物</w:t>
                  </w:r>
                </w:p>
              </w:tc>
              <w:tc>
                <w:tcPr>
                  <w:tcW w:w="4088" w:type="pct"/>
                  <w:shd w:val="clear" w:color="auto" w:fill="auto"/>
                  <w:vAlign w:val="center"/>
                </w:tcPr>
                <w:p>
                  <w:pPr>
                    <w:adjustRightInd w:val="0"/>
                    <w:snapToGrid w:val="0"/>
                    <w:spacing w:line="276" w:lineRule="auto"/>
                    <w:jc w:val="left"/>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生物质灰渣及除尘灰袋装密闭贮存，暂存于灰渣堆场中，定期外卖综合利用。</w:t>
                  </w:r>
                </w:p>
              </w:tc>
            </w:tr>
          </w:tbl>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4.生产设备</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本项目主要生产设备，详见下表。</w:t>
            </w:r>
          </w:p>
          <w:p>
            <w:pPr>
              <w:adjustRightInd w:val="0"/>
              <w:snapToGrid w:val="0"/>
              <w:spacing w:line="360" w:lineRule="auto"/>
              <w:jc w:val="cente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表</w:t>
            </w:r>
            <w:r>
              <w:rPr>
                <w:rFonts w:hint="eastAsia" w:ascii="Times New Roman" w:hAnsi="Times New Roman" w:cs="Times New Roman"/>
                <w:b/>
                <w:bCs/>
                <w:i w:val="0"/>
                <w:iCs w:val="0"/>
                <w:color w:val="000000" w:themeColor="text1"/>
                <w:kern w:val="21"/>
                <w:sz w:val="24"/>
                <w:u w:val="none" w:color="auto"/>
                <w:lang w:val="en-US" w:eastAsia="zh-CN"/>
                <w14:textFill>
                  <w14:solidFill>
                    <w14:schemeClr w14:val="tx1"/>
                  </w14:solidFill>
                </w14:textFill>
              </w:rPr>
              <w:t>4</w:t>
            </w: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 xml:space="preserve">  主要设备清单</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956"/>
              <w:gridCol w:w="2532"/>
              <w:gridCol w:w="1329"/>
              <w:gridCol w:w="1756"/>
              <w:gridCol w:w="1756"/>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72" w:hRule="atLeast"/>
                <w:jc w:val="center"/>
              </w:trPr>
              <w:tc>
                <w:tcPr>
                  <w:tcW w:w="574" w:type="pct"/>
                  <w:tcBorders>
                    <w:top w:val="single" w:color="auto" w:sz="12" w:space="0"/>
                    <w:left w:val="nil"/>
                    <w:bottom w:val="single" w:color="auto" w:sz="6" w:space="0"/>
                    <w:right w:val="single" w:color="auto" w:sz="4" w:space="0"/>
                  </w:tcBorders>
                  <w:vAlign w:val="center"/>
                </w:tcPr>
                <w:p>
                  <w:pPr>
                    <w:autoSpaceDE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lang w:bidi="ar"/>
                    </w:rPr>
                    <w:t>序号</w:t>
                  </w:r>
                </w:p>
              </w:tc>
              <w:tc>
                <w:tcPr>
                  <w:tcW w:w="1520" w:type="pct"/>
                  <w:tcBorders>
                    <w:top w:val="single" w:color="auto" w:sz="12" w:space="0"/>
                    <w:left w:val="single" w:color="auto" w:sz="4" w:space="0"/>
                    <w:bottom w:val="single" w:color="auto" w:sz="6" w:space="0"/>
                    <w:right w:val="single" w:color="auto" w:sz="4" w:space="0"/>
                  </w:tcBorders>
                  <w:vAlign w:val="center"/>
                </w:tcPr>
                <w:p>
                  <w:pPr>
                    <w:autoSpaceDE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lang w:bidi="ar"/>
                    </w:rPr>
                    <w:t>设备各称</w:t>
                  </w:r>
                </w:p>
              </w:tc>
              <w:tc>
                <w:tcPr>
                  <w:tcW w:w="798" w:type="pct"/>
                  <w:tcBorders>
                    <w:top w:val="single" w:color="auto" w:sz="12" w:space="0"/>
                    <w:left w:val="single" w:color="auto" w:sz="4" w:space="0"/>
                    <w:bottom w:val="single" w:color="auto" w:sz="6" w:space="0"/>
                    <w:right w:val="single" w:color="auto" w:sz="4" w:space="0"/>
                  </w:tcBorders>
                  <w:vAlign w:val="center"/>
                </w:tcPr>
                <w:p>
                  <w:pPr>
                    <w:autoSpaceDE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lang w:bidi="ar"/>
                    </w:rPr>
                    <w:t>单位</w:t>
                  </w:r>
                </w:p>
              </w:tc>
              <w:tc>
                <w:tcPr>
                  <w:tcW w:w="1054" w:type="pct"/>
                  <w:tcBorders>
                    <w:top w:val="single" w:color="auto" w:sz="12" w:space="0"/>
                    <w:left w:val="single" w:color="auto" w:sz="4" w:space="0"/>
                    <w:bottom w:val="single" w:color="auto" w:sz="6" w:space="0"/>
                    <w:right w:val="single" w:color="auto" w:sz="4" w:space="0"/>
                  </w:tcBorders>
                  <w:vAlign w:val="center"/>
                </w:tcPr>
                <w:p>
                  <w:pPr>
                    <w:autoSpaceDE w:val="0"/>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规格</w:t>
                  </w:r>
                </w:p>
              </w:tc>
              <w:tc>
                <w:tcPr>
                  <w:tcW w:w="1054" w:type="pct"/>
                  <w:tcBorders>
                    <w:top w:val="single" w:color="auto" w:sz="12" w:space="0"/>
                    <w:left w:val="single" w:color="auto" w:sz="4" w:space="0"/>
                    <w:bottom w:val="single" w:color="auto" w:sz="6" w:space="0"/>
                    <w:right w:val="nil"/>
                  </w:tcBorders>
                  <w:vAlign w:val="center"/>
                </w:tcPr>
                <w:p>
                  <w:pPr>
                    <w:autoSpaceDE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lang w:bidi="ar"/>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92" w:hRule="atLeast"/>
                <w:jc w:val="center"/>
              </w:trPr>
              <w:tc>
                <w:tcPr>
                  <w:tcW w:w="574" w:type="pct"/>
                  <w:tcBorders>
                    <w:top w:val="single" w:color="auto" w:sz="6" w:space="0"/>
                    <w:left w:val="nil"/>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1</w:t>
                  </w:r>
                </w:p>
              </w:tc>
              <w:tc>
                <w:tcPr>
                  <w:tcW w:w="1520"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生物质锅炉</w:t>
                  </w:r>
                </w:p>
              </w:tc>
              <w:tc>
                <w:tcPr>
                  <w:tcW w:w="798"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台</w:t>
                  </w:r>
                </w:p>
              </w:tc>
              <w:tc>
                <w:tcPr>
                  <w:tcW w:w="1054"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4t/h</w:t>
                  </w:r>
                </w:p>
              </w:tc>
              <w:tc>
                <w:tcPr>
                  <w:tcW w:w="1054" w:type="pct"/>
                  <w:tcBorders>
                    <w:top w:val="single" w:color="auto" w:sz="6" w:space="0"/>
                    <w:left w:val="single" w:color="auto" w:sz="4" w:space="0"/>
                    <w:bottom w:val="single" w:color="auto" w:sz="6" w:space="0"/>
                    <w:right w:val="nil"/>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92" w:hRule="atLeast"/>
                <w:jc w:val="center"/>
              </w:trPr>
              <w:tc>
                <w:tcPr>
                  <w:tcW w:w="574" w:type="pct"/>
                  <w:tcBorders>
                    <w:top w:val="single" w:color="auto" w:sz="6" w:space="0"/>
                    <w:left w:val="nil"/>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2</w:t>
                  </w:r>
                </w:p>
              </w:tc>
              <w:tc>
                <w:tcPr>
                  <w:tcW w:w="1520"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生物质锅炉</w:t>
                  </w:r>
                </w:p>
              </w:tc>
              <w:tc>
                <w:tcPr>
                  <w:tcW w:w="798"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台</w:t>
                  </w:r>
                </w:p>
              </w:tc>
              <w:tc>
                <w:tcPr>
                  <w:tcW w:w="1054" w:type="pct"/>
                  <w:tcBorders>
                    <w:top w:val="single" w:color="auto" w:sz="6" w:space="0"/>
                    <w:left w:val="single" w:color="auto" w:sz="4" w:space="0"/>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2t/h</w:t>
                  </w:r>
                </w:p>
              </w:tc>
              <w:tc>
                <w:tcPr>
                  <w:tcW w:w="1054" w:type="pct"/>
                  <w:tcBorders>
                    <w:top w:val="single" w:color="auto" w:sz="6" w:space="0"/>
                    <w:left w:val="single" w:color="auto" w:sz="4" w:space="0"/>
                    <w:bottom w:val="single" w:color="auto" w:sz="6" w:space="0"/>
                    <w:right w:val="nil"/>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45" w:hRule="atLeast"/>
                <w:jc w:val="center"/>
              </w:trPr>
              <w:tc>
                <w:tcPr>
                  <w:tcW w:w="574" w:type="pct"/>
                  <w:tcBorders>
                    <w:top w:val="single" w:color="auto" w:sz="6" w:space="0"/>
                    <w:left w:val="nil"/>
                    <w:bottom w:val="single" w:color="auto" w:sz="6"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3</w:t>
                  </w:r>
                </w:p>
              </w:tc>
              <w:tc>
                <w:tcPr>
                  <w:tcW w:w="1520" w:type="pct"/>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szCs w:val="21"/>
                      <w:u w:val="none" w:color="auto"/>
                    </w:rPr>
                    <w:t>循环水泵</w:t>
                  </w:r>
                </w:p>
              </w:tc>
              <w:tc>
                <w:tcPr>
                  <w:tcW w:w="798" w:type="pct"/>
                  <w:tcBorders>
                    <w:top w:val="single" w:color="auto" w:sz="6" w:space="0"/>
                    <w:left w:val="single" w:color="auto" w:sz="4" w:space="0"/>
                    <w:bottom w:val="single" w:color="auto" w:sz="6" w:space="0"/>
                    <w:right w:val="single" w:color="auto" w:sz="4" w:space="0"/>
                  </w:tcBorders>
                </w:tcPr>
                <w:p>
                  <w:pPr>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台</w:t>
                  </w:r>
                </w:p>
              </w:tc>
              <w:tc>
                <w:tcPr>
                  <w:tcW w:w="1054" w:type="pct"/>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w:t>
                  </w:r>
                </w:p>
              </w:tc>
              <w:tc>
                <w:tcPr>
                  <w:tcW w:w="1054" w:type="pct"/>
                  <w:tcBorders>
                    <w:top w:val="single" w:color="auto" w:sz="6" w:space="0"/>
                    <w:left w:val="single" w:color="auto" w:sz="4" w:space="0"/>
                    <w:bottom w:val="single" w:color="auto" w:sz="6" w:space="0"/>
                    <w:right w:val="nil"/>
                  </w:tcBorders>
                  <w:vAlign w:val="center"/>
                </w:tcPr>
                <w:p>
                  <w:pPr>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45" w:hRule="atLeast"/>
                <w:jc w:val="center"/>
              </w:trPr>
              <w:tc>
                <w:tcPr>
                  <w:tcW w:w="574" w:type="pct"/>
                  <w:tcBorders>
                    <w:top w:val="single" w:color="auto" w:sz="6" w:space="0"/>
                    <w:left w:val="nil"/>
                    <w:bottom w:val="single" w:color="auto" w:sz="12" w:space="0"/>
                    <w:right w:val="single" w:color="auto" w:sz="4" w:space="0"/>
                  </w:tcBorders>
                  <w:vAlign w:val="center"/>
                </w:tcPr>
                <w:p>
                  <w:pPr>
                    <w:widowControl/>
                    <w:autoSpaceDE w:val="0"/>
                    <w:jc w:val="center"/>
                    <w:rPr>
                      <w:rFonts w:hint="default" w:ascii="Times New Roman" w:hAnsi="Times New Roman" w:cs="Times New Roman"/>
                      <w:i w:val="0"/>
                      <w:iCs w:val="0"/>
                      <w:kern w:val="0"/>
                      <w:szCs w:val="21"/>
                      <w:u w:val="none" w:color="auto"/>
                      <w:lang w:bidi="ar"/>
                    </w:rPr>
                  </w:pPr>
                  <w:r>
                    <w:rPr>
                      <w:rFonts w:hint="default" w:ascii="Times New Roman" w:hAnsi="Times New Roman" w:cs="Times New Roman"/>
                      <w:i w:val="0"/>
                      <w:iCs w:val="0"/>
                      <w:kern w:val="0"/>
                      <w:szCs w:val="21"/>
                      <w:u w:val="none" w:color="auto"/>
                      <w:lang w:bidi="ar"/>
                    </w:rPr>
                    <w:t>4</w:t>
                  </w:r>
                </w:p>
              </w:tc>
              <w:tc>
                <w:tcPr>
                  <w:tcW w:w="1520" w:type="pct"/>
                  <w:tcBorders>
                    <w:top w:val="single" w:color="auto" w:sz="6"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布袋除尘器</w:t>
                  </w:r>
                </w:p>
              </w:tc>
              <w:tc>
                <w:tcPr>
                  <w:tcW w:w="798" w:type="pct"/>
                  <w:tcBorders>
                    <w:top w:val="single" w:color="auto" w:sz="6" w:space="0"/>
                    <w:left w:val="single" w:color="auto" w:sz="4" w:space="0"/>
                    <w:bottom w:val="single" w:color="auto" w:sz="12" w:space="0"/>
                    <w:right w:val="single" w:color="auto" w:sz="4" w:space="0"/>
                  </w:tcBorders>
                </w:tcPr>
                <w:p>
                  <w:pPr>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台</w:t>
                  </w:r>
                </w:p>
              </w:tc>
              <w:tc>
                <w:tcPr>
                  <w:tcW w:w="1054" w:type="pct"/>
                  <w:tcBorders>
                    <w:top w:val="single" w:color="auto" w:sz="6"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lang w:bidi="ar"/>
                    </w:rPr>
                  </w:pPr>
                  <w:r>
                    <w:rPr>
                      <w:rFonts w:hint="default" w:ascii="Times New Roman" w:hAnsi="Times New Roman" w:cs="Times New Roman"/>
                      <w:i w:val="0"/>
                      <w:iCs w:val="0"/>
                      <w:szCs w:val="21"/>
                      <w:u w:val="none" w:color="auto"/>
                      <w:lang w:bidi="ar"/>
                    </w:rPr>
                    <w:t>--</w:t>
                  </w:r>
                </w:p>
              </w:tc>
              <w:tc>
                <w:tcPr>
                  <w:tcW w:w="1054" w:type="pct"/>
                  <w:tcBorders>
                    <w:top w:val="single" w:color="auto" w:sz="6" w:space="0"/>
                    <w:left w:val="single" w:color="auto" w:sz="4" w:space="0"/>
                    <w:bottom w:val="single" w:color="auto" w:sz="12"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w:t>
                  </w:r>
                </w:p>
              </w:tc>
            </w:tr>
          </w:tbl>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5.原辅材料</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每个厂锅炉房内设置2台锅炉，分别为2t/h和4t/h生物质热水锅炉，用于鸡舍供热和冬季取暖供热。每年10月-次年3月运行（约165d），每天运行8h，每座锅炉房生物质用量约为1200t/a，3座锅炉房生物质总用量为3600t/a。</w:t>
            </w:r>
          </w:p>
          <w:p>
            <w:pPr>
              <w:adjustRightInd w:val="0"/>
              <w:snapToGrid w:val="0"/>
              <w:spacing w:line="360" w:lineRule="auto"/>
              <w:jc w:val="center"/>
              <w:rPr>
                <w:rFonts w:hint="default" w:ascii="Times New Roman" w:hAnsi="Times New Roman" w:eastAsia="宋体"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eastAsia="宋体" w:cs="Times New Roman"/>
                <w:b/>
                <w:bCs/>
                <w:i w:val="0"/>
                <w:iCs w:val="0"/>
                <w:color w:val="000000" w:themeColor="text1"/>
                <w:kern w:val="21"/>
                <w:sz w:val="24"/>
                <w:u w:val="none" w:color="auto"/>
                <w14:textFill>
                  <w14:solidFill>
                    <w14:schemeClr w14:val="tx1"/>
                  </w14:solidFill>
                </w14:textFill>
              </w:rPr>
              <w:t>表5  生物质成分表</w:t>
            </w:r>
          </w:p>
          <w:tbl>
            <w:tblPr>
              <w:tblStyle w:val="18"/>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28"/>
              <w:gridCol w:w="816"/>
              <w:gridCol w:w="977"/>
              <w:gridCol w:w="977"/>
              <w:gridCol w:w="977"/>
              <w:gridCol w:w="893"/>
              <w:gridCol w:w="1283"/>
              <w:gridCol w:w="117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38" w:type="pct"/>
                  <w:tcBorders>
                    <w:top w:val="single" w:color="000000" w:sz="12" w:space="0"/>
                    <w:left w:val="nil"/>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燃料名称</w:t>
                  </w:r>
                </w:p>
              </w:tc>
              <w:tc>
                <w:tcPr>
                  <w:tcW w:w="483"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水分（%）</w:t>
                  </w:r>
                </w:p>
              </w:tc>
              <w:tc>
                <w:tcPr>
                  <w:tcW w:w="587"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灰分（%）</w:t>
                  </w:r>
                </w:p>
              </w:tc>
              <w:tc>
                <w:tcPr>
                  <w:tcW w:w="587"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挥发分（%）</w:t>
                  </w:r>
                </w:p>
              </w:tc>
              <w:tc>
                <w:tcPr>
                  <w:tcW w:w="587"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固定碳（%）</w:t>
                  </w:r>
                </w:p>
              </w:tc>
              <w:tc>
                <w:tcPr>
                  <w:tcW w:w="537"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硫（%）</w:t>
                  </w:r>
                </w:p>
              </w:tc>
              <w:tc>
                <w:tcPr>
                  <w:tcW w:w="770" w:type="pct"/>
                  <w:tcBorders>
                    <w:top w:val="single" w:color="000000" w:sz="12"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低位发热量(MJ/kg)</w:t>
                  </w:r>
                </w:p>
              </w:tc>
              <w:tc>
                <w:tcPr>
                  <w:tcW w:w="707" w:type="pct"/>
                  <w:tcBorders>
                    <w:top w:val="single" w:color="000000" w:sz="12" w:space="0"/>
                    <w:left w:val="single" w:color="000000" w:sz="6" w:space="0"/>
                    <w:bottom w:val="single" w:color="000000" w:sz="6" w:space="0"/>
                    <w:right w:val="nil"/>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汞含量（μg/g）</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738" w:type="pct"/>
                  <w:tcBorders>
                    <w:top w:val="single" w:color="000000" w:sz="6" w:space="0"/>
                    <w:left w:val="nil"/>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生物质</w:t>
                  </w:r>
                </w:p>
              </w:tc>
              <w:tc>
                <w:tcPr>
                  <w:tcW w:w="483"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25</w:t>
                  </w:r>
                </w:p>
              </w:tc>
              <w:tc>
                <w:tcPr>
                  <w:tcW w:w="587"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3.07</w:t>
                  </w:r>
                </w:p>
              </w:tc>
              <w:tc>
                <w:tcPr>
                  <w:tcW w:w="587"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76.78</w:t>
                  </w:r>
                </w:p>
              </w:tc>
              <w:tc>
                <w:tcPr>
                  <w:tcW w:w="587"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48.40</w:t>
                  </w:r>
                </w:p>
              </w:tc>
              <w:tc>
                <w:tcPr>
                  <w:tcW w:w="537"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0.03</w:t>
                  </w:r>
                </w:p>
              </w:tc>
              <w:tc>
                <w:tcPr>
                  <w:tcW w:w="770" w:type="pct"/>
                  <w:tcBorders>
                    <w:top w:val="single" w:color="000000" w:sz="6" w:space="0"/>
                    <w:left w:val="single" w:color="000000" w:sz="6" w:space="0"/>
                    <w:bottom w:val="single" w:color="000000" w:sz="12" w:space="0"/>
                    <w:right w:val="single" w:color="000000" w:sz="6" w:space="0"/>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12.25</w:t>
                  </w:r>
                </w:p>
              </w:tc>
              <w:tc>
                <w:tcPr>
                  <w:tcW w:w="707" w:type="pct"/>
                  <w:tcBorders>
                    <w:top w:val="single" w:color="000000" w:sz="6" w:space="0"/>
                    <w:left w:val="single" w:color="000000" w:sz="6" w:space="0"/>
                    <w:bottom w:val="single" w:color="000000" w:sz="12" w:space="0"/>
                    <w:right w:val="nil"/>
                  </w:tcBorders>
                  <w:tcMar>
                    <w:top w:w="45" w:type="dxa"/>
                    <w:left w:w="75" w:type="dxa"/>
                    <w:bottom w:w="45" w:type="dxa"/>
                    <w:right w:w="75" w:type="dxa"/>
                  </w:tcMar>
                  <w:vAlign w:val="center"/>
                </w:tcPr>
                <w:p>
                  <w:pPr>
                    <w:adjustRightInd w:val="0"/>
                    <w:snapToGrid w:val="0"/>
                    <w:ind w:right="71" w:rightChars="34"/>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w:t>
                  </w:r>
                </w:p>
              </w:tc>
            </w:tr>
          </w:tbl>
          <w:p>
            <w:pPr>
              <w:numPr>
                <w:ilvl w:val="0"/>
                <w:numId w:val="4"/>
              </w:numPr>
              <w:spacing w:line="360" w:lineRule="auto"/>
              <w:ind w:firstLine="482" w:firstLineChars="200"/>
              <w:rPr>
                <w:rFonts w:hint="eastAsia" w:ascii="Times New Roman" w:hAnsi="Times New Roman" w:cs="Times New Roman"/>
                <w:b/>
                <w:i w:val="0"/>
                <w:iCs w:val="0"/>
                <w:color w:val="000000" w:themeColor="text1"/>
                <w:sz w:val="24"/>
                <w:u w:val="none" w:color="auto"/>
                <w:lang w:eastAsia="zh-CN"/>
                <w14:textFill>
                  <w14:solidFill>
                    <w14:schemeClr w14:val="tx1"/>
                  </w14:solidFill>
                </w14:textFill>
              </w:rPr>
            </w:pPr>
            <w:r>
              <w:rPr>
                <w:rFonts w:hint="eastAsia" w:ascii="Times New Roman" w:hAnsi="Times New Roman" w:cs="Times New Roman"/>
                <w:b/>
                <w:i w:val="0"/>
                <w:iCs w:val="0"/>
                <w:color w:val="000000" w:themeColor="text1"/>
                <w:sz w:val="24"/>
                <w:u w:val="none" w:color="auto"/>
                <w:lang w:eastAsia="zh-CN"/>
                <w14:textFill>
                  <w14:solidFill>
                    <w14:schemeClr w14:val="tx1"/>
                  </w14:solidFill>
                </w14:textFill>
              </w:rPr>
              <w:t>水平衡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i w:val="0"/>
                <w:iCs w:val="0"/>
                <w:sz w:val="24"/>
                <w:szCs w:val="24"/>
                <w:u w:val="none" w:color="auto"/>
                <w:lang w:eastAsia="zh-CN"/>
              </w:rPr>
            </w:pPr>
            <w:r>
              <w:rPr>
                <w:rFonts w:hint="eastAsia"/>
                <w:i w:val="0"/>
                <w:iCs w:val="0"/>
                <w:sz w:val="24"/>
                <w:szCs w:val="24"/>
                <w:u w:val="none" w:color="auto"/>
                <w:lang w:eastAsia="zh-CN"/>
              </w:rPr>
              <w:t>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eastAsia="zh-CN"/>
              </w:rPr>
              <w:t>本项目新鲜水总用水量为</w:t>
            </w:r>
            <w:r>
              <w:rPr>
                <w:rFonts w:hint="default" w:ascii="Times New Roman" w:hAnsi="Times New Roman" w:cs="Times New Roman"/>
                <w:i w:val="0"/>
                <w:iCs w:val="0"/>
                <w:sz w:val="24"/>
                <w:szCs w:val="24"/>
                <w:u w:val="none" w:color="auto"/>
                <w:lang w:val="en-US" w:eastAsia="zh-CN"/>
              </w:rPr>
              <w:t>13.2t/d（2178t/a），主要为软化系统用水，其中产生软化水10.56t/d（1742.4t/a），用于锅炉补充水，项目用水水源来自现有厂区深井，可满足项目用水需求。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i w:val="0"/>
                <w:iCs w:val="0"/>
                <w:sz w:val="24"/>
                <w:szCs w:val="24"/>
                <w:u w:val="none" w:color="auto"/>
                <w:lang w:val="en-US" w:eastAsia="zh-CN"/>
              </w:rPr>
            </w:pPr>
            <w:r>
              <w:rPr>
                <w:rFonts w:hint="eastAsia" w:eastAsia="宋体" w:cs="Times New Roman"/>
                <w:i w:val="0"/>
                <w:iCs w:val="0"/>
                <w:sz w:val="24"/>
                <w:szCs w:val="24"/>
                <w:u w:val="none" w:color="auto"/>
                <w:lang w:val="en-US" w:eastAsia="zh-CN"/>
              </w:rPr>
              <w:t>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本项目废水产生量为4.44t/d（732.6t/a），其中软化水排水量为2.64t/d（435.6t/a），锅炉排水量为1.8t/d（297t/a），项目产生的软化浓水用于锅炉灰渣降尘，不外排；项目锅炉排水排入厂区建设的150m</w:t>
            </w:r>
            <w:r>
              <w:rPr>
                <w:rFonts w:hint="default" w:ascii="Times New Roman" w:hAnsi="Times New Roman" w:eastAsia="宋体" w:cs="Times New Roman"/>
                <w:i w:val="0"/>
                <w:iCs w:val="0"/>
                <w:sz w:val="24"/>
                <w:szCs w:val="24"/>
                <w:u w:val="none" w:color="auto"/>
                <w:vertAlign w:val="superscript"/>
                <w:lang w:val="en-US" w:eastAsia="zh-CN"/>
              </w:rPr>
              <w:t>3</w:t>
            </w:r>
            <w:r>
              <w:rPr>
                <w:rFonts w:hint="default" w:ascii="Times New Roman" w:hAnsi="Times New Roman" w:eastAsia="宋体" w:cs="Times New Roman"/>
                <w:i w:val="0"/>
                <w:iCs w:val="0"/>
                <w:sz w:val="24"/>
                <w:szCs w:val="24"/>
                <w:u w:val="none" w:color="auto"/>
                <w:lang w:val="en-US" w:eastAsia="zh-CN"/>
              </w:rPr>
              <w:t>防渗储池内，定期清运至江源区污水处理厂处理。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 w:val="0"/>
                <w:iCs w:val="0"/>
                <w:sz w:val="24"/>
                <w:szCs w:val="24"/>
                <w:u w:val="none" w:color="auto"/>
                <w:lang w:val="en-US" w:eastAsia="zh-CN"/>
              </w:rPr>
            </w:pPr>
            <w:r>
              <w:rPr>
                <w:rFonts w:hint="eastAsia" w:ascii="Times New Roman" w:hAnsi="Times New Roman" w:eastAsia="宋体" w:cs="Times New Roman"/>
                <w:i w:val="0"/>
                <w:iCs w:val="0"/>
                <w:sz w:val="24"/>
                <w:szCs w:val="24"/>
                <w:u w:val="none" w:color="auto"/>
                <w:lang w:val="en-US" w:eastAsia="zh-CN"/>
              </w:rPr>
              <w:t>本项目的水平衡图详见图1：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i w:val="0"/>
                <w:iCs w:val="0"/>
                <w:u w:val="none" w:color="auto"/>
                <w:lang w:val="en-US" w:eastAsia="zh-CN"/>
              </w:rPr>
            </w:pPr>
            <w:r>
              <w:rPr>
                <w:rFonts w:hint="eastAsia"/>
                <w:i w:val="0"/>
                <w:iCs w:val="0"/>
                <w:u w:val="none" w:color="auto"/>
                <w:lang w:val="en-US" w:eastAsia="zh-CN"/>
              </w:rPr>
              <w:drawing>
                <wp:inline distT="0" distB="0" distL="114300" distR="114300">
                  <wp:extent cx="5289550" cy="2530475"/>
                  <wp:effectExtent l="0" t="0" r="6350" b="3175"/>
                  <wp:docPr id="6" name="图片 6"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3"/>
                          <pic:cNvPicPr>
                            <a:picLocks noChangeAspect="1"/>
                          </pic:cNvPicPr>
                        </pic:nvPicPr>
                        <pic:blipFill>
                          <a:blip r:embed="rId8"/>
                          <a:stretch>
                            <a:fillRect/>
                          </a:stretch>
                        </pic:blipFill>
                        <pic:spPr>
                          <a:xfrm>
                            <a:off x="0" y="0"/>
                            <a:ext cx="5289550" cy="2530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i w:val="0"/>
                <w:iCs w:val="0"/>
                <w:color w:val="000000" w:themeColor="text1"/>
                <w:sz w:val="24"/>
                <w:u w:val="none" w:color="auto"/>
                <w:lang w:val="en-US" w:eastAsia="zh-CN"/>
                <w14:textFill>
                  <w14:solidFill>
                    <w14:schemeClr w14:val="tx1"/>
                  </w14:solidFill>
                </w14:textFill>
              </w:rPr>
            </w:pPr>
            <w:r>
              <w:rPr>
                <w:rFonts w:hint="eastAsia" w:ascii="Times New Roman" w:hAnsi="Times New Roman" w:cs="Times New Roman"/>
                <w:b/>
                <w:i w:val="0"/>
                <w:iCs w:val="0"/>
                <w:color w:val="000000" w:themeColor="text1"/>
                <w:sz w:val="24"/>
                <w:u w:val="none" w:color="auto"/>
                <w:lang w:val="en-US" w:eastAsia="zh-CN"/>
                <w14:textFill>
                  <w14:solidFill>
                    <w14:schemeClr w14:val="tx1"/>
                  </w14:solidFill>
                </w14:textFill>
              </w:rPr>
              <w:t>图1  水平衡图</w:t>
            </w:r>
          </w:p>
          <w:p>
            <w:pPr>
              <w:spacing w:line="360" w:lineRule="auto"/>
              <w:ind w:firstLine="482" w:firstLineChars="200"/>
              <w:rPr>
                <w:rFonts w:hint="default" w:ascii="Times New Roman" w:hAnsi="Times New Roman" w:cs="Times New Roman"/>
                <w:b/>
                <w:i w:val="0"/>
                <w:iCs w:val="0"/>
                <w:color w:val="000000" w:themeColor="text1"/>
                <w:sz w:val="24"/>
                <w:u w:val="none" w:color="auto"/>
                <w14:textFill>
                  <w14:solidFill>
                    <w14:schemeClr w14:val="tx1"/>
                  </w14:solidFill>
                </w14:textFill>
              </w:rPr>
            </w:pPr>
            <w:r>
              <w:rPr>
                <w:rFonts w:hint="eastAsia" w:ascii="Times New Roman" w:hAnsi="Times New Roman" w:cs="Times New Roman"/>
                <w:b/>
                <w:i w:val="0"/>
                <w:iCs w:val="0"/>
                <w:color w:val="000000" w:themeColor="text1"/>
                <w:sz w:val="24"/>
                <w:u w:val="none" w:color="auto"/>
                <w:lang w:val="en-US" w:eastAsia="zh-CN"/>
                <w14:textFill>
                  <w14:solidFill>
                    <w14:schemeClr w14:val="tx1"/>
                  </w14:solidFill>
                </w14:textFill>
              </w:rPr>
              <w:t>7</w:t>
            </w:r>
            <w:r>
              <w:rPr>
                <w:rFonts w:hint="default" w:ascii="Times New Roman" w:hAnsi="Times New Roman" w:cs="Times New Roman"/>
                <w:b/>
                <w:i w:val="0"/>
                <w:iCs w:val="0"/>
                <w:color w:val="000000" w:themeColor="text1"/>
                <w:sz w:val="24"/>
                <w:u w:val="none" w:color="auto"/>
                <w14:textFill>
                  <w14:solidFill>
                    <w14:schemeClr w14:val="tx1"/>
                  </w14:solidFill>
                </w14:textFill>
              </w:rPr>
              <w:t>劳动定员及工作制度</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本项目不新增劳动定员，运行人员由企业内部调配，新建生物质锅炉年工作时间165d，每天一班生产，每班8h。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3" w:type="pct"/>
            <w:vAlign w:val="center"/>
          </w:tcPr>
          <w:p>
            <w:pPr>
              <w:pStyle w:val="16"/>
              <w:adjustRightInd w:val="0"/>
              <w:snapToGrid w:val="0"/>
              <w:spacing w:before="0" w:beforeAutospacing="0" w:after="0" w:afterAutospacing="0" w:line="360" w:lineRule="auto"/>
              <w:jc w:val="center"/>
              <w:rPr>
                <w:rFonts w:hint="default" w:ascii="Times New Roman" w:hAnsi="Times New Roman" w:cs="Times New Roman"/>
                <w:i w:val="0"/>
                <w:iCs w:val="0"/>
                <w:color w:val="000000" w:themeColor="text1"/>
                <w:kern w:val="21"/>
                <w:szCs w:val="24"/>
                <w:u w:val="none" w:color="auto"/>
                <w14:textFill>
                  <w14:solidFill>
                    <w14:schemeClr w14:val="tx1"/>
                  </w14:solidFill>
                </w14:textFill>
              </w:rPr>
            </w:pPr>
            <w:r>
              <w:rPr>
                <w:rFonts w:hint="default" w:ascii="Times New Roman" w:hAnsi="Times New Roman" w:cs="Times New Roman"/>
                <w:i w:val="0"/>
                <w:iCs w:val="0"/>
                <w:color w:val="000000" w:themeColor="text1"/>
                <w:kern w:val="21"/>
                <w:szCs w:val="24"/>
                <w:u w:val="none" w:color="auto"/>
                <w14:textFill>
                  <w14:solidFill>
                    <w14:schemeClr w14:val="tx1"/>
                  </w14:solidFill>
                </w14:textFill>
              </w:rPr>
              <w:t>工艺流程和产排污环节</w:t>
            </w:r>
          </w:p>
        </w:tc>
        <w:tc>
          <w:tcPr>
            <w:tcW w:w="4746" w:type="pct"/>
            <w:vAlign w:val="center"/>
          </w:tcPr>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1.施工期工艺流程</w:t>
            </w:r>
          </w:p>
          <w:p>
            <w:pPr>
              <w:adjustRightInd w:val="0"/>
              <w:snapToGrid w:val="0"/>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本项目施工期主要建设锅炉房施工工艺流程图见下图。</w:t>
            </w:r>
          </w:p>
          <w:p>
            <w:pPr>
              <w:pStyle w:val="2"/>
              <w:spacing w:before="0" w:after="0" w:line="360" w:lineRule="auto"/>
              <w:jc w:val="center"/>
              <w:rPr>
                <w:rFonts w:hint="default" w:ascii="Times New Roman" w:hAnsi="Times New Roman" w:cs="Times New Roman"/>
                <w:b/>
                <w:bCs/>
                <w:i w:val="0"/>
                <w:iCs w:val="0"/>
                <w:color w:val="000000" w:themeColor="text1"/>
                <w:sz w:val="24"/>
                <w:szCs w:val="24"/>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object>
                <v:shape id="_x0000_i1025" o:spt="75" type="#_x0000_t75" style="height:168.75pt;width:315.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o:LockedField>false</o:LockedField>
                </o:OLEObject>
              </w:object>
            </w:r>
          </w:p>
          <w:p>
            <w:pPr>
              <w:pStyle w:val="2"/>
              <w:spacing w:before="0" w:after="0" w:line="360" w:lineRule="auto"/>
              <w:jc w:val="center"/>
              <w:rPr>
                <w:rFonts w:hint="default" w:ascii="Times New Roman" w:hAnsi="Times New Roman" w:cs="Times New Roman"/>
                <w:b/>
                <w:bCs/>
                <w:i w:val="0"/>
                <w:iCs w:val="0"/>
                <w:color w:val="000000" w:themeColor="text1"/>
                <w:sz w:val="24"/>
                <w:szCs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szCs w:val="24"/>
                <w:u w:val="none" w:color="auto"/>
                <w14:textFill>
                  <w14:solidFill>
                    <w14:schemeClr w14:val="tx1"/>
                  </w14:solidFill>
                </w14:textFill>
              </w:rPr>
              <w:t>图2  施工工艺流程图</w:t>
            </w: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2.运营期工艺流程</w:t>
            </w:r>
          </w:p>
          <w:p>
            <w:pPr>
              <w:pStyle w:val="2"/>
              <w:spacing w:line="360" w:lineRule="auto"/>
              <w:ind w:right="0"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本项目锅炉房运营期</w:t>
            </w:r>
            <w:r>
              <w:rPr>
                <w:rFonts w:hint="default" w:ascii="Times New Roman" w:hAnsi="Times New Roman" w:cs="Times New Roman"/>
                <w:bCs/>
                <w:i w:val="0"/>
                <w:iCs w:val="0"/>
                <w:color w:val="000000" w:themeColor="text1"/>
                <w:kern w:val="21"/>
                <w:sz w:val="24"/>
                <w:u w:val="none" w:color="auto"/>
                <w:lang w:eastAsia="zh-CN"/>
                <w14:textFill>
                  <w14:solidFill>
                    <w14:schemeClr w14:val="tx1"/>
                  </w14:solidFill>
                </w14:textFill>
              </w:rPr>
              <w:t>工艺</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流程见下图。</w:t>
            </w:r>
          </w:p>
          <w:p>
            <w:pPr>
              <w:adjustRightInd w:val="0"/>
              <w:snapToGrid w:val="0"/>
              <w:spacing w:line="360" w:lineRule="auto"/>
              <w:jc w:val="center"/>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drawing>
                <wp:inline distT="0" distB="0" distL="0" distR="0">
                  <wp:extent cx="4091305" cy="315277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1737" cy="3152775"/>
                          </a:xfrm>
                          <a:prstGeom prst="rect">
                            <a:avLst/>
                          </a:prstGeom>
                          <a:noFill/>
                          <a:ln>
                            <a:noFill/>
                          </a:ln>
                          <a:effectLst/>
                        </pic:spPr>
                      </pic:pic>
                    </a:graphicData>
                  </a:graphic>
                </wp:inline>
              </w:drawing>
            </w:r>
          </w:p>
          <w:p>
            <w:pPr>
              <w:pStyle w:val="2"/>
              <w:spacing w:before="0" w:after="0" w:line="360" w:lineRule="auto"/>
              <w:ind w:right="0"/>
              <w:jc w:val="center"/>
              <w:rPr>
                <w:rFonts w:hint="default" w:ascii="Times New Roman" w:hAnsi="Times New Roman" w:cs="Times New Roman"/>
                <w:b/>
                <w:bCs/>
                <w:i w:val="0"/>
                <w:iCs w:val="0"/>
                <w:color w:val="000000" w:themeColor="text1"/>
                <w:sz w:val="24"/>
                <w:szCs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szCs w:val="24"/>
                <w:u w:val="none" w:color="auto"/>
                <w14:textFill>
                  <w14:solidFill>
                    <w14:schemeClr w14:val="tx1"/>
                  </w14:solidFill>
                </w14:textFill>
              </w:rPr>
              <w:t>图3  本项目锅炉运行工艺流程图</w:t>
            </w:r>
          </w:p>
          <w:p>
            <w:pPr>
              <w:pStyle w:val="53"/>
              <w:snapToGrid w:val="0"/>
              <w:spacing w:line="360" w:lineRule="auto"/>
              <w:ind w:firstLine="480"/>
              <w:rPr>
                <w:rFonts w:hint="default" w:ascii="Times New Roman" w:hAnsi="Times New Roman" w:cs="Times New Roman"/>
                <w:bCs/>
                <w:i w:val="0"/>
                <w:iCs w:val="0"/>
                <w:color w:val="auto"/>
                <w:sz w:val="24"/>
                <w:szCs w:val="24"/>
                <w:u w:val="none" w:color="auto"/>
              </w:rPr>
            </w:pPr>
            <w:r>
              <w:rPr>
                <w:rFonts w:hint="default" w:ascii="Times New Roman" w:hAnsi="Times New Roman" w:cs="Times New Roman"/>
                <w:bCs/>
                <w:i w:val="0"/>
                <w:iCs w:val="0"/>
                <w:color w:val="auto"/>
                <w:sz w:val="24"/>
                <w:u w:val="none" w:color="auto"/>
              </w:rPr>
              <w:t>生物质燃料从加料口或上部均匀地铺在上炉排上，点火后，开启引风机，燃料中的挥发分析出，火焰向下燃烧，在未燃带、悬挂炉排所构成的区域迅速形成高温区，为连续稳定着火创造了条件，小于上炉排间隙且挥发分已燃尽的炙热燃料和未燃尽的微粒，在引风机及重力的作用下，一边燃烧一边向下掉落，落在温度很高的悬挂炉排上稍作停留后继续下落，最后落到下炉排上，未完全燃烧的燃料颗粒继续燃烧，燃尽的灰粒从下炉排落入出灰装置的灰斗，当积灰到一定高度时，打开出灰闸板一并排出。</w:t>
            </w:r>
          </w:p>
          <w:p>
            <w:pPr>
              <w:pStyle w:val="53"/>
              <w:snapToGrid w:val="0"/>
              <w:spacing w:line="360" w:lineRule="auto"/>
              <w:ind w:firstLine="480"/>
              <w:rPr>
                <w:rFonts w:hint="default" w:ascii="Times New Roman" w:hAnsi="Times New Roman" w:cs="Times New Roman"/>
                <w:bCs/>
                <w:i w:val="0"/>
                <w:iCs w:val="0"/>
                <w:color w:val="auto"/>
                <w:sz w:val="24"/>
                <w:u w:val="none" w:color="auto"/>
              </w:rPr>
            </w:pPr>
            <w:r>
              <w:rPr>
                <w:rFonts w:hint="default" w:ascii="Times New Roman" w:hAnsi="Times New Roman" w:cs="Times New Roman"/>
                <w:bCs/>
                <w:i w:val="0"/>
                <w:iCs w:val="0"/>
                <w:color w:val="auto"/>
                <w:sz w:val="24"/>
                <w:u w:val="none" w:color="auto"/>
              </w:rPr>
              <w:t>在燃料下落的过程中，二次配风口补充一定氧气，供悬浮燃烧，三次配风口提供的氧气的为下炉排上的燃烧助燃，完全燃烧后的烟气通过烟气出口通往对流受热面。大颗粒烟尘通过隔板向上时由于惯性甩入灰斗，稍小的灰尘通过除尘挡板网阻挡又大部分落入灰斗，仅部分极其细小的微粒进入对流受热面，极大地减少了对流受热面的积灰，提高了传热效果。</w:t>
            </w:r>
          </w:p>
          <w:p>
            <w:pPr>
              <w:adjustRightInd w:val="0"/>
              <w:snapToGrid w:val="0"/>
              <w:spacing w:line="360" w:lineRule="auto"/>
              <w:ind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3、主要污染工序及污染因子 ：</w:t>
            </w:r>
          </w:p>
          <w:p>
            <w:pPr>
              <w:adjustRightInd w:val="0"/>
              <w:snapToGrid w:val="0"/>
              <w:spacing w:line="360" w:lineRule="auto"/>
              <w:jc w:val="center"/>
              <w:rPr>
                <w:rFonts w:hint="default" w:ascii="Times New Roman" w:hAnsi="Times New Roman" w:eastAsia="宋体"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eastAsia="宋体" w:cs="Times New Roman"/>
                <w:b/>
                <w:bCs/>
                <w:i w:val="0"/>
                <w:iCs w:val="0"/>
                <w:color w:val="000000" w:themeColor="text1"/>
                <w:kern w:val="21"/>
                <w:sz w:val="24"/>
                <w:u w:val="none" w:color="auto"/>
                <w14:textFill>
                  <w14:solidFill>
                    <w14:schemeClr w14:val="tx1"/>
                  </w14:solidFill>
                </w14:textFill>
              </w:rPr>
              <w:t xml:space="preserve">表6  主要污染工序及污染因子一览表 </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918"/>
              <w:gridCol w:w="2928"/>
              <w:gridCol w:w="1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pct"/>
                  <w:tcBorders>
                    <w:top w:val="single" w:color="auto" w:sz="12" w:space="0"/>
                    <w:left w:val="nil"/>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污染类型</w:t>
                  </w:r>
                </w:p>
              </w:tc>
              <w:tc>
                <w:tcPr>
                  <w:tcW w:w="1151" w:type="pct"/>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污染物</w:t>
                  </w:r>
                </w:p>
              </w:tc>
              <w:tc>
                <w:tcPr>
                  <w:tcW w:w="1757" w:type="pct"/>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污染因子</w:t>
                  </w:r>
                </w:p>
              </w:tc>
              <w:tc>
                <w:tcPr>
                  <w:tcW w:w="1177" w:type="pct"/>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产物节点（工序）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废气</w:t>
                  </w:r>
                </w:p>
              </w:tc>
              <w:tc>
                <w:tcPr>
                  <w:tcW w:w="11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锅炉烟气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SO</w:t>
                  </w:r>
                  <w:r>
                    <w:rPr>
                      <w:rFonts w:hint="default" w:ascii="Times New Roman" w:hAnsi="Times New Roman" w:cs="Times New Roman"/>
                      <w:i w:val="0"/>
                      <w:iCs w:val="0"/>
                      <w:szCs w:val="21"/>
                      <w:u w:val="none" w:color="auto"/>
                      <w:vertAlign w:val="subscript"/>
                    </w:rPr>
                    <w:t>2</w:t>
                  </w:r>
                  <w:r>
                    <w:rPr>
                      <w:rFonts w:hint="default" w:ascii="Times New Roman" w:hAnsi="Times New Roman" w:cs="Times New Roman"/>
                      <w:i w:val="0"/>
                      <w:iCs w:val="0"/>
                      <w:szCs w:val="21"/>
                      <w:u w:val="none" w:color="auto"/>
                    </w:rPr>
                    <w:t>、NOx、烟尘</w:t>
                  </w:r>
                </w:p>
              </w:tc>
              <w:tc>
                <w:tcPr>
                  <w:tcW w:w="1177" w:type="pct"/>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9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废水</w:t>
                  </w:r>
                </w:p>
              </w:tc>
              <w:tc>
                <w:tcPr>
                  <w:tcW w:w="1151"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锅炉排污水</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 xml:space="preserve">SS </w:t>
                  </w:r>
                </w:p>
              </w:tc>
              <w:tc>
                <w:tcPr>
                  <w:tcW w:w="1177" w:type="pct"/>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噪声</w:t>
                  </w:r>
                </w:p>
              </w:tc>
              <w:tc>
                <w:tcPr>
                  <w:tcW w:w="1151"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生产噪声</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等效连续 A 声级</w:t>
                  </w:r>
                </w:p>
              </w:tc>
              <w:tc>
                <w:tcPr>
                  <w:tcW w:w="1177" w:type="pct"/>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设备运行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pct"/>
                  <w:vMerge w:val="restart"/>
                  <w:tcBorders>
                    <w:top w:val="single" w:color="auto" w:sz="4" w:space="0"/>
                    <w:left w:val="nil"/>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固废</w:t>
                  </w:r>
                </w:p>
              </w:tc>
              <w:tc>
                <w:tcPr>
                  <w:tcW w:w="1151"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生物质灰渣</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w:t>
                  </w:r>
                </w:p>
              </w:tc>
              <w:tc>
                <w:tcPr>
                  <w:tcW w:w="1177" w:type="pct"/>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pct"/>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1151" w:type="pct"/>
                  <w:tcBorders>
                    <w:top w:val="single" w:color="auto" w:sz="4" w:space="0"/>
                    <w:left w:val="single" w:color="auto" w:sz="4" w:space="0"/>
                    <w:bottom w:val="single" w:color="auto" w:sz="12" w:space="0"/>
                    <w:right w:val="single" w:color="auto" w:sz="4" w:space="0"/>
                  </w:tcBorders>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布袋除尘灰</w:t>
                  </w:r>
                </w:p>
              </w:tc>
              <w:tc>
                <w:tcPr>
                  <w:tcW w:w="1757"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w:t>
                  </w:r>
                </w:p>
              </w:tc>
              <w:tc>
                <w:tcPr>
                  <w:tcW w:w="1177" w:type="pct"/>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锅炉运行</w:t>
                  </w:r>
                </w:p>
              </w:tc>
            </w:tr>
          </w:tbl>
          <w:p>
            <w:pPr>
              <w:pStyle w:val="2"/>
              <w:spacing w:before="0" w:after="0" w:line="360" w:lineRule="auto"/>
              <w:ind w:right="0"/>
              <w:jc w:val="center"/>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pStyle w:val="2"/>
              <w:spacing w:before="0" w:after="0" w:line="276" w:lineRule="auto"/>
              <w:ind w:right="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i w:val="0"/>
                <w:iCs w:val="0"/>
                <w:color w:val="000000" w:themeColor="text1"/>
                <w:kern w:val="21"/>
                <w:sz w:val="24"/>
                <w:u w:val="none" w:color="auto"/>
                <w14:textFill>
                  <w14:solidFill>
                    <w14:schemeClr w14:val="tx1"/>
                  </w14:solidFill>
                </w14:textFill>
              </w:rPr>
              <w:t>与项目有关的原有环境污染问题</w:t>
            </w:r>
          </w:p>
          <w:p>
            <w:pPr>
              <w:pStyle w:val="2"/>
              <w:spacing w:line="360" w:lineRule="auto"/>
              <w:ind w:right="0" w:firstLine="480" w:firstLineChars="200"/>
              <w:rPr>
                <w:rFonts w:hint="default" w:ascii="Times New Roman" w:hAnsi="Times New Roman" w:cs="Times New Roman"/>
                <w:i/>
                <w:iCs/>
                <w:sz w:val="24"/>
                <w:u w:val="single" w:color="auto"/>
              </w:rPr>
            </w:pPr>
            <w:r>
              <w:rPr>
                <w:rFonts w:hint="default" w:ascii="Times New Roman" w:hAnsi="Times New Roman" w:cs="Times New Roman"/>
                <w:i/>
                <w:iCs/>
                <w:sz w:val="24"/>
                <w:u w:val="single" w:color="auto"/>
              </w:rPr>
              <w:t>白山市江源区祖代鸡一厂、祖代鸡二厂及祖代鸡雏厂已于2020年7月31日在吉林省生态环境厅填报环境影响登记表，并均已取得备案表，备案文号分别为202022060500000051，202022060500000052及202022060500000055，其中白山市江源区祖代鸡一厂、祖代鸡二厂均已建成投产，其中各项环保设施均已落实，祖代鸡雏厂正在建设中，尚未投入运行</w:t>
            </w:r>
            <w:r>
              <w:rPr>
                <w:rFonts w:hint="eastAsia" w:ascii="Times New Roman" w:hAnsi="Times New Roman" w:cs="Times New Roman"/>
                <w:i/>
                <w:iCs/>
                <w:sz w:val="24"/>
                <w:u w:val="single" w:color="auto"/>
                <w:lang w:eastAsia="zh-CN"/>
              </w:rPr>
              <w:t>，</w:t>
            </w:r>
            <w:r>
              <w:rPr>
                <w:rFonts w:hint="eastAsia" w:ascii="Times New Roman" w:hAnsi="Times New Roman" w:cs="Times New Roman"/>
                <w:i/>
                <w:iCs/>
                <w:sz w:val="24"/>
                <w:u w:val="single" w:color="auto"/>
                <w:lang w:val="en-US" w:eastAsia="zh-CN"/>
              </w:rPr>
              <w:t>本项目锅炉已建设完成，白山市生态环境局已对本项目的未批先建情况，做出相应的行政处罚</w:t>
            </w:r>
            <w:r>
              <w:rPr>
                <w:rFonts w:hint="default" w:ascii="Times New Roman" w:hAnsi="Times New Roman" w:cs="Times New Roman"/>
                <w:i/>
                <w:iCs/>
                <w:sz w:val="24"/>
                <w:u w:val="single" w:color="auto"/>
              </w:rPr>
              <w:t>。</w:t>
            </w:r>
          </w:p>
          <w:p>
            <w:pPr>
              <w:pStyle w:val="2"/>
              <w:spacing w:line="360" w:lineRule="auto"/>
              <w:ind w:right="0" w:firstLine="480" w:firstLineChars="200"/>
              <w:rPr>
                <w:rFonts w:hint="default" w:ascii="Times New Roman" w:hAnsi="Times New Roman" w:cs="Times New Roman"/>
                <w:i w:val="0"/>
                <w:iCs w:val="0"/>
                <w:sz w:val="24"/>
                <w:u w:val="none" w:color="auto"/>
              </w:rPr>
            </w:pPr>
          </w:p>
          <w:p>
            <w:pPr>
              <w:pStyle w:val="2"/>
              <w:spacing w:line="360" w:lineRule="auto"/>
              <w:ind w:right="0" w:firstLine="480" w:firstLineChars="200"/>
              <w:rPr>
                <w:rFonts w:hint="default" w:ascii="Times New Roman" w:hAnsi="Times New Roman" w:cs="Times New Roman"/>
                <w:i w:val="0"/>
                <w:iCs w:val="0"/>
                <w:sz w:val="24"/>
                <w:u w:val="none" w:color="auto"/>
              </w:rPr>
            </w:pPr>
          </w:p>
          <w:p>
            <w:pPr>
              <w:pStyle w:val="2"/>
              <w:spacing w:line="360" w:lineRule="auto"/>
              <w:ind w:right="0" w:firstLine="480" w:firstLineChars="200"/>
              <w:rPr>
                <w:rFonts w:hint="default" w:ascii="Times New Roman" w:hAnsi="Times New Roman" w:cs="Times New Roman"/>
                <w:i w:val="0"/>
                <w:iCs w:val="0"/>
                <w:sz w:val="24"/>
                <w:u w:val="none" w:color="auto"/>
              </w:rPr>
            </w:pPr>
          </w:p>
          <w:p>
            <w:pPr>
              <w:pStyle w:val="2"/>
              <w:spacing w:line="360" w:lineRule="auto"/>
              <w:ind w:right="0" w:firstLine="480" w:firstLineChars="200"/>
              <w:rPr>
                <w:rFonts w:hint="default" w:ascii="Times New Roman" w:hAnsi="Times New Roman" w:cs="Times New Roman"/>
                <w:i w:val="0"/>
                <w:iCs w:val="0"/>
                <w:sz w:val="24"/>
                <w:u w:val="none" w:color="auto"/>
              </w:rPr>
            </w:pPr>
          </w:p>
          <w:p>
            <w:pPr>
              <w:pStyle w:val="2"/>
              <w:spacing w:line="360" w:lineRule="auto"/>
              <w:ind w:right="0"/>
              <w:rPr>
                <w:rFonts w:hint="default" w:ascii="Times New Roman" w:hAnsi="Times New Roman" w:cs="Times New Roman"/>
                <w:i w:val="0"/>
                <w:iCs w:val="0"/>
                <w:sz w:val="24"/>
                <w:u w:val="none" w:color="auto"/>
              </w:rPr>
            </w:pPr>
          </w:p>
        </w:tc>
      </w:tr>
    </w:tbl>
    <w:p>
      <w:pPr>
        <w:pStyle w:val="16"/>
        <w:jc w:val="center"/>
        <w:rPr>
          <w:rFonts w:ascii="Times New Roman" w:hAnsi="Times New Roman" w:eastAsia="黑体"/>
          <w:i w:val="0"/>
          <w:iCs w:val="0"/>
          <w:snapToGrid w:val="0"/>
          <w:color w:val="000000" w:themeColor="text1"/>
          <w:kern w:val="21"/>
          <w:sz w:val="36"/>
          <w:szCs w:val="36"/>
          <w:u w:val="none" w:color="auto"/>
          <w14:textFill>
            <w14:solidFill>
              <w14:schemeClr w14:val="tx1"/>
            </w14:solidFill>
          </w14:textFill>
        </w:rPr>
        <w:sectPr>
          <w:pgSz w:w="11907" w:h="16838"/>
          <w:pgMar w:top="1418" w:right="1418" w:bottom="1418" w:left="1701" w:header="851" w:footer="851" w:gutter="0"/>
          <w:cols w:space="720" w:num="1"/>
          <w:docGrid w:linePitch="312" w:charSpace="0"/>
        </w:sectPr>
      </w:pPr>
    </w:p>
    <w:p>
      <w:pPr>
        <w:pStyle w:val="16"/>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三、区域环境质量现状、环境保护目标及评价标准</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2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Cs w:val="21"/>
                <w:u w:val="none" w:color="auto"/>
                <w14:textFill>
                  <w14:solidFill>
                    <w14:schemeClr w14:val="tx1"/>
                  </w14:solidFill>
                </w14:textFill>
              </w:rPr>
              <w:t>区域</w:t>
            </w:r>
          </w:p>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Cs w:val="21"/>
                <w:u w:val="none" w:color="auto"/>
                <w14:textFill>
                  <w14:solidFill>
                    <w14:schemeClr w14:val="tx1"/>
                  </w14:solidFill>
                </w14:textFill>
              </w:rPr>
              <w:t>环境</w:t>
            </w:r>
          </w:p>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Cs w:val="21"/>
                <w:u w:val="none" w:color="auto"/>
                <w14:textFill>
                  <w14:solidFill>
                    <w14:schemeClr w14:val="tx1"/>
                  </w14:solidFill>
                </w14:textFill>
              </w:rPr>
              <w:t>质量</w:t>
            </w:r>
          </w:p>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Cs w:val="21"/>
                <w:u w:val="none" w:color="auto"/>
                <w14:textFill>
                  <w14:solidFill>
                    <w14:schemeClr w14:val="tx1"/>
                  </w14:solidFill>
                </w14:textFill>
              </w:rPr>
              <w:t>现状</w:t>
            </w:r>
          </w:p>
        </w:tc>
        <w:tc>
          <w:tcPr>
            <w:tcW w:w="4566" w:type="pct"/>
            <w:vAlign w:val="center"/>
          </w:tcPr>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1. 大气环境质量现状</w:t>
            </w:r>
          </w:p>
          <w:p>
            <w:pPr>
              <w:spacing w:line="360" w:lineRule="auto"/>
              <w:ind w:firstLine="413" w:firstLineChars="196"/>
              <w:rPr>
                <w:rFonts w:hint="default" w:ascii="Times New Roman" w:hAnsi="Times New Roman" w:cs="Times New Roman"/>
                <w:b/>
                <w:bCs/>
                <w:i w:val="0"/>
                <w:iCs w:val="0"/>
                <w:color w:val="000000" w:themeColor="text1"/>
                <w:u w:val="none" w:color="auto"/>
                <w14:textFill>
                  <w14:solidFill>
                    <w14:schemeClr w14:val="tx1"/>
                  </w14:solidFill>
                </w14:textFill>
              </w:rPr>
            </w:pPr>
            <w:bookmarkStart w:id="2" w:name="_Toc26291"/>
            <w:bookmarkStart w:id="3" w:name="_Toc26854"/>
            <w:r>
              <w:rPr>
                <w:rFonts w:hint="default" w:ascii="Times New Roman" w:hAnsi="Times New Roman" w:cs="Times New Roman"/>
                <w:b/>
                <w:bCs/>
                <w:i w:val="0"/>
                <w:iCs w:val="0"/>
                <w:color w:val="000000" w:themeColor="text1"/>
                <w:u w:val="none" w:color="auto"/>
                <w14:textFill>
                  <w14:solidFill>
                    <w14:schemeClr w14:val="tx1"/>
                  </w14:solidFill>
                </w14:textFill>
              </w:rPr>
              <w:t>1.1项目所在区域达标判断</w:t>
            </w:r>
          </w:p>
          <w:p>
            <w:pPr>
              <w:spacing w:line="360" w:lineRule="auto"/>
              <w:ind w:firstLine="470" w:firstLineChars="196"/>
              <w:rPr>
                <w:rFonts w:hint="default" w:ascii="Times New Roman" w:hAnsi="Times New Roman" w:cs="Times New Roman"/>
                <w:i w:val="0"/>
                <w:iCs w:val="0"/>
                <w:sz w:val="24"/>
                <w:u w:val="none" w:color="auto"/>
              </w:rPr>
            </w:pPr>
            <w:r>
              <w:rPr>
                <w:rFonts w:hint="default" w:ascii="Times New Roman" w:hAnsi="Times New Roman" w:cs="Times New Roman"/>
                <w:i w:val="0"/>
                <w:iCs w:val="0"/>
                <w:color w:val="000000" w:themeColor="text1"/>
                <w:sz w:val="24"/>
                <w:szCs w:val="24"/>
                <w:u w:val="none" w:color="auto"/>
                <w14:textFill>
                  <w14:solidFill>
                    <w14:schemeClr w14:val="tx1"/>
                  </w14:solidFill>
                </w14:textFill>
              </w:rPr>
              <w:t>根据《环境影响评价技术导则-大气环境》（HJ2.2-2018）中6.2“基本污染物环境质量监测数据来源—6.2.1.1项目所在区域达标判定，优先采用国家或地方生态环境主管部门公开发布的评价基准年环境质量公告过环境质量报告的数据或结论；6.2.1.3评价范围内没有环境空气质量监测网数据或没有公开发布的环境空气质量现状数据的，可选择符合HJ 664规定，并且与评价范围地理位置临近，地形、气候条件相近的环境空气质量城市点或区域点监测数据”。本项目位于白山市江源区，</w:t>
            </w:r>
            <w:r>
              <w:rPr>
                <w:rFonts w:hint="default" w:ascii="Times New Roman" w:hAnsi="Times New Roman" w:cs="Times New Roman"/>
                <w:i w:val="0"/>
                <w:iCs w:val="0"/>
                <w:sz w:val="24"/>
                <w:u w:val="none" w:color="auto"/>
              </w:rPr>
              <w:t>故本项目空气环境质量数据引用《吉林省202</w:t>
            </w:r>
            <w:r>
              <w:rPr>
                <w:rFonts w:hint="eastAsia" w:ascii="Times New Roman" w:hAnsi="Times New Roman" w:cs="Times New Roman"/>
                <w:i w:val="0"/>
                <w:iCs w:val="0"/>
                <w:sz w:val="24"/>
                <w:u w:val="none" w:color="auto"/>
                <w:lang w:val="en-US" w:eastAsia="zh-CN"/>
              </w:rPr>
              <w:t>1</w:t>
            </w:r>
            <w:r>
              <w:rPr>
                <w:rFonts w:hint="default" w:ascii="Times New Roman" w:hAnsi="Times New Roman" w:cs="Times New Roman"/>
                <w:i w:val="0"/>
                <w:iCs w:val="0"/>
                <w:sz w:val="24"/>
                <w:u w:val="none" w:color="auto"/>
              </w:rPr>
              <w:t>年环境状况公报》中白山市的有关数据，数据引用合理，其所设监测数据代表性、时效性及符合性较好，可以使用。</w:t>
            </w:r>
          </w:p>
          <w:p>
            <w:pPr>
              <w:spacing w:line="360" w:lineRule="auto"/>
              <w:ind w:firstLine="480" w:firstLineChars="200"/>
              <w:rPr>
                <w:rFonts w:hint="default" w:ascii="Times New Roman" w:hAnsi="Times New Roman" w:cs="Times New Roman"/>
                <w:i/>
                <w:iCs/>
                <w:color w:val="000000"/>
                <w:sz w:val="24"/>
                <w:u w:val="single"/>
              </w:rPr>
            </w:pPr>
            <w:r>
              <w:rPr>
                <w:rFonts w:hint="default" w:ascii="Times New Roman" w:hAnsi="Times New Roman" w:cs="Times New Roman"/>
                <w:i/>
                <w:iCs/>
                <w:color w:val="000000"/>
                <w:sz w:val="24"/>
                <w:u w:val="single"/>
              </w:rPr>
              <w:t>根据《吉林省2021年生态环境状况公报》，2021全年，</w:t>
            </w:r>
            <w:r>
              <w:rPr>
                <w:rFonts w:hint="eastAsia" w:ascii="Times New Roman" w:hAnsi="Times New Roman" w:cs="Times New Roman"/>
                <w:i/>
                <w:iCs/>
                <w:color w:val="000000"/>
                <w:sz w:val="24"/>
                <w:u w:val="single"/>
                <w:lang w:eastAsia="zh-CN"/>
              </w:rPr>
              <w:t>白山</w:t>
            </w:r>
            <w:r>
              <w:rPr>
                <w:rFonts w:hint="default" w:ascii="Times New Roman" w:hAnsi="Times New Roman" w:cs="Times New Roman"/>
                <w:i/>
                <w:iCs/>
                <w:color w:val="000000"/>
                <w:sz w:val="24"/>
                <w:u w:val="single"/>
              </w:rPr>
              <w:t>市环境空气中二氧化硫（SO</w:t>
            </w:r>
            <w:r>
              <w:rPr>
                <w:rFonts w:hint="default" w:ascii="Times New Roman" w:hAnsi="Times New Roman" w:cs="Times New Roman"/>
                <w:i/>
                <w:iCs/>
                <w:color w:val="000000"/>
                <w:sz w:val="24"/>
                <w:u w:val="single"/>
                <w:vertAlign w:val="subscript"/>
              </w:rPr>
              <w:t>2</w:t>
            </w:r>
            <w:r>
              <w:rPr>
                <w:rFonts w:hint="default" w:ascii="Times New Roman" w:hAnsi="Times New Roman" w:cs="Times New Roman"/>
                <w:i/>
                <w:iCs/>
                <w:color w:val="000000"/>
                <w:sz w:val="24"/>
                <w:u w:val="single"/>
              </w:rPr>
              <w:t>）年均浓度</w:t>
            </w:r>
            <w:r>
              <w:rPr>
                <w:rFonts w:hint="eastAsia" w:ascii="Times New Roman" w:hAnsi="Times New Roman" w:cs="Times New Roman"/>
                <w:i/>
                <w:iCs/>
                <w:color w:val="000000"/>
                <w:sz w:val="24"/>
                <w:u w:val="single"/>
                <w:lang w:val="en-US" w:eastAsia="zh-CN"/>
              </w:rPr>
              <w:t>15</w:t>
            </w:r>
            <w:r>
              <w:rPr>
                <w:rFonts w:hint="default" w:ascii="Times New Roman" w:hAnsi="Times New Roman" w:cs="Times New Roman"/>
                <w:i/>
                <w:iCs/>
                <w:color w:val="000000"/>
                <w:sz w:val="24"/>
                <w:u w:val="single"/>
              </w:rPr>
              <w:t>微克/立方米，二氧化氮（NO</w:t>
            </w:r>
            <w:r>
              <w:rPr>
                <w:rFonts w:hint="default" w:ascii="Times New Roman" w:hAnsi="Times New Roman" w:cs="Times New Roman"/>
                <w:i/>
                <w:iCs/>
                <w:color w:val="000000"/>
                <w:sz w:val="24"/>
                <w:u w:val="single"/>
                <w:vertAlign w:val="subscript"/>
              </w:rPr>
              <w:t>2</w:t>
            </w:r>
            <w:r>
              <w:rPr>
                <w:rFonts w:hint="default" w:ascii="Times New Roman" w:hAnsi="Times New Roman" w:cs="Times New Roman"/>
                <w:i/>
                <w:iCs/>
                <w:color w:val="000000"/>
                <w:sz w:val="24"/>
                <w:u w:val="single"/>
              </w:rPr>
              <w:t>）年均浓度</w:t>
            </w:r>
            <w:r>
              <w:rPr>
                <w:rFonts w:hint="eastAsia" w:ascii="Times New Roman" w:hAnsi="Times New Roman" w:cs="Times New Roman"/>
                <w:i/>
                <w:iCs/>
                <w:color w:val="000000"/>
                <w:sz w:val="24"/>
                <w:u w:val="single"/>
                <w:lang w:val="en-US" w:eastAsia="zh-CN"/>
              </w:rPr>
              <w:t>2</w:t>
            </w:r>
            <w:r>
              <w:rPr>
                <w:rFonts w:hint="default" w:ascii="Times New Roman" w:hAnsi="Times New Roman" w:cs="Times New Roman"/>
                <w:i/>
                <w:iCs/>
                <w:color w:val="000000"/>
                <w:sz w:val="24"/>
                <w:u w:val="single"/>
              </w:rPr>
              <w:t>1微克/立方米，一氧化碳（CO）日均值第95百分位浓度为1.</w:t>
            </w:r>
            <w:r>
              <w:rPr>
                <w:rFonts w:hint="eastAsia" w:ascii="Times New Roman" w:hAnsi="Times New Roman" w:cs="Times New Roman"/>
                <w:i/>
                <w:iCs/>
                <w:color w:val="000000"/>
                <w:sz w:val="24"/>
                <w:u w:val="single"/>
                <w:lang w:val="en-US" w:eastAsia="zh-CN"/>
              </w:rPr>
              <w:t>6</w:t>
            </w:r>
            <w:r>
              <w:rPr>
                <w:rFonts w:hint="default" w:ascii="Times New Roman" w:hAnsi="Times New Roman" w:cs="Times New Roman"/>
                <w:i/>
                <w:iCs/>
                <w:color w:val="000000"/>
                <w:sz w:val="24"/>
                <w:u w:val="single"/>
              </w:rPr>
              <w:t>毫克/立方米，臭氧（O</w:t>
            </w:r>
            <w:r>
              <w:rPr>
                <w:rFonts w:hint="default" w:ascii="Times New Roman" w:hAnsi="Times New Roman" w:cs="Times New Roman"/>
                <w:i/>
                <w:iCs/>
                <w:color w:val="000000"/>
                <w:sz w:val="24"/>
                <w:u w:val="single"/>
                <w:vertAlign w:val="subscript"/>
              </w:rPr>
              <w:t>3</w:t>
            </w:r>
            <w:r>
              <w:rPr>
                <w:rFonts w:hint="default" w:ascii="Times New Roman" w:hAnsi="Times New Roman" w:cs="Times New Roman"/>
                <w:i/>
                <w:iCs/>
                <w:color w:val="000000"/>
                <w:sz w:val="24"/>
                <w:u w:val="single"/>
              </w:rPr>
              <w:t>）日最大8小时平均第90百分位浓度为11</w:t>
            </w:r>
            <w:r>
              <w:rPr>
                <w:rFonts w:hint="eastAsia" w:ascii="Times New Roman" w:hAnsi="Times New Roman" w:cs="Times New Roman"/>
                <w:i/>
                <w:iCs/>
                <w:color w:val="000000"/>
                <w:sz w:val="24"/>
                <w:u w:val="single"/>
                <w:lang w:val="en-US" w:eastAsia="zh-CN"/>
              </w:rPr>
              <w:t>0</w:t>
            </w:r>
            <w:r>
              <w:rPr>
                <w:rFonts w:hint="default" w:ascii="Times New Roman" w:hAnsi="Times New Roman" w:cs="Times New Roman"/>
                <w:i/>
                <w:iCs/>
                <w:color w:val="000000"/>
                <w:sz w:val="24"/>
                <w:u w:val="single"/>
              </w:rPr>
              <w:t>微克/立方米，可吸入颗粒物（PM</w:t>
            </w:r>
            <w:r>
              <w:rPr>
                <w:rFonts w:hint="default" w:ascii="Times New Roman" w:hAnsi="Times New Roman" w:cs="Times New Roman"/>
                <w:i/>
                <w:iCs/>
                <w:color w:val="000000"/>
                <w:sz w:val="24"/>
                <w:u w:val="single"/>
                <w:vertAlign w:val="subscript"/>
              </w:rPr>
              <w:t>10</w:t>
            </w:r>
            <w:r>
              <w:rPr>
                <w:rFonts w:hint="default" w:ascii="Times New Roman" w:hAnsi="Times New Roman" w:cs="Times New Roman"/>
                <w:i/>
                <w:iCs/>
                <w:color w:val="000000"/>
                <w:sz w:val="24"/>
                <w:u w:val="single"/>
              </w:rPr>
              <w:t>）年均浓度为5</w:t>
            </w:r>
            <w:r>
              <w:rPr>
                <w:rFonts w:hint="eastAsia" w:ascii="Times New Roman" w:hAnsi="Times New Roman" w:cs="Times New Roman"/>
                <w:i/>
                <w:iCs/>
                <w:color w:val="000000"/>
                <w:sz w:val="24"/>
                <w:u w:val="single"/>
                <w:lang w:val="en-US" w:eastAsia="zh-CN"/>
              </w:rPr>
              <w:t>7</w:t>
            </w:r>
            <w:r>
              <w:rPr>
                <w:rFonts w:hint="default" w:ascii="Times New Roman" w:hAnsi="Times New Roman" w:cs="Times New Roman"/>
                <w:i/>
                <w:iCs/>
                <w:color w:val="000000"/>
                <w:sz w:val="24"/>
                <w:u w:val="single"/>
              </w:rPr>
              <w:t>微克/立方米，细颗粒物（PM</w:t>
            </w:r>
            <w:r>
              <w:rPr>
                <w:rFonts w:hint="default" w:ascii="Times New Roman" w:hAnsi="Times New Roman" w:cs="Times New Roman"/>
                <w:i/>
                <w:iCs/>
                <w:color w:val="000000"/>
                <w:sz w:val="24"/>
                <w:u w:val="single"/>
                <w:vertAlign w:val="subscript"/>
              </w:rPr>
              <w:t>2.5</w:t>
            </w:r>
            <w:r>
              <w:rPr>
                <w:rFonts w:hint="default" w:ascii="Times New Roman" w:hAnsi="Times New Roman" w:cs="Times New Roman"/>
                <w:i/>
                <w:iCs/>
                <w:color w:val="000000"/>
                <w:sz w:val="24"/>
                <w:u w:val="single"/>
              </w:rPr>
              <w:t>）年均浓度为</w:t>
            </w:r>
            <w:r>
              <w:rPr>
                <w:rFonts w:hint="eastAsia" w:ascii="Times New Roman" w:hAnsi="Times New Roman" w:cs="Times New Roman"/>
                <w:i/>
                <w:iCs/>
                <w:color w:val="000000"/>
                <w:sz w:val="24"/>
                <w:u w:val="single"/>
                <w:lang w:val="en-US" w:eastAsia="zh-CN"/>
              </w:rPr>
              <w:t>25</w:t>
            </w:r>
            <w:r>
              <w:rPr>
                <w:rFonts w:hint="default" w:ascii="Times New Roman" w:hAnsi="Times New Roman" w:cs="Times New Roman"/>
                <w:i/>
                <w:iCs/>
                <w:color w:val="000000"/>
                <w:sz w:val="24"/>
                <w:u w:val="single"/>
              </w:rPr>
              <w:t>微克/立方米，二氧化硫（SO</w:t>
            </w:r>
            <w:r>
              <w:rPr>
                <w:rFonts w:hint="default" w:ascii="Times New Roman" w:hAnsi="Times New Roman" w:cs="Times New Roman"/>
                <w:i/>
                <w:iCs/>
                <w:color w:val="000000"/>
                <w:sz w:val="24"/>
                <w:u w:val="single"/>
                <w:vertAlign w:val="subscript"/>
              </w:rPr>
              <w:t>2</w:t>
            </w:r>
            <w:r>
              <w:rPr>
                <w:rFonts w:hint="default" w:ascii="Times New Roman" w:hAnsi="Times New Roman" w:cs="Times New Roman"/>
                <w:i/>
                <w:iCs/>
                <w:color w:val="000000"/>
                <w:sz w:val="24"/>
                <w:u w:val="single"/>
              </w:rPr>
              <w:t>）、二氧化氮（NO</w:t>
            </w:r>
            <w:r>
              <w:rPr>
                <w:rFonts w:hint="default" w:ascii="Times New Roman" w:hAnsi="Times New Roman" w:cs="Times New Roman"/>
                <w:i/>
                <w:iCs/>
                <w:color w:val="000000"/>
                <w:sz w:val="24"/>
                <w:u w:val="single"/>
                <w:vertAlign w:val="subscript"/>
              </w:rPr>
              <w:t>2</w:t>
            </w:r>
            <w:r>
              <w:rPr>
                <w:rFonts w:hint="default" w:ascii="Times New Roman" w:hAnsi="Times New Roman" w:cs="Times New Roman"/>
                <w:i/>
                <w:iCs/>
                <w:color w:val="000000"/>
                <w:sz w:val="24"/>
                <w:u w:val="single"/>
              </w:rPr>
              <w:t>）、一氧化碳（CO）、臭氧（O</w:t>
            </w:r>
            <w:r>
              <w:rPr>
                <w:rFonts w:hint="default" w:ascii="Times New Roman" w:hAnsi="Times New Roman" w:cs="Times New Roman"/>
                <w:i/>
                <w:iCs/>
                <w:color w:val="000000"/>
                <w:sz w:val="24"/>
                <w:u w:val="single"/>
                <w:vertAlign w:val="subscript"/>
              </w:rPr>
              <w:t>3</w:t>
            </w:r>
            <w:r>
              <w:rPr>
                <w:rFonts w:hint="default" w:ascii="Times New Roman" w:hAnsi="Times New Roman" w:cs="Times New Roman"/>
                <w:i/>
                <w:iCs/>
                <w:color w:val="000000"/>
                <w:sz w:val="24"/>
                <w:u w:val="single"/>
              </w:rPr>
              <w:t>）、可吸入颗粒物（PM</w:t>
            </w:r>
            <w:r>
              <w:rPr>
                <w:rFonts w:hint="default" w:ascii="Times New Roman" w:hAnsi="Times New Roman" w:cs="Times New Roman"/>
                <w:i/>
                <w:iCs/>
                <w:color w:val="000000"/>
                <w:sz w:val="24"/>
                <w:u w:val="single"/>
                <w:vertAlign w:val="subscript"/>
              </w:rPr>
              <w:t>10</w:t>
            </w:r>
            <w:r>
              <w:rPr>
                <w:rFonts w:hint="default" w:ascii="Times New Roman" w:hAnsi="Times New Roman" w:cs="Times New Roman"/>
                <w:i/>
                <w:iCs/>
                <w:color w:val="000000"/>
                <w:sz w:val="24"/>
                <w:u w:val="single"/>
              </w:rPr>
              <w:t>）及细颗粒物（PM</w:t>
            </w:r>
            <w:r>
              <w:rPr>
                <w:rFonts w:hint="default" w:ascii="Times New Roman" w:hAnsi="Times New Roman" w:cs="Times New Roman"/>
                <w:i/>
                <w:iCs/>
                <w:color w:val="000000"/>
                <w:sz w:val="24"/>
                <w:u w:val="single"/>
                <w:vertAlign w:val="subscript"/>
              </w:rPr>
              <w:t>2.5</w:t>
            </w:r>
            <w:r>
              <w:rPr>
                <w:rFonts w:hint="default" w:ascii="Times New Roman" w:hAnsi="Times New Roman" w:cs="Times New Roman"/>
                <w:i/>
                <w:iCs/>
                <w:color w:val="000000"/>
                <w:sz w:val="24"/>
                <w:u w:val="single"/>
              </w:rPr>
              <w:t>）均符合《环境空气质量标准》（GB3095-2012）中年平均二级标准的要求，因此，本项目所在区域属于达标区。</w:t>
            </w: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p>
          <w:p>
            <w:pPr>
              <w:pStyle w:val="2"/>
              <w:rPr>
                <w:rFonts w:hint="default" w:ascii="Times New Roman" w:hAnsi="Times New Roman" w:cs="Times New Roman"/>
                <w:i/>
                <w:iCs/>
                <w:u w:val="single"/>
              </w:rPr>
            </w:pPr>
          </w:p>
          <w:p>
            <w:pPr>
              <w:pStyle w:val="3"/>
              <w:ind w:left="2100" w:hanging="420"/>
              <w:rPr>
                <w:rFonts w:hint="default" w:ascii="Times New Roman" w:hAnsi="Times New Roman" w:cs="Times New Roman"/>
                <w:i/>
                <w:iCs/>
                <w:u w:val="single"/>
              </w:rPr>
            </w:pPr>
          </w:p>
          <w:p>
            <w:pPr>
              <w:pStyle w:val="3"/>
              <w:ind w:left="2100" w:hanging="420"/>
              <w:rPr>
                <w:rFonts w:hint="default" w:ascii="Times New Roman" w:hAnsi="Times New Roman" w:cs="Times New Roman"/>
                <w:i/>
                <w:iCs/>
                <w:u w:val="single"/>
              </w:rPr>
            </w:pP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p>
          <w:p>
            <w:pPr>
              <w:snapToGrid w:val="0"/>
              <w:spacing w:line="360" w:lineRule="auto"/>
              <w:jc w:val="center"/>
              <w:rPr>
                <w:rFonts w:hint="default" w:ascii="Times New Roman" w:hAnsi="Times New Roman" w:cs="Times New Roman"/>
                <w:b/>
                <w:i/>
                <w:iCs/>
                <w:color w:val="000000"/>
                <w:sz w:val="24"/>
                <w:u w:val="single"/>
              </w:rPr>
            </w:pPr>
            <w:r>
              <w:rPr>
                <w:rFonts w:hint="default" w:ascii="Times New Roman" w:hAnsi="Times New Roman" w:cs="Times New Roman"/>
                <w:b/>
                <w:i/>
                <w:iCs/>
                <w:color w:val="000000"/>
                <w:sz w:val="24"/>
                <w:u w:val="single"/>
              </w:rPr>
              <w:t xml:space="preserve">表4-1  </w:t>
            </w:r>
            <w:r>
              <w:rPr>
                <w:rFonts w:hint="eastAsia" w:ascii="Times New Roman" w:hAnsi="Times New Roman" w:cs="Times New Roman"/>
                <w:b/>
                <w:i/>
                <w:iCs/>
                <w:color w:val="000000"/>
                <w:sz w:val="24"/>
                <w:u w:val="single"/>
                <w:lang w:eastAsia="zh-CN"/>
              </w:rPr>
              <w:t>白山</w:t>
            </w:r>
            <w:r>
              <w:rPr>
                <w:rFonts w:hint="default" w:ascii="Times New Roman" w:hAnsi="Times New Roman" w:cs="Times New Roman"/>
                <w:b/>
                <w:i/>
                <w:iCs/>
                <w:color w:val="000000"/>
                <w:sz w:val="24"/>
                <w:u w:val="single"/>
              </w:rPr>
              <w:t>市空气质量现状评价表</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1006"/>
              <w:gridCol w:w="2482"/>
              <w:gridCol w:w="965"/>
              <w:gridCol w:w="1288"/>
              <w:gridCol w:w="988"/>
              <w:gridCol w:w="12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污染物</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年评价</w:t>
                  </w:r>
                  <w:r>
                    <w:rPr>
                      <w:rFonts w:hint="default" w:ascii="Times New Roman" w:hAnsi="Times New Roman" w:eastAsia="宋体" w:cs="Times New Roman"/>
                      <w:bCs/>
                      <w:i/>
                      <w:iCs/>
                      <w:sz w:val="21"/>
                      <w:szCs w:val="21"/>
                      <w:u w:val="single"/>
                    </w:rPr>
                    <w:cr/>
                  </w:r>
                  <w:r>
                    <w:rPr>
                      <w:rFonts w:hint="default" w:ascii="Times New Roman" w:hAnsi="Times New Roman" w:eastAsia="宋体" w:cs="Times New Roman"/>
                      <w:bCs/>
                      <w:i/>
                      <w:iCs/>
                      <w:sz w:val="21"/>
                      <w:szCs w:val="21"/>
                      <w:u w:val="single"/>
                    </w:rPr>
                    <w:t>标</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单位</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现状浓度</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标准值</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SO</w:t>
                  </w:r>
                  <w:r>
                    <w:rPr>
                      <w:rFonts w:hint="default" w:ascii="Times New Roman" w:hAnsi="Times New Roman" w:eastAsia="宋体" w:cs="Times New Roman"/>
                      <w:bCs/>
                      <w:i/>
                      <w:iCs/>
                      <w:sz w:val="21"/>
                      <w:szCs w:val="21"/>
                      <w:u w:val="single"/>
                      <w:vertAlign w:val="subscript"/>
                    </w:rPr>
                    <w:t>2</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年平均质量浓度</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µg/m³</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lang w:val="en-US" w:eastAsia="zh-CN"/>
                    </w:rPr>
                  </w:pPr>
                  <w:r>
                    <w:rPr>
                      <w:rFonts w:hint="eastAsia" w:ascii="Times New Roman" w:hAnsi="Times New Roman" w:eastAsia="宋体" w:cs="Times New Roman"/>
                      <w:bCs/>
                      <w:i/>
                      <w:iCs/>
                      <w:sz w:val="21"/>
                      <w:szCs w:val="21"/>
                      <w:u w:val="single"/>
                      <w:lang w:val="en-US" w:eastAsia="zh-CN"/>
                    </w:rPr>
                    <w:t>15</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60</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NO</w:t>
                  </w:r>
                  <w:r>
                    <w:rPr>
                      <w:rFonts w:hint="default" w:ascii="Times New Roman" w:hAnsi="Times New Roman" w:eastAsia="宋体" w:cs="Times New Roman"/>
                      <w:bCs/>
                      <w:i/>
                      <w:iCs/>
                      <w:sz w:val="21"/>
                      <w:szCs w:val="21"/>
                      <w:u w:val="single"/>
                      <w:vertAlign w:val="subscript"/>
                    </w:rPr>
                    <w:t>2</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年平均质量浓度</w:t>
                  </w:r>
                </w:p>
              </w:tc>
              <w:tc>
                <w:tcPr>
                  <w:tcW w:w="1021" w:type="dxa"/>
                  <w:noWrap w:val="0"/>
                  <w:vAlign w:val="top"/>
                </w:tcPr>
                <w:p>
                  <w:pPr>
                    <w:pStyle w:val="24"/>
                    <w:adjustRightInd/>
                    <w:jc w:val="center"/>
                    <w:rPr>
                      <w:rFonts w:hint="default" w:ascii="Times New Roman" w:hAnsi="Times New Roman" w:eastAsia="宋体" w:cs="Times New Roman"/>
                      <w:b/>
                      <w:i/>
                      <w:iCs/>
                      <w:sz w:val="21"/>
                      <w:szCs w:val="21"/>
                      <w:u w:val="single"/>
                    </w:rPr>
                  </w:pPr>
                  <w:r>
                    <w:rPr>
                      <w:rFonts w:hint="default" w:ascii="Times New Roman" w:hAnsi="Times New Roman" w:eastAsia="宋体" w:cs="Times New Roman"/>
                      <w:bCs/>
                      <w:i/>
                      <w:iCs/>
                      <w:sz w:val="21"/>
                      <w:szCs w:val="21"/>
                      <w:u w:val="single"/>
                    </w:rPr>
                    <w:t>µg/m³</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eastAsia" w:ascii="Times New Roman" w:hAnsi="Times New Roman" w:eastAsia="宋体" w:cs="Times New Roman"/>
                      <w:bCs/>
                      <w:i/>
                      <w:iCs/>
                      <w:sz w:val="21"/>
                      <w:szCs w:val="21"/>
                      <w:u w:val="single"/>
                      <w:lang w:val="en-US" w:eastAsia="zh-CN"/>
                    </w:rPr>
                    <w:t>2</w:t>
                  </w:r>
                  <w:r>
                    <w:rPr>
                      <w:rFonts w:hint="default" w:ascii="Times New Roman" w:hAnsi="Times New Roman" w:eastAsia="宋体" w:cs="Times New Roman"/>
                      <w:bCs/>
                      <w:i/>
                      <w:iCs/>
                      <w:sz w:val="21"/>
                      <w:szCs w:val="21"/>
                      <w:u w:val="single"/>
                    </w:rPr>
                    <w:t>1</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40</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PM</w:t>
                  </w:r>
                  <w:r>
                    <w:rPr>
                      <w:rFonts w:hint="default" w:ascii="Times New Roman" w:hAnsi="Times New Roman" w:eastAsia="宋体" w:cs="Times New Roman"/>
                      <w:bCs/>
                      <w:i/>
                      <w:iCs/>
                      <w:sz w:val="21"/>
                      <w:szCs w:val="21"/>
                      <w:u w:val="single"/>
                      <w:vertAlign w:val="subscript"/>
                    </w:rPr>
                    <w:t>10</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年平均质量浓度</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µg/m³</w:t>
                  </w:r>
                </w:p>
              </w:tc>
              <w:tc>
                <w:tcPr>
                  <w:tcW w:w="1421" w:type="dxa"/>
                  <w:noWrap w:val="0"/>
                  <w:vAlign w:val="center"/>
                </w:tcPr>
                <w:p>
                  <w:pPr>
                    <w:pStyle w:val="24"/>
                    <w:adjustRightInd/>
                    <w:jc w:val="center"/>
                    <w:rPr>
                      <w:rFonts w:hint="eastAsia" w:ascii="Times New Roman" w:hAnsi="Times New Roman" w:eastAsia="宋体" w:cs="Times New Roman"/>
                      <w:bCs/>
                      <w:i/>
                      <w:iCs/>
                      <w:sz w:val="21"/>
                      <w:szCs w:val="21"/>
                      <w:u w:val="single"/>
                      <w:lang w:eastAsia="zh-CN"/>
                    </w:rPr>
                  </w:pPr>
                  <w:r>
                    <w:rPr>
                      <w:rFonts w:hint="default" w:ascii="Times New Roman" w:hAnsi="Times New Roman" w:eastAsia="宋体" w:cs="Times New Roman"/>
                      <w:bCs/>
                      <w:i/>
                      <w:iCs/>
                      <w:sz w:val="21"/>
                      <w:szCs w:val="21"/>
                      <w:u w:val="single"/>
                    </w:rPr>
                    <w:t>5</w:t>
                  </w:r>
                  <w:r>
                    <w:rPr>
                      <w:rFonts w:hint="eastAsia" w:ascii="Times New Roman" w:hAnsi="Times New Roman" w:eastAsia="宋体" w:cs="Times New Roman"/>
                      <w:bCs/>
                      <w:i/>
                      <w:iCs/>
                      <w:sz w:val="21"/>
                      <w:szCs w:val="21"/>
                      <w:u w:val="single"/>
                      <w:lang w:val="en-US" w:eastAsia="zh-CN"/>
                    </w:rPr>
                    <w:t>7</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70</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PM</w:t>
                  </w:r>
                  <w:r>
                    <w:rPr>
                      <w:rFonts w:hint="default" w:ascii="Times New Roman" w:hAnsi="Times New Roman" w:eastAsia="宋体" w:cs="Times New Roman"/>
                      <w:bCs/>
                      <w:i/>
                      <w:iCs/>
                      <w:sz w:val="21"/>
                      <w:szCs w:val="21"/>
                      <w:u w:val="single"/>
                      <w:vertAlign w:val="subscript"/>
                    </w:rPr>
                    <w:t>2.5</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年平均质量浓度</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µg/ m³</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lang w:val="en-US" w:eastAsia="zh-CN"/>
                    </w:rPr>
                  </w:pPr>
                  <w:r>
                    <w:rPr>
                      <w:rFonts w:hint="eastAsia" w:ascii="Times New Roman" w:hAnsi="Times New Roman" w:eastAsia="宋体" w:cs="Times New Roman"/>
                      <w:bCs/>
                      <w:i/>
                      <w:iCs/>
                      <w:sz w:val="21"/>
                      <w:szCs w:val="21"/>
                      <w:u w:val="single"/>
                      <w:lang w:val="en-US" w:eastAsia="zh-CN"/>
                    </w:rPr>
                    <w:t>25</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35</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O</w:t>
                  </w:r>
                  <w:r>
                    <w:rPr>
                      <w:rFonts w:hint="default" w:ascii="Times New Roman" w:hAnsi="Times New Roman" w:eastAsia="宋体" w:cs="Times New Roman"/>
                      <w:bCs/>
                      <w:i/>
                      <w:iCs/>
                      <w:sz w:val="21"/>
                      <w:szCs w:val="21"/>
                      <w:u w:val="single"/>
                      <w:vertAlign w:val="subscript"/>
                    </w:rPr>
                    <w:t>3</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90百分位数8h平均</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µg/m³</w:t>
                  </w:r>
                </w:p>
              </w:tc>
              <w:tc>
                <w:tcPr>
                  <w:tcW w:w="1421" w:type="dxa"/>
                  <w:noWrap w:val="0"/>
                  <w:vAlign w:val="center"/>
                </w:tcPr>
                <w:p>
                  <w:pPr>
                    <w:pStyle w:val="24"/>
                    <w:adjustRightInd/>
                    <w:jc w:val="center"/>
                    <w:rPr>
                      <w:rFonts w:hint="eastAsia" w:ascii="Times New Roman" w:hAnsi="Times New Roman" w:eastAsia="宋体" w:cs="Times New Roman"/>
                      <w:bCs/>
                      <w:i/>
                      <w:iCs/>
                      <w:sz w:val="21"/>
                      <w:szCs w:val="21"/>
                      <w:u w:val="single"/>
                      <w:lang w:eastAsia="zh-CN"/>
                    </w:rPr>
                  </w:pPr>
                  <w:r>
                    <w:rPr>
                      <w:rFonts w:hint="default" w:ascii="Times New Roman" w:hAnsi="Times New Roman" w:eastAsia="宋体" w:cs="Times New Roman"/>
                      <w:bCs/>
                      <w:i/>
                      <w:iCs/>
                      <w:sz w:val="21"/>
                      <w:szCs w:val="21"/>
                      <w:u w:val="single"/>
                    </w:rPr>
                    <w:t>11</w:t>
                  </w:r>
                  <w:r>
                    <w:rPr>
                      <w:rFonts w:hint="eastAsia" w:ascii="Times New Roman" w:hAnsi="Times New Roman" w:eastAsia="宋体" w:cs="Times New Roman"/>
                      <w:bCs/>
                      <w:i/>
                      <w:iCs/>
                      <w:sz w:val="21"/>
                      <w:szCs w:val="21"/>
                      <w:u w:val="single"/>
                      <w:lang w:val="en-US" w:eastAsia="zh-CN"/>
                    </w:rPr>
                    <w:t>0</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160</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CO</w:t>
                  </w:r>
                </w:p>
              </w:tc>
              <w:tc>
                <w:tcPr>
                  <w:tcW w:w="2795"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95百分位数日平均</w:t>
                  </w:r>
                </w:p>
              </w:tc>
              <w:tc>
                <w:tcPr>
                  <w:tcW w:w="1021" w:type="dxa"/>
                  <w:noWrap w:val="0"/>
                  <w:vAlign w:val="top"/>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mg/m³</w:t>
                  </w:r>
                </w:p>
              </w:tc>
              <w:tc>
                <w:tcPr>
                  <w:tcW w:w="1421" w:type="dxa"/>
                  <w:noWrap w:val="0"/>
                  <w:vAlign w:val="center"/>
                </w:tcPr>
                <w:p>
                  <w:pPr>
                    <w:pStyle w:val="24"/>
                    <w:adjustRightInd/>
                    <w:jc w:val="center"/>
                    <w:rPr>
                      <w:rFonts w:hint="eastAsia" w:ascii="Times New Roman" w:hAnsi="Times New Roman" w:eastAsia="宋体" w:cs="Times New Roman"/>
                      <w:i/>
                      <w:iCs/>
                      <w:sz w:val="21"/>
                      <w:szCs w:val="21"/>
                      <w:u w:val="single"/>
                      <w:lang w:eastAsia="zh-CN"/>
                    </w:rPr>
                  </w:pPr>
                  <w:r>
                    <w:rPr>
                      <w:rFonts w:hint="default" w:ascii="Times New Roman" w:hAnsi="Times New Roman" w:eastAsia="宋体" w:cs="Times New Roman"/>
                      <w:i/>
                      <w:iCs/>
                      <w:sz w:val="21"/>
                      <w:szCs w:val="21"/>
                      <w:u w:val="single"/>
                    </w:rPr>
                    <w:t>1.</w:t>
                  </w:r>
                  <w:r>
                    <w:rPr>
                      <w:rFonts w:hint="eastAsia" w:ascii="Times New Roman" w:hAnsi="Times New Roman" w:eastAsia="宋体" w:cs="Times New Roman"/>
                      <w:i/>
                      <w:iCs/>
                      <w:sz w:val="21"/>
                      <w:szCs w:val="21"/>
                      <w:u w:val="single"/>
                      <w:lang w:val="en-US" w:eastAsia="zh-CN"/>
                    </w:rPr>
                    <w:t>6</w:t>
                  </w:r>
                </w:p>
              </w:tc>
              <w:tc>
                <w:tcPr>
                  <w:tcW w:w="1077"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4</w:t>
                  </w:r>
                </w:p>
              </w:tc>
              <w:tc>
                <w:tcPr>
                  <w:tcW w:w="1421" w:type="dxa"/>
                  <w:noWrap w:val="0"/>
                  <w:vAlign w:val="center"/>
                </w:tcPr>
                <w:p>
                  <w:pPr>
                    <w:pStyle w:val="24"/>
                    <w:adjustRightInd/>
                    <w:jc w:val="center"/>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达标</w:t>
                  </w:r>
                </w:p>
              </w:tc>
            </w:tr>
          </w:tbl>
          <w:p>
            <w:pPr>
              <w:pStyle w:val="7"/>
              <w:spacing w:after="0" w:line="360" w:lineRule="auto"/>
              <w:ind w:left="0" w:leftChars="0" w:firstLine="480" w:firstLineChars="200"/>
              <w:rPr>
                <w:rFonts w:hint="default" w:ascii="Times New Roman" w:hAnsi="Times New Roman" w:cs="Times New Roman"/>
                <w:bCs/>
                <w:i w:val="0"/>
                <w:iCs w:val="0"/>
                <w:snapToGrid w:val="0"/>
                <w:szCs w:val="22"/>
                <w:u w:val="none" w:color="auto"/>
              </w:rPr>
            </w:pPr>
          </w:p>
          <w:p>
            <w:pPr>
              <w:spacing w:line="360" w:lineRule="auto"/>
              <w:ind w:firstLine="413" w:firstLineChars="196"/>
              <w:rPr>
                <w:rFonts w:hint="default" w:ascii="Times New Roman" w:hAnsi="Times New Roman" w:cs="Times New Roman"/>
                <w:b/>
                <w:bCs/>
                <w:i w:val="0"/>
                <w:iCs w:val="0"/>
                <w:color w:val="000000" w:themeColor="text1"/>
                <w:u w:val="none" w:color="auto"/>
                <w14:textFill>
                  <w14:solidFill>
                    <w14:schemeClr w14:val="tx1"/>
                  </w14:solidFill>
                </w14:textFill>
              </w:rPr>
            </w:pPr>
            <w:r>
              <w:rPr>
                <w:rFonts w:hint="default" w:ascii="Times New Roman" w:hAnsi="Times New Roman" w:cs="Times New Roman"/>
                <w:b/>
                <w:bCs/>
                <w:i w:val="0"/>
                <w:iCs w:val="0"/>
                <w:color w:val="000000" w:themeColor="text1"/>
                <w:u w:val="none" w:color="auto"/>
                <w14:textFill>
                  <w14:solidFill>
                    <w14:schemeClr w14:val="tx1"/>
                  </w14:solidFill>
                </w14:textFill>
              </w:rPr>
              <w:t>1.2特征污染物</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rPr>
              <w:t>（1）监测点位</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本项目环境空气现状监测点位，见下表。</w:t>
            </w:r>
          </w:p>
          <w:p>
            <w:pPr>
              <w:pStyle w:val="10"/>
              <w:snapToGrid w:val="0"/>
              <w:spacing w:after="0" w:line="240" w:lineRule="auto"/>
              <w:ind w:left="0" w:leftChars="0" w:firstLine="422"/>
              <w:jc w:val="center"/>
              <w:rPr>
                <w:rFonts w:hint="default" w:ascii="Times New Roman" w:hAnsi="Times New Roman" w:eastAsia="宋体" w:cs="Times New Roman"/>
                <w:b/>
                <w:bCs/>
                <w:i w:val="0"/>
                <w:iCs w:val="0"/>
                <w:color w:val="000000" w:themeColor="text1"/>
                <w:kern w:val="21"/>
                <w:sz w:val="24"/>
                <w:szCs w:val="24"/>
                <w:u w:val="none" w:color="auto"/>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21"/>
                <w:sz w:val="24"/>
                <w:szCs w:val="24"/>
                <w:u w:val="none" w:color="auto"/>
                <w:lang w:val="en-US" w:eastAsia="zh-CN" w:bidi="ar-SA"/>
                <w14:textFill>
                  <w14:solidFill>
                    <w14:schemeClr w14:val="tx1"/>
                  </w14:solidFill>
                </w14:textFill>
              </w:rPr>
              <w:t>表8  环境空气监测点位布设情况表</w:t>
            </w:r>
          </w:p>
          <w:tbl>
            <w:tblPr>
              <w:tblStyle w:val="18"/>
              <w:tblW w:w="79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332"/>
              <w:gridCol w:w="45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2" w:hRule="atLeast"/>
                <w:tblHeader/>
                <w:jc w:val="center"/>
              </w:trPr>
              <w:tc>
                <w:tcPr>
                  <w:tcW w:w="1118" w:type="dxa"/>
                  <w:tcBorders>
                    <w:top w:val="single" w:color="auto" w:sz="12" w:space="0"/>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序号</w:t>
                  </w:r>
                </w:p>
              </w:tc>
              <w:tc>
                <w:tcPr>
                  <w:tcW w:w="2332"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监测点位</w:t>
                  </w:r>
                </w:p>
              </w:tc>
              <w:tc>
                <w:tcPr>
                  <w:tcW w:w="4521" w:type="dxa"/>
                  <w:tcBorders>
                    <w:top w:val="single" w:color="auto" w:sz="12" w:space="0"/>
                    <w:left w:val="single" w:color="auto" w:sz="4" w:space="0"/>
                    <w:bottom w:val="single" w:color="auto" w:sz="4" w:space="0"/>
                    <w:right w:val="nil"/>
                  </w:tcBorders>
                  <w:vAlign w:val="center"/>
                </w:tcPr>
                <w:p>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监测点位描述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18"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1#</w:t>
                  </w:r>
                </w:p>
              </w:tc>
              <w:tc>
                <w:tcPr>
                  <w:tcW w:w="23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szCs w:val="21"/>
                      <w:u w:val="none" w:color="auto"/>
                    </w:rPr>
                    <w:t>靖白公路旁</w:t>
                  </w:r>
                </w:p>
              </w:tc>
              <w:tc>
                <w:tcPr>
                  <w:tcW w:w="4521" w:type="dxa"/>
                  <w:tcBorders>
                    <w:top w:val="single" w:color="auto" w:sz="4" w:space="0"/>
                    <w:left w:val="single" w:color="auto" w:sz="4" w:space="0"/>
                    <w:bottom w:val="single" w:color="auto" w:sz="4" w:space="0"/>
                    <w:right w:val="nil"/>
                  </w:tcBorders>
                  <w:vAlign w:val="center"/>
                </w:tcPr>
                <w:p>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了解本项目上风向环境空气质量状况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18" w:type="dxa"/>
                  <w:tcBorders>
                    <w:top w:val="single" w:color="auto" w:sz="4" w:space="0"/>
                    <w:left w:val="nil"/>
                    <w:bottom w:val="single" w:color="auto" w:sz="12" w:space="0"/>
                    <w:right w:val="single" w:color="auto" w:sz="4" w:space="0"/>
                  </w:tcBorders>
                  <w:vAlign w:val="center"/>
                </w:tcPr>
                <w:p>
                  <w:pPr>
                    <w:widowControl/>
                    <w:jc w:val="center"/>
                    <w:textAlignment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2#</w:t>
                  </w:r>
                </w:p>
              </w:tc>
              <w:tc>
                <w:tcPr>
                  <w:tcW w:w="233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u w:val="none" w:color="auto"/>
                    </w:rPr>
                    <w:t>立新村村委会</w:t>
                  </w:r>
                </w:p>
              </w:tc>
              <w:tc>
                <w:tcPr>
                  <w:tcW w:w="4521" w:type="dxa"/>
                  <w:tcBorders>
                    <w:top w:val="single" w:color="auto" w:sz="4" w:space="0"/>
                    <w:left w:val="single" w:color="auto" w:sz="4" w:space="0"/>
                    <w:bottom w:val="single" w:color="auto" w:sz="12" w:space="0"/>
                    <w:right w:val="nil"/>
                  </w:tcBorders>
                  <w:vAlign w:val="center"/>
                </w:tcPr>
                <w:p>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了解本项目下风向环境空气质量状况</w:t>
                  </w:r>
                </w:p>
              </w:tc>
            </w:tr>
          </w:tbl>
          <w:p>
            <w:pPr>
              <w:pStyle w:val="67"/>
              <w:widowControl/>
              <w:ind w:firstLine="480"/>
              <w:rPr>
                <w:rFonts w:hint="default" w:ascii="Times New Roman" w:hAnsi="Times New Roman" w:cs="Times New Roman"/>
                <w:i w:val="0"/>
                <w:iCs w:val="0"/>
                <w:u w:val="none" w:color="auto"/>
              </w:rPr>
            </w:pPr>
            <w:r>
              <w:rPr>
                <w:rFonts w:hint="default" w:ascii="Times New Roman" w:hAnsi="Times New Roman" w:cs="Times New Roman"/>
                <w:i w:val="0"/>
                <w:iCs w:val="0"/>
                <w:u w:val="none" w:color="auto"/>
              </w:rPr>
              <w:t>（2）监测项目</w:t>
            </w:r>
          </w:p>
          <w:p>
            <w:pPr>
              <w:snapToGrid w:val="0"/>
              <w:spacing w:line="360" w:lineRule="auto"/>
              <w:ind w:firstLine="480" w:firstLineChars="200"/>
              <w:outlineLvl w:val="0"/>
              <w:rPr>
                <w:rFonts w:hint="default" w:ascii="Times New Roman" w:hAnsi="Times New Roman" w:cs="Times New Roman"/>
                <w:i w:val="0"/>
                <w:iCs w:val="0"/>
                <w:u w:val="none" w:color="auto"/>
              </w:rPr>
            </w:pPr>
            <w:r>
              <w:rPr>
                <w:rFonts w:hint="default" w:ascii="Times New Roman" w:hAnsi="Times New Roman" w:cs="Times New Roman"/>
                <w:i w:val="0"/>
                <w:iCs w:val="0"/>
                <w:sz w:val="24"/>
                <w:u w:val="none" w:color="auto"/>
              </w:rPr>
              <w:t>监测项目：NOx、TSP</w:t>
            </w:r>
            <w:r>
              <w:rPr>
                <w:rFonts w:hint="default" w:ascii="Times New Roman" w:hAnsi="Times New Roman" w:cs="Times New Roman"/>
                <w:i w:val="0"/>
                <w:iCs w:val="0"/>
                <w:u w:val="none" w:color="auto"/>
              </w:rPr>
              <w:t>。</w:t>
            </w:r>
          </w:p>
          <w:p>
            <w:pPr>
              <w:widowControl/>
              <w:snapToGrid w:val="0"/>
              <w:spacing w:line="360" w:lineRule="auto"/>
              <w:ind w:firstLine="480" w:firstLineChars="200"/>
              <w:jc w:val="left"/>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（3）监测单位、监测时间及监测频率</w:t>
            </w:r>
          </w:p>
          <w:p>
            <w:pPr>
              <w:widowControl/>
              <w:snapToGrid w:val="0"/>
              <w:spacing w:line="360" w:lineRule="auto"/>
              <w:ind w:firstLine="480" w:firstLineChars="200"/>
              <w:jc w:val="left"/>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吉林省中环检测有限公司于2021年12月22日~2021年12月24日，连续监测3天。</w:t>
            </w:r>
          </w:p>
          <w:p>
            <w:pPr>
              <w:widowControl/>
              <w:snapToGrid w:val="0"/>
              <w:spacing w:line="360" w:lineRule="auto"/>
              <w:ind w:firstLine="480" w:firstLineChars="200"/>
              <w:jc w:val="left"/>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（4）采样及分析方法</w:t>
            </w:r>
          </w:p>
          <w:p>
            <w:pPr>
              <w:widowControl/>
              <w:snapToGrid w:val="0"/>
              <w:spacing w:line="360" w:lineRule="auto"/>
              <w:ind w:firstLine="480" w:firstLineChars="200"/>
              <w:jc w:val="left"/>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取样按《环境空气质量标准》（GB3095-2012）的要求进行。</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rPr>
              <w:t>（5）评价标准</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rPr>
              <w:t>常规污染物执行《环境空气质量标准》（GB3095-2012）中的二级标准。</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rPr>
              <w:t>（6）评价方法</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lang w:val="zh-CN"/>
              </w:rPr>
              <w:t>采用占标率法对各监测点进行评价，其计算公式为：</w:t>
            </w:r>
          </w:p>
          <w:p>
            <w:pPr>
              <w:autoSpaceDE w:val="0"/>
              <w:autoSpaceDN w:val="0"/>
              <w:adjustRightInd w:val="0"/>
              <w:snapToGrid w:val="0"/>
              <w:spacing w:line="360" w:lineRule="auto"/>
              <w:ind w:firstLine="480" w:firstLineChars="200"/>
              <w:rPr>
                <w:rFonts w:hint="default" w:ascii="Times New Roman" w:hAnsi="Times New Roman" w:cs="Times New Roman"/>
                <w:i w:val="0"/>
                <w:iCs w:val="0"/>
                <w:sz w:val="24"/>
                <w:szCs w:val="22"/>
                <w:u w:val="none" w:color="auto"/>
              </w:rPr>
            </w:pPr>
            <w:r>
              <w:rPr>
                <w:rFonts w:hint="default" w:ascii="Times New Roman" w:hAnsi="Times New Roman" w:cs="Times New Roman"/>
                <w:i w:val="0"/>
                <w:iCs w:val="0"/>
                <w:sz w:val="24"/>
                <w:szCs w:val="22"/>
                <w:u w:val="none" w:color="auto"/>
              </w:rPr>
              <w:t>Pi=Ci/Coi×100%</w:t>
            </w:r>
          </w:p>
          <w:p>
            <w:pPr>
              <w:autoSpaceDE w:val="0"/>
              <w:autoSpaceDN w:val="0"/>
              <w:adjustRightInd w:val="0"/>
              <w:snapToGrid w:val="0"/>
              <w:spacing w:line="360" w:lineRule="auto"/>
              <w:ind w:firstLine="48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lang w:val="zh-CN"/>
              </w:rPr>
              <w:t>式中</w:t>
            </w:r>
            <w:r>
              <w:rPr>
                <w:rFonts w:hint="default" w:ascii="Times New Roman" w:hAnsi="Times New Roman" w:cs="Times New Roman"/>
                <w:i w:val="0"/>
                <w:iCs w:val="0"/>
                <w:sz w:val="24"/>
                <w:u w:val="none" w:color="auto"/>
              </w:rPr>
              <w:t>：P</w:t>
            </w:r>
            <w:r>
              <w:rPr>
                <w:rFonts w:hint="default" w:ascii="Times New Roman" w:hAnsi="Times New Roman" w:cs="Times New Roman"/>
                <w:i w:val="0"/>
                <w:iCs w:val="0"/>
                <w:sz w:val="24"/>
                <w:u w:val="none" w:color="auto"/>
                <w:vertAlign w:val="subscript"/>
              </w:rPr>
              <w:t>i</w:t>
            </w:r>
            <w:r>
              <w:rPr>
                <w:rFonts w:hint="default" w:ascii="Times New Roman" w:hAnsi="Times New Roman" w:cs="Times New Roman"/>
                <w:i w:val="0"/>
                <w:iCs w:val="0"/>
                <w:sz w:val="24"/>
                <w:u w:val="none" w:color="auto"/>
              </w:rPr>
              <w:t>—第i</w:t>
            </w:r>
            <w:r>
              <w:rPr>
                <w:rFonts w:hint="default" w:ascii="Times New Roman" w:hAnsi="Times New Roman" w:cs="Times New Roman"/>
                <w:i w:val="0"/>
                <w:iCs w:val="0"/>
                <w:sz w:val="24"/>
                <w:u w:val="none" w:color="auto"/>
                <w:lang w:val="zh-CN"/>
              </w:rPr>
              <w:t>种污染物的最大地面浓度占标率</w:t>
            </w:r>
            <w:r>
              <w:rPr>
                <w:rFonts w:hint="default" w:ascii="Times New Roman" w:hAnsi="Times New Roman" w:cs="Times New Roman"/>
                <w:i w:val="0"/>
                <w:iCs w:val="0"/>
                <w:sz w:val="24"/>
                <w:u w:val="none" w:color="auto"/>
              </w:rPr>
              <w:t>，%；</w:t>
            </w:r>
          </w:p>
          <w:p>
            <w:pPr>
              <w:autoSpaceDE w:val="0"/>
              <w:autoSpaceDN w:val="0"/>
              <w:adjustRightInd w:val="0"/>
              <w:snapToGrid w:val="0"/>
              <w:spacing w:line="360" w:lineRule="auto"/>
              <w:ind w:firstLine="48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 xml:space="preserve">      C</w:t>
            </w:r>
            <w:r>
              <w:rPr>
                <w:rFonts w:hint="default" w:ascii="Times New Roman" w:hAnsi="Times New Roman" w:cs="Times New Roman"/>
                <w:i w:val="0"/>
                <w:iCs w:val="0"/>
                <w:sz w:val="24"/>
                <w:u w:val="none" w:color="auto"/>
                <w:vertAlign w:val="subscript"/>
              </w:rPr>
              <w:t>i</w:t>
            </w:r>
            <w:r>
              <w:rPr>
                <w:rFonts w:hint="default" w:ascii="Times New Roman" w:hAnsi="Times New Roman" w:cs="Times New Roman"/>
                <w:i w:val="0"/>
                <w:iCs w:val="0"/>
                <w:sz w:val="24"/>
                <w:u w:val="none" w:color="auto"/>
              </w:rPr>
              <w:t>—第i</w:t>
            </w:r>
            <w:r>
              <w:rPr>
                <w:rFonts w:hint="default" w:ascii="Times New Roman" w:hAnsi="Times New Roman" w:cs="Times New Roman"/>
                <w:i w:val="0"/>
                <w:iCs w:val="0"/>
                <w:sz w:val="24"/>
                <w:u w:val="none" w:color="auto"/>
                <w:lang w:val="zh-CN"/>
              </w:rPr>
              <w:t>种污染物的最大地面浓度</w:t>
            </w:r>
            <w:r>
              <w:rPr>
                <w:rFonts w:hint="default" w:ascii="Times New Roman" w:hAnsi="Times New Roman" w:cs="Times New Roman"/>
                <w:i w:val="0"/>
                <w:iCs w:val="0"/>
                <w:sz w:val="24"/>
                <w:u w:val="none" w:color="auto"/>
              </w:rPr>
              <w:t>，mg/m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w:t>
            </w:r>
          </w:p>
          <w:p>
            <w:pPr>
              <w:autoSpaceDE w:val="0"/>
              <w:autoSpaceDN w:val="0"/>
              <w:adjustRightInd w:val="0"/>
              <w:snapToGrid w:val="0"/>
              <w:spacing w:line="360" w:lineRule="auto"/>
              <w:ind w:firstLine="48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 xml:space="preserve">      Coi—</w:t>
            </w:r>
            <w:r>
              <w:rPr>
                <w:rFonts w:hint="default" w:ascii="Times New Roman" w:hAnsi="Times New Roman" w:cs="Times New Roman"/>
                <w:i w:val="0"/>
                <w:iCs w:val="0"/>
                <w:sz w:val="24"/>
                <w:u w:val="none" w:color="auto"/>
                <w:lang w:val="zh-CN"/>
              </w:rPr>
              <w:t>第</w:t>
            </w:r>
            <w:r>
              <w:rPr>
                <w:rFonts w:hint="default" w:ascii="Times New Roman" w:hAnsi="Times New Roman" w:cs="Times New Roman"/>
                <w:i w:val="0"/>
                <w:iCs w:val="0"/>
                <w:sz w:val="24"/>
                <w:u w:val="none" w:color="auto"/>
              </w:rPr>
              <w:t>i</w:t>
            </w:r>
            <w:r>
              <w:rPr>
                <w:rFonts w:hint="default" w:ascii="Times New Roman" w:hAnsi="Times New Roman" w:cs="Times New Roman"/>
                <w:i w:val="0"/>
                <w:iCs w:val="0"/>
                <w:sz w:val="24"/>
                <w:u w:val="none" w:color="auto"/>
                <w:lang w:val="zh-CN"/>
              </w:rPr>
              <w:t>种污染物的评价标准</w:t>
            </w:r>
            <w:r>
              <w:rPr>
                <w:rFonts w:hint="default" w:ascii="Times New Roman" w:hAnsi="Times New Roman" w:cs="Times New Roman"/>
                <w:i w:val="0"/>
                <w:iCs w:val="0"/>
                <w:sz w:val="24"/>
                <w:u w:val="none" w:color="auto"/>
              </w:rPr>
              <w:t>，mg/m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lang w:val="zh-CN"/>
              </w:rPr>
              <w:t>。</w:t>
            </w:r>
          </w:p>
          <w:p>
            <w:pPr>
              <w:adjustRightInd w:val="0"/>
              <w:snapToGrid w:val="0"/>
              <w:spacing w:line="360" w:lineRule="auto"/>
              <w:ind w:firstLine="482"/>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利用各监测点的监测数据，统计各类污染物的浓度范围、超标率和最大超标倍数。</w:t>
            </w:r>
          </w:p>
          <w:p>
            <w:pPr>
              <w:pStyle w:val="10"/>
              <w:snapToGrid w:val="0"/>
              <w:spacing w:after="0" w:line="360" w:lineRule="auto"/>
              <w:ind w:left="0" w:leftChars="0"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（7）现状评价结果及分析</w:t>
            </w:r>
          </w:p>
          <w:p>
            <w:pPr>
              <w:pStyle w:val="10"/>
              <w:snapToGrid w:val="0"/>
              <w:spacing w:after="0" w:line="240" w:lineRule="auto"/>
              <w:ind w:firstLine="482" w:firstLineChars="200"/>
              <w:jc w:val="center"/>
              <w:rPr>
                <w:rFonts w:hint="default" w:ascii="Times New Roman" w:hAnsi="Times New Roman" w:cs="Times New Roman"/>
                <w:b/>
                <w:bCs/>
                <w:i w:val="0"/>
                <w:iCs w:val="0"/>
                <w:szCs w:val="21"/>
                <w:u w:val="none" w:color="auto"/>
              </w:rPr>
            </w:pPr>
            <w:r>
              <w:rPr>
                <w:rFonts w:hint="default" w:ascii="Times New Roman" w:hAnsi="Times New Roman" w:cs="Times New Roman"/>
                <w:b/>
                <w:bCs/>
                <w:i w:val="0"/>
                <w:iCs w:val="0"/>
                <w:sz w:val="24"/>
                <w:szCs w:val="24"/>
                <w:u w:val="none" w:color="auto"/>
              </w:rPr>
              <w:t>表9  特征污染物监测浓度统计表</w:t>
            </w:r>
            <w:r>
              <w:rPr>
                <w:rFonts w:hint="default" w:ascii="Times New Roman" w:hAnsi="Times New Roman" w:cs="Times New Roman"/>
                <w:b/>
                <w:bCs/>
                <w:i w:val="0"/>
                <w:iCs w:val="0"/>
                <w:szCs w:val="21"/>
                <w:u w:val="none" w:color="auto"/>
              </w:rPr>
              <w:t>（单位：mg/m</w:t>
            </w:r>
            <w:r>
              <w:rPr>
                <w:rFonts w:hint="default" w:ascii="Times New Roman" w:hAnsi="Times New Roman" w:cs="Times New Roman"/>
                <w:b/>
                <w:bCs/>
                <w:i w:val="0"/>
                <w:iCs w:val="0"/>
                <w:szCs w:val="21"/>
                <w:u w:val="none" w:color="auto"/>
                <w:vertAlign w:val="superscript"/>
              </w:rPr>
              <w:t>3</w:t>
            </w:r>
            <w:r>
              <w:rPr>
                <w:rFonts w:hint="default" w:ascii="Times New Roman" w:hAnsi="Times New Roman" w:cs="Times New Roman"/>
                <w:b/>
                <w:bCs/>
                <w:i w:val="0"/>
                <w:iCs w:val="0"/>
                <w:szCs w:val="21"/>
                <w:u w:val="none" w:color="auto"/>
              </w:rPr>
              <w:t>）</w:t>
            </w:r>
          </w:p>
          <w:tbl>
            <w:tblPr>
              <w:tblStyle w:val="18"/>
              <w:tblW w:w="7971" w:type="dxa"/>
              <w:jc w:val="center"/>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Layout w:type="autofit"/>
              <w:tblCellMar>
                <w:top w:w="0" w:type="dxa"/>
                <w:left w:w="108" w:type="dxa"/>
                <w:bottom w:w="0" w:type="dxa"/>
                <w:right w:w="108" w:type="dxa"/>
              </w:tblCellMar>
            </w:tblPr>
            <w:tblGrid>
              <w:gridCol w:w="744"/>
              <w:gridCol w:w="756"/>
              <w:gridCol w:w="972"/>
              <w:gridCol w:w="2128"/>
              <w:gridCol w:w="2026"/>
              <w:gridCol w:w="1345"/>
            </w:tblGrid>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3" w:hRule="atLeast"/>
                <w:jc w:val="center"/>
              </w:trPr>
              <w:tc>
                <w:tcPr>
                  <w:tcW w:w="744" w:type="dxa"/>
                  <w:tcBorders>
                    <w:top w:val="single" w:color="231F20" w:sz="12" w:space="0"/>
                    <w:left w:val="nil"/>
                    <w:bottom w:val="single" w:color="231F20" w:sz="4"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caps/>
                      <w:u w:val="none" w:color="auto"/>
                    </w:rPr>
                    <w:t>序号</w:t>
                  </w:r>
                </w:p>
              </w:tc>
              <w:tc>
                <w:tcPr>
                  <w:tcW w:w="1728" w:type="dxa"/>
                  <w:gridSpan w:val="2"/>
                  <w:tcBorders>
                    <w:top w:val="single" w:color="231F20" w:sz="12" w:space="0"/>
                    <w:left w:val="single" w:color="231F20" w:sz="4" w:space="0"/>
                    <w:bottom w:val="single" w:color="231F20" w:sz="4"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caps/>
                      <w:u w:val="none" w:color="auto"/>
                    </w:rPr>
                    <w:t>污染物</w:t>
                  </w:r>
                </w:p>
              </w:tc>
              <w:tc>
                <w:tcPr>
                  <w:tcW w:w="2128" w:type="dxa"/>
                  <w:tcBorders>
                    <w:top w:val="single" w:color="231F20" w:sz="12" w:space="0"/>
                    <w:left w:val="single" w:color="231F20" w:sz="4" w:space="0"/>
                    <w:bottom w:val="single" w:color="231F20" w:sz="4" w:space="0"/>
                    <w:right w:val="single" w:color="231F20" w:sz="4" w:space="0"/>
                  </w:tcBorders>
                  <w:vAlign w:val="center"/>
                </w:tcPr>
                <w:p>
                  <w:pPr>
                    <w:keepNext w:val="0"/>
                    <w:keepLines w:val="0"/>
                    <w:pageBreakBefore w:val="0"/>
                    <w:widowControl w:val="0"/>
                    <w:tabs>
                      <w:tab w:val="center" w:pos="1054"/>
                      <w:tab w:val="right" w:pos="1989"/>
                    </w:tabs>
                    <w:kinsoku/>
                    <w:wordWrap/>
                    <w:overflowPunct/>
                    <w:topLinePunct w:val="0"/>
                    <w:autoSpaceDE/>
                    <w:autoSpaceDN/>
                    <w:bidi w:val="0"/>
                    <w:adjustRightInd/>
                    <w:snapToGrid/>
                    <w:jc w:val="center"/>
                    <w:textAlignment w:val="auto"/>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 w:val="21"/>
                      <w:szCs w:val="21"/>
                      <w:u w:val="none" w:color="auto"/>
                    </w:rPr>
                    <w:t>浓度最</w:t>
                  </w:r>
                  <w:r>
                    <w:rPr>
                      <w:rFonts w:hint="default" w:ascii="Times New Roman" w:hAnsi="Times New Roman" w:cs="Times New Roman"/>
                      <w:i w:val="0"/>
                      <w:iCs w:val="0"/>
                      <w:caps/>
                      <w:sz w:val="21"/>
                      <w:szCs w:val="21"/>
                      <w:u w:val="none" w:color="auto"/>
                      <w:lang w:eastAsia="zh-CN"/>
                    </w:rPr>
                    <w:t>大值</w:t>
                  </w:r>
                  <w:r>
                    <w:rPr>
                      <w:rFonts w:hint="default" w:ascii="Times New Roman" w:hAnsi="Times New Roman" w:cs="Times New Roman"/>
                      <w:i w:val="0"/>
                      <w:iCs w:val="0"/>
                      <w:caps/>
                      <w:sz w:val="21"/>
                      <w:szCs w:val="21"/>
                      <w:u w:val="none" w:color="auto"/>
                    </w:rPr>
                    <w:t>（</w:t>
                  </w:r>
                  <w:r>
                    <w:rPr>
                      <w:rFonts w:hint="default" w:ascii="Times New Roman" w:hAnsi="Times New Roman" w:cs="Times New Roman"/>
                      <w:i w:val="0"/>
                      <w:iCs w:val="0"/>
                      <w:sz w:val="21"/>
                      <w:szCs w:val="21"/>
                      <w:u w:val="none" w:color="auto"/>
                    </w:rPr>
                    <w:t>mg/m</w:t>
                  </w:r>
                  <w:r>
                    <w:rPr>
                      <w:rFonts w:hint="default" w:ascii="Times New Roman" w:hAnsi="Times New Roman" w:cs="Times New Roman"/>
                      <w:i w:val="0"/>
                      <w:iCs w:val="0"/>
                      <w:sz w:val="21"/>
                      <w:szCs w:val="21"/>
                      <w:u w:val="none" w:color="auto"/>
                      <w:vertAlign w:val="superscript"/>
                    </w:rPr>
                    <w:t>3</w:t>
                  </w:r>
                  <w:r>
                    <w:rPr>
                      <w:rFonts w:hint="default" w:ascii="Times New Roman" w:hAnsi="Times New Roman" w:cs="Times New Roman"/>
                      <w:i w:val="0"/>
                      <w:iCs w:val="0"/>
                      <w:caps/>
                      <w:sz w:val="21"/>
                      <w:szCs w:val="21"/>
                      <w:u w:val="none" w:color="auto"/>
                    </w:rPr>
                    <w:t>）</w:t>
                  </w:r>
                </w:p>
              </w:tc>
              <w:tc>
                <w:tcPr>
                  <w:tcW w:w="2026" w:type="dxa"/>
                  <w:tcBorders>
                    <w:top w:val="single" w:color="231F20" w:sz="12" w:space="0"/>
                    <w:left w:val="single" w:color="231F20" w:sz="4" w:space="0"/>
                    <w:bottom w:val="single" w:color="231F20" w:sz="4" w:space="0"/>
                    <w:right w:val="single" w:color="231F20" w:sz="4" w:space="0"/>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最大浓度占标率(%)</w:t>
                  </w:r>
                </w:p>
              </w:tc>
              <w:tc>
                <w:tcPr>
                  <w:tcW w:w="1345" w:type="dxa"/>
                  <w:tcBorders>
                    <w:top w:val="single" w:color="231F20" w:sz="12"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超标率(%)</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01" w:hRule="atLeast"/>
                <w:jc w:val="center"/>
              </w:trPr>
              <w:tc>
                <w:tcPr>
                  <w:tcW w:w="744" w:type="dxa"/>
                  <w:vMerge w:val="restart"/>
                  <w:tcBorders>
                    <w:top w:val="single" w:color="231F20" w:sz="4" w:space="0"/>
                    <w:left w:val="nil"/>
                    <w:bottom w:val="single" w:color="231F20" w:sz="12"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caps/>
                      <w:u w:val="none" w:color="auto"/>
                    </w:rPr>
                    <w:t>A1</w:t>
                  </w:r>
                </w:p>
              </w:tc>
              <w:tc>
                <w:tcPr>
                  <w:tcW w:w="756" w:type="dxa"/>
                  <w:vMerge w:val="restart"/>
                  <w:tcBorders>
                    <w:top w:val="single" w:color="231F20" w:sz="4" w:space="0"/>
                    <w:left w:val="single" w:color="231F20" w:sz="4" w:space="0"/>
                    <w:bottom w:val="single" w:color="231F20" w:sz="4" w:space="0"/>
                    <w:right w:val="single" w:color="auto" w:sz="4" w:space="0"/>
                  </w:tcBorders>
                  <w:vAlign w:val="center"/>
                </w:tcPr>
                <w:p>
                  <w:pPr>
                    <w:jc w:val="center"/>
                    <w:rPr>
                      <w:rFonts w:hint="default" w:ascii="Times New Roman" w:hAnsi="Times New Roman" w:cs="Times New Roman"/>
                      <w:i w:val="0"/>
                      <w:iCs w:val="0"/>
                      <w:caps/>
                      <w:szCs w:val="21"/>
                      <w:u w:val="none" w:color="auto"/>
                    </w:rPr>
                  </w:pPr>
                  <w:r>
                    <w:rPr>
                      <w:rFonts w:hint="default" w:ascii="Times New Roman" w:hAnsi="Times New Roman" w:cs="Times New Roman"/>
                      <w:i w:val="0"/>
                      <w:iCs w:val="0"/>
                      <w:caps/>
                      <w:szCs w:val="21"/>
                      <w:u w:val="none" w:color="auto"/>
                    </w:rPr>
                    <w:t>NO</w:t>
                  </w:r>
                  <w:r>
                    <w:rPr>
                      <w:rFonts w:hint="default" w:ascii="Times New Roman" w:hAnsi="Times New Roman" w:cs="Times New Roman"/>
                      <w:i w:val="0"/>
                      <w:iCs w:val="0"/>
                      <w:caps/>
                      <w:szCs w:val="21"/>
                      <w:u w:val="none" w:color="auto"/>
                      <w:vertAlign w:val="subscript"/>
                    </w:rPr>
                    <w:t>x</w:t>
                  </w:r>
                </w:p>
              </w:tc>
              <w:tc>
                <w:tcPr>
                  <w:tcW w:w="972" w:type="dxa"/>
                  <w:tcBorders>
                    <w:top w:val="single" w:color="231F20" w:sz="4" w:space="0"/>
                    <w:left w:val="single" w:color="auto" w:sz="4" w:space="0"/>
                    <w:bottom w:val="single" w:color="231F20" w:sz="4"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szCs w:val="21"/>
                      <w:u w:val="none" w:color="auto"/>
                    </w:rPr>
                    <w:t>24小时</w:t>
                  </w:r>
                </w:p>
              </w:tc>
              <w:tc>
                <w:tcPr>
                  <w:tcW w:w="2128"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0.052</w:t>
                  </w:r>
                </w:p>
              </w:tc>
              <w:tc>
                <w:tcPr>
                  <w:tcW w:w="2026"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52</w:t>
                  </w:r>
                </w:p>
              </w:tc>
              <w:tc>
                <w:tcPr>
                  <w:tcW w:w="1345" w:type="dxa"/>
                  <w:tcBorders>
                    <w:top w:val="single" w:color="231F20" w:sz="4"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171" w:hRule="atLeast"/>
                <w:jc w:val="center"/>
              </w:trPr>
              <w:tc>
                <w:tcPr>
                  <w:tcW w:w="0" w:type="auto"/>
                  <w:vMerge w:val="continue"/>
                  <w:tcBorders>
                    <w:top w:val="single" w:color="231F20" w:sz="4" w:space="0"/>
                    <w:left w:val="nil"/>
                    <w:bottom w:val="single" w:color="231F20" w:sz="12" w:space="0"/>
                    <w:right w:val="single" w:color="231F20" w:sz="4" w:space="0"/>
                  </w:tcBorders>
                  <w:vAlign w:val="center"/>
                </w:tcPr>
                <w:p>
                  <w:pPr>
                    <w:widowControl/>
                    <w:jc w:val="left"/>
                    <w:rPr>
                      <w:rFonts w:hint="default" w:ascii="Times New Roman" w:hAnsi="Times New Roman" w:cs="Times New Roman"/>
                      <w:i w:val="0"/>
                      <w:iCs w:val="0"/>
                      <w:caps/>
                      <w:u w:val="none" w:color="auto"/>
                    </w:rPr>
                  </w:pPr>
                </w:p>
              </w:tc>
              <w:tc>
                <w:tcPr>
                  <w:tcW w:w="0" w:type="auto"/>
                  <w:vMerge w:val="continue"/>
                  <w:tcBorders>
                    <w:top w:val="single" w:color="231F20" w:sz="4" w:space="0"/>
                    <w:left w:val="single" w:color="231F20" w:sz="4" w:space="0"/>
                    <w:bottom w:val="single" w:color="231F20" w:sz="4" w:space="0"/>
                    <w:right w:val="single" w:color="auto" w:sz="4" w:space="0"/>
                  </w:tcBorders>
                  <w:vAlign w:val="center"/>
                </w:tcPr>
                <w:p>
                  <w:pPr>
                    <w:widowControl/>
                    <w:jc w:val="left"/>
                    <w:rPr>
                      <w:rFonts w:hint="default" w:ascii="Times New Roman" w:hAnsi="Times New Roman" w:cs="Times New Roman"/>
                      <w:i w:val="0"/>
                      <w:iCs w:val="0"/>
                      <w:caps/>
                      <w:szCs w:val="21"/>
                      <w:u w:val="none" w:color="auto"/>
                    </w:rPr>
                  </w:pPr>
                </w:p>
              </w:tc>
              <w:tc>
                <w:tcPr>
                  <w:tcW w:w="972" w:type="dxa"/>
                  <w:tcBorders>
                    <w:top w:val="single" w:color="231F20" w:sz="4" w:space="0"/>
                    <w:left w:val="single" w:color="auto" w:sz="4" w:space="0"/>
                    <w:bottom w:val="single" w:color="231F20" w:sz="4"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szCs w:val="21"/>
                      <w:u w:val="none" w:color="auto"/>
                    </w:rPr>
                    <w:t>1h</w:t>
                  </w:r>
                </w:p>
              </w:tc>
              <w:tc>
                <w:tcPr>
                  <w:tcW w:w="2128"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0.083</w:t>
                  </w:r>
                </w:p>
              </w:tc>
              <w:tc>
                <w:tcPr>
                  <w:tcW w:w="2026"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33.2</w:t>
                  </w:r>
                </w:p>
              </w:tc>
              <w:tc>
                <w:tcPr>
                  <w:tcW w:w="1345" w:type="dxa"/>
                  <w:tcBorders>
                    <w:top w:val="single" w:color="231F20" w:sz="4"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231F20" w:sz="4" w:space="0"/>
                    <w:left w:val="nil"/>
                    <w:bottom w:val="single" w:color="231F20" w:sz="4" w:space="0"/>
                    <w:right w:val="single" w:color="231F20" w:sz="4" w:space="0"/>
                  </w:tcBorders>
                  <w:vAlign w:val="center"/>
                </w:tcPr>
                <w:p>
                  <w:pPr>
                    <w:widowControl/>
                    <w:jc w:val="left"/>
                    <w:rPr>
                      <w:rFonts w:hint="default" w:ascii="Times New Roman" w:hAnsi="Times New Roman" w:cs="Times New Roman"/>
                      <w:i w:val="0"/>
                      <w:iCs w:val="0"/>
                      <w:caps/>
                      <w:u w:val="none" w:color="auto"/>
                    </w:rPr>
                  </w:pPr>
                </w:p>
              </w:tc>
              <w:tc>
                <w:tcPr>
                  <w:tcW w:w="756" w:type="dxa"/>
                  <w:tcBorders>
                    <w:top w:val="single" w:color="231F20" w:sz="4" w:space="0"/>
                    <w:left w:val="single" w:color="231F20" w:sz="4" w:space="0"/>
                    <w:bottom w:val="single" w:color="231F20" w:sz="4" w:space="0"/>
                    <w:right w:val="single" w:color="auto" w:sz="4" w:space="0"/>
                  </w:tcBorders>
                  <w:vAlign w:val="center"/>
                </w:tcPr>
                <w:p>
                  <w:pPr>
                    <w:jc w:val="center"/>
                    <w:rPr>
                      <w:rFonts w:hint="default" w:ascii="Times New Roman" w:hAnsi="Times New Roman" w:cs="Times New Roman"/>
                      <w:i w:val="0"/>
                      <w:iCs w:val="0"/>
                      <w:caps/>
                      <w:szCs w:val="21"/>
                      <w:u w:val="none" w:color="auto"/>
                    </w:rPr>
                  </w:pPr>
                  <w:r>
                    <w:rPr>
                      <w:rFonts w:hint="default" w:ascii="Times New Roman" w:hAnsi="Times New Roman" w:cs="Times New Roman"/>
                      <w:i w:val="0"/>
                      <w:iCs w:val="0"/>
                      <w:caps/>
                      <w:szCs w:val="21"/>
                      <w:u w:val="none" w:color="auto"/>
                    </w:rPr>
                    <w:t>TSP</w:t>
                  </w:r>
                </w:p>
              </w:tc>
              <w:tc>
                <w:tcPr>
                  <w:tcW w:w="972" w:type="dxa"/>
                  <w:tcBorders>
                    <w:top w:val="single" w:color="231F20" w:sz="4" w:space="0"/>
                    <w:left w:val="single" w:color="auto" w:sz="4" w:space="0"/>
                    <w:bottom w:val="single" w:color="231F20" w:sz="4" w:space="0"/>
                    <w:right w:val="single" w:color="231F20" w:sz="4" w:space="0"/>
                  </w:tcBorders>
                  <w:vAlign w:val="center"/>
                </w:tcPr>
                <w:p>
                  <w:pPr>
                    <w:jc w:val="center"/>
                    <w:rPr>
                      <w:rFonts w:hint="default" w:ascii="Times New Roman" w:hAnsi="Times New Roman" w:cs="Times New Roman"/>
                      <w:i w:val="0"/>
                      <w:iCs w:val="0"/>
                      <w:caps/>
                      <w:u w:val="none" w:color="auto"/>
                    </w:rPr>
                  </w:pPr>
                  <w:r>
                    <w:rPr>
                      <w:rFonts w:hint="default" w:ascii="Times New Roman" w:hAnsi="Times New Roman" w:cs="Times New Roman"/>
                      <w:i w:val="0"/>
                      <w:iCs w:val="0"/>
                      <w:szCs w:val="21"/>
                      <w:u w:val="none" w:color="auto"/>
                    </w:rPr>
                    <w:t>24小时</w:t>
                  </w:r>
                </w:p>
              </w:tc>
              <w:tc>
                <w:tcPr>
                  <w:tcW w:w="2128"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0.139</w:t>
                  </w:r>
                </w:p>
              </w:tc>
              <w:tc>
                <w:tcPr>
                  <w:tcW w:w="2026"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46.33</w:t>
                  </w:r>
                </w:p>
              </w:tc>
              <w:tc>
                <w:tcPr>
                  <w:tcW w:w="1345" w:type="dxa"/>
                  <w:tcBorders>
                    <w:top w:val="single" w:color="231F20" w:sz="4"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3" w:hRule="atLeast"/>
                <w:jc w:val="center"/>
              </w:trPr>
              <w:tc>
                <w:tcPr>
                  <w:tcW w:w="0" w:type="auto"/>
                  <w:vMerge w:val="restart"/>
                  <w:tcBorders>
                    <w:top w:val="single" w:color="231F20" w:sz="4" w:space="0"/>
                    <w:left w:val="nil"/>
                    <w:right w:val="single" w:color="231F20" w:sz="4" w:space="0"/>
                  </w:tcBorders>
                  <w:vAlign w:val="center"/>
                </w:tcPr>
                <w:p>
                  <w:pPr>
                    <w:widowControl/>
                    <w:jc w:val="center"/>
                    <w:rPr>
                      <w:rFonts w:hint="default" w:ascii="Times New Roman" w:hAnsi="Times New Roman" w:cs="Times New Roman"/>
                      <w:i w:val="0"/>
                      <w:iCs w:val="0"/>
                      <w:caps/>
                      <w:u w:val="none" w:color="auto"/>
                    </w:rPr>
                  </w:pPr>
                  <w:r>
                    <w:rPr>
                      <w:rFonts w:hint="default" w:ascii="Times New Roman" w:hAnsi="Times New Roman" w:cs="Times New Roman"/>
                      <w:i w:val="0"/>
                      <w:iCs w:val="0"/>
                      <w:caps/>
                      <w:u w:val="none" w:color="auto"/>
                    </w:rPr>
                    <w:t>A2</w:t>
                  </w:r>
                </w:p>
              </w:tc>
              <w:tc>
                <w:tcPr>
                  <w:tcW w:w="756" w:type="dxa"/>
                  <w:vMerge w:val="restart"/>
                  <w:tcBorders>
                    <w:top w:val="single" w:color="231F20" w:sz="4" w:space="0"/>
                    <w:left w:val="single" w:color="231F20" w:sz="4" w:space="0"/>
                    <w:right w:val="single" w:color="auto" w:sz="4" w:space="0"/>
                  </w:tcBorders>
                  <w:vAlign w:val="center"/>
                </w:tcPr>
                <w:p>
                  <w:pPr>
                    <w:jc w:val="center"/>
                    <w:rPr>
                      <w:rFonts w:hint="default" w:ascii="Times New Roman" w:hAnsi="Times New Roman" w:cs="Times New Roman"/>
                      <w:i w:val="0"/>
                      <w:iCs w:val="0"/>
                      <w:caps/>
                      <w:szCs w:val="21"/>
                      <w:u w:val="none" w:color="auto"/>
                    </w:rPr>
                  </w:pPr>
                  <w:r>
                    <w:rPr>
                      <w:rFonts w:hint="default" w:ascii="Times New Roman" w:hAnsi="Times New Roman" w:cs="Times New Roman"/>
                      <w:i w:val="0"/>
                      <w:iCs w:val="0"/>
                      <w:caps/>
                      <w:szCs w:val="21"/>
                      <w:u w:val="none" w:color="auto"/>
                    </w:rPr>
                    <w:t>NO</w:t>
                  </w:r>
                  <w:r>
                    <w:rPr>
                      <w:rFonts w:hint="default" w:ascii="Times New Roman" w:hAnsi="Times New Roman" w:cs="Times New Roman"/>
                      <w:i w:val="0"/>
                      <w:iCs w:val="0"/>
                      <w:caps/>
                      <w:szCs w:val="21"/>
                      <w:u w:val="none" w:color="auto"/>
                      <w:vertAlign w:val="subscript"/>
                    </w:rPr>
                    <w:t>x</w:t>
                  </w:r>
                </w:p>
              </w:tc>
              <w:tc>
                <w:tcPr>
                  <w:tcW w:w="972" w:type="dxa"/>
                  <w:tcBorders>
                    <w:top w:val="single" w:color="231F20" w:sz="4" w:space="0"/>
                    <w:left w:val="single" w:color="auto" w:sz="4" w:space="0"/>
                    <w:bottom w:val="single" w:color="231F20" w:sz="4" w:space="0"/>
                    <w:right w:val="single" w:color="231F2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24小时</w:t>
                  </w:r>
                </w:p>
              </w:tc>
              <w:tc>
                <w:tcPr>
                  <w:tcW w:w="2128"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0.046</w:t>
                  </w:r>
                </w:p>
              </w:tc>
              <w:tc>
                <w:tcPr>
                  <w:tcW w:w="2026"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46</w:t>
                  </w:r>
                </w:p>
              </w:tc>
              <w:tc>
                <w:tcPr>
                  <w:tcW w:w="1345" w:type="dxa"/>
                  <w:tcBorders>
                    <w:top w:val="single" w:color="231F20" w:sz="4"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3" w:hRule="atLeast"/>
                <w:jc w:val="center"/>
              </w:trPr>
              <w:tc>
                <w:tcPr>
                  <w:tcW w:w="0" w:type="auto"/>
                  <w:vMerge w:val="continue"/>
                  <w:tcBorders>
                    <w:left w:val="nil"/>
                    <w:right w:val="single" w:color="231F20" w:sz="4" w:space="0"/>
                  </w:tcBorders>
                  <w:vAlign w:val="center"/>
                </w:tcPr>
                <w:p>
                  <w:pPr>
                    <w:widowControl/>
                    <w:jc w:val="left"/>
                    <w:rPr>
                      <w:rFonts w:hint="default" w:ascii="Times New Roman" w:hAnsi="Times New Roman" w:cs="Times New Roman"/>
                      <w:i w:val="0"/>
                      <w:iCs w:val="0"/>
                      <w:caps/>
                      <w:u w:val="none" w:color="auto"/>
                    </w:rPr>
                  </w:pPr>
                </w:p>
              </w:tc>
              <w:tc>
                <w:tcPr>
                  <w:tcW w:w="756" w:type="dxa"/>
                  <w:vMerge w:val="continue"/>
                  <w:tcBorders>
                    <w:left w:val="single" w:color="231F20" w:sz="4" w:space="0"/>
                    <w:bottom w:val="single" w:color="231F20" w:sz="4" w:space="0"/>
                    <w:right w:val="single" w:color="auto" w:sz="4" w:space="0"/>
                  </w:tcBorders>
                  <w:vAlign w:val="center"/>
                </w:tcPr>
                <w:p>
                  <w:pPr>
                    <w:jc w:val="center"/>
                    <w:rPr>
                      <w:rFonts w:hint="default" w:ascii="Times New Roman" w:hAnsi="Times New Roman" w:cs="Times New Roman"/>
                      <w:i w:val="0"/>
                      <w:iCs w:val="0"/>
                      <w:caps/>
                      <w:szCs w:val="21"/>
                      <w:u w:val="none" w:color="auto"/>
                    </w:rPr>
                  </w:pPr>
                </w:p>
              </w:tc>
              <w:tc>
                <w:tcPr>
                  <w:tcW w:w="972" w:type="dxa"/>
                  <w:tcBorders>
                    <w:top w:val="single" w:color="231F20" w:sz="4" w:space="0"/>
                    <w:left w:val="single" w:color="auto" w:sz="4" w:space="0"/>
                    <w:bottom w:val="single" w:color="231F20" w:sz="4" w:space="0"/>
                    <w:right w:val="single" w:color="231F2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1h</w:t>
                  </w:r>
                </w:p>
              </w:tc>
              <w:tc>
                <w:tcPr>
                  <w:tcW w:w="2128"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0.055</w:t>
                  </w:r>
                </w:p>
              </w:tc>
              <w:tc>
                <w:tcPr>
                  <w:tcW w:w="2026" w:type="dxa"/>
                  <w:tcBorders>
                    <w:top w:val="single" w:color="231F20" w:sz="4" w:space="0"/>
                    <w:left w:val="single" w:color="231F20" w:sz="4" w:space="0"/>
                    <w:bottom w:val="single" w:color="231F20" w:sz="4"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22</w:t>
                  </w:r>
                </w:p>
              </w:tc>
              <w:tc>
                <w:tcPr>
                  <w:tcW w:w="1345" w:type="dxa"/>
                  <w:tcBorders>
                    <w:top w:val="single" w:color="231F20" w:sz="4" w:space="0"/>
                    <w:left w:val="single" w:color="231F20" w:sz="4" w:space="0"/>
                    <w:bottom w:val="single" w:color="231F20" w:sz="4"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r>
              <w:tblPrEx>
                <w:tblBorders>
                  <w:top w:val="single" w:color="231F20" w:sz="12" w:space="0"/>
                  <w:left w:val="none" w:color="auto" w:sz="0" w:space="0"/>
                  <w:bottom w:val="single" w:color="231F20" w:sz="12" w:space="0"/>
                  <w:right w:val="none" w:color="auto" w:sz="0" w:space="0"/>
                  <w:insideH w:val="single" w:color="231F20" w:sz="4" w:space="0"/>
                  <w:insideV w:val="single" w:color="231F20" w:sz="4" w:space="0"/>
                </w:tblBorders>
                <w:tblCellMar>
                  <w:top w:w="0" w:type="dxa"/>
                  <w:left w:w="108" w:type="dxa"/>
                  <w:bottom w:w="0" w:type="dxa"/>
                  <w:right w:w="108" w:type="dxa"/>
                </w:tblCellMar>
              </w:tblPrEx>
              <w:trPr>
                <w:trHeight w:val="23" w:hRule="atLeast"/>
                <w:jc w:val="center"/>
              </w:trPr>
              <w:tc>
                <w:tcPr>
                  <w:tcW w:w="0" w:type="auto"/>
                  <w:vMerge w:val="continue"/>
                  <w:tcBorders>
                    <w:left w:val="nil"/>
                    <w:bottom w:val="single" w:color="231F20" w:sz="12" w:space="0"/>
                    <w:right w:val="single" w:color="231F20" w:sz="4" w:space="0"/>
                  </w:tcBorders>
                  <w:vAlign w:val="center"/>
                </w:tcPr>
                <w:p>
                  <w:pPr>
                    <w:widowControl/>
                    <w:jc w:val="left"/>
                    <w:rPr>
                      <w:rFonts w:hint="default" w:ascii="Times New Roman" w:hAnsi="Times New Roman" w:cs="Times New Roman"/>
                      <w:i w:val="0"/>
                      <w:iCs w:val="0"/>
                      <w:caps/>
                      <w:u w:val="none" w:color="auto"/>
                    </w:rPr>
                  </w:pPr>
                </w:p>
              </w:tc>
              <w:tc>
                <w:tcPr>
                  <w:tcW w:w="756" w:type="dxa"/>
                  <w:tcBorders>
                    <w:top w:val="single" w:color="231F20" w:sz="4" w:space="0"/>
                    <w:left w:val="single" w:color="231F20" w:sz="4" w:space="0"/>
                    <w:bottom w:val="single" w:color="231F20" w:sz="12" w:space="0"/>
                    <w:right w:val="single" w:color="auto" w:sz="4" w:space="0"/>
                  </w:tcBorders>
                  <w:vAlign w:val="center"/>
                </w:tcPr>
                <w:p>
                  <w:pPr>
                    <w:jc w:val="center"/>
                    <w:rPr>
                      <w:rFonts w:hint="default" w:ascii="Times New Roman" w:hAnsi="Times New Roman" w:cs="Times New Roman"/>
                      <w:i w:val="0"/>
                      <w:iCs w:val="0"/>
                      <w:caps/>
                      <w:szCs w:val="21"/>
                      <w:u w:val="none" w:color="auto"/>
                    </w:rPr>
                  </w:pPr>
                  <w:r>
                    <w:rPr>
                      <w:rFonts w:hint="default" w:ascii="Times New Roman" w:hAnsi="Times New Roman" w:cs="Times New Roman"/>
                      <w:i w:val="0"/>
                      <w:iCs w:val="0"/>
                      <w:caps/>
                      <w:szCs w:val="21"/>
                      <w:u w:val="none" w:color="auto"/>
                    </w:rPr>
                    <w:t>TSP</w:t>
                  </w:r>
                </w:p>
              </w:tc>
              <w:tc>
                <w:tcPr>
                  <w:tcW w:w="972" w:type="dxa"/>
                  <w:tcBorders>
                    <w:top w:val="single" w:color="231F20" w:sz="4" w:space="0"/>
                    <w:left w:val="single" w:color="auto" w:sz="4" w:space="0"/>
                    <w:bottom w:val="single" w:color="231F20" w:sz="12" w:space="0"/>
                    <w:right w:val="single" w:color="231F2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24小时</w:t>
                  </w:r>
                </w:p>
              </w:tc>
              <w:tc>
                <w:tcPr>
                  <w:tcW w:w="2128" w:type="dxa"/>
                  <w:tcBorders>
                    <w:top w:val="single" w:color="231F20" w:sz="4" w:space="0"/>
                    <w:left w:val="single" w:color="231F20" w:sz="4" w:space="0"/>
                    <w:bottom w:val="single" w:color="231F20" w:sz="12" w:space="0"/>
                    <w:right w:val="single" w:color="231F20" w:sz="4" w:space="0"/>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0.119</w:t>
                  </w:r>
                </w:p>
              </w:tc>
              <w:tc>
                <w:tcPr>
                  <w:tcW w:w="2026" w:type="dxa"/>
                  <w:tcBorders>
                    <w:top w:val="single" w:color="231F20" w:sz="4" w:space="0"/>
                    <w:left w:val="single" w:color="231F20" w:sz="4" w:space="0"/>
                    <w:bottom w:val="single" w:color="231F20" w:sz="12" w:space="0"/>
                    <w:right w:val="single" w:color="231F20" w:sz="4" w:space="0"/>
                  </w:tcBorders>
                  <w:vAlign w:val="center"/>
                </w:tcPr>
                <w:p>
                  <w:pPr>
                    <w:jc w:val="center"/>
                    <w:rPr>
                      <w:rFonts w:hint="default" w:ascii="Times New Roman" w:hAnsi="Times New Roman" w:eastAsia="宋体" w:cs="Times New Roman"/>
                      <w:i w:val="0"/>
                      <w:iCs w:val="0"/>
                      <w:caps/>
                      <w:szCs w:val="22"/>
                      <w:u w:val="none" w:color="auto"/>
                      <w:lang w:val="en-US" w:eastAsia="zh-CN"/>
                    </w:rPr>
                  </w:pPr>
                  <w:r>
                    <w:rPr>
                      <w:rFonts w:hint="default" w:ascii="Times New Roman" w:hAnsi="Times New Roman" w:cs="Times New Roman"/>
                      <w:i w:val="0"/>
                      <w:iCs w:val="0"/>
                      <w:caps/>
                      <w:szCs w:val="22"/>
                      <w:u w:val="none" w:color="auto"/>
                      <w:lang w:val="en-US" w:eastAsia="zh-CN"/>
                    </w:rPr>
                    <w:t>39.67</w:t>
                  </w:r>
                </w:p>
              </w:tc>
              <w:tc>
                <w:tcPr>
                  <w:tcW w:w="1345" w:type="dxa"/>
                  <w:tcBorders>
                    <w:top w:val="single" w:color="231F20" w:sz="4" w:space="0"/>
                    <w:left w:val="single" w:color="231F20" w:sz="4" w:space="0"/>
                    <w:bottom w:val="single" w:color="231F20" w:sz="12" w:space="0"/>
                    <w:right w:val="nil"/>
                  </w:tcBorders>
                  <w:vAlign w:val="center"/>
                </w:tcPr>
                <w:p>
                  <w:pPr>
                    <w:jc w:val="center"/>
                    <w:rPr>
                      <w:rFonts w:hint="default" w:ascii="Times New Roman" w:hAnsi="Times New Roman" w:cs="Times New Roman"/>
                      <w:i w:val="0"/>
                      <w:iCs w:val="0"/>
                      <w:caps/>
                      <w:szCs w:val="22"/>
                      <w:u w:val="none" w:color="auto"/>
                    </w:rPr>
                  </w:pPr>
                  <w:r>
                    <w:rPr>
                      <w:rFonts w:hint="default" w:ascii="Times New Roman" w:hAnsi="Times New Roman" w:cs="Times New Roman"/>
                      <w:i w:val="0"/>
                      <w:iCs w:val="0"/>
                      <w:caps/>
                      <w:szCs w:val="22"/>
                      <w:u w:val="none" w:color="auto"/>
                    </w:rPr>
                    <w:t>--</w:t>
                  </w:r>
                </w:p>
              </w:tc>
            </w:tr>
          </w:tbl>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由监测及评价结果可知，NOx、TSP监测点位污染物单项标准指数小于100%，说明区域环境空气质量较好，能够满足《环境空气质量标准》（GB3095-2012）中二级标准。</w:t>
            </w:r>
          </w:p>
          <w:bookmarkEnd w:id="2"/>
          <w:bookmarkEnd w:id="3"/>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2. 地表水环境质量现状</w:t>
            </w:r>
          </w:p>
          <w:p>
            <w:pPr>
              <w:spacing w:line="360" w:lineRule="auto"/>
              <w:ind w:firstLine="480" w:firstLineChars="200"/>
              <w:rPr>
                <w:rFonts w:hint="default" w:ascii="Times New Roman" w:hAnsi="Times New Roman" w:cs="Times New Roman"/>
                <w:bCs/>
                <w:i w:val="0"/>
                <w:iCs w:val="0"/>
                <w:sz w:val="24"/>
                <w:u w:val="none" w:color="auto"/>
              </w:rPr>
            </w:pPr>
            <w:r>
              <w:rPr>
                <w:rFonts w:hint="default" w:ascii="Times New Roman" w:hAnsi="Times New Roman" w:cs="Times New Roman"/>
                <w:i w:val="0"/>
                <w:iCs w:val="0"/>
                <w:kern w:val="0"/>
                <w:sz w:val="24"/>
                <w:u w:val="none" w:color="auto"/>
              </w:rPr>
              <w:t>根据《建设项目环境影响报告表编制技术指南（污染影响类）（试行）》，地表水环境现状监测“引用与建设项目距离近的有效数据，包括近3年的规划环境影响评价的监测数据，所在流域控制单元内国家、地方控制断面监测数据，生态环境主管部门发布的水环境质量数据或地表水达标情况的结论”。本项目</w:t>
            </w:r>
            <w:r>
              <w:rPr>
                <w:rFonts w:hint="default" w:ascii="Times New Roman" w:hAnsi="Times New Roman" w:cs="Times New Roman"/>
                <w:bCs/>
                <w:i w:val="0"/>
                <w:iCs w:val="0"/>
                <w:sz w:val="24"/>
                <w:u w:val="none" w:color="auto"/>
              </w:rPr>
              <w:t>采用吉林省生态环境厅2021年8月31日发布的《吉林省2021年7月份吉林省地表水国控断面水质月报》中相关数据。</w:t>
            </w:r>
          </w:p>
          <w:p>
            <w:pPr>
              <w:pStyle w:val="68"/>
              <w:widowControl w:val="0"/>
              <w:snapToGrid w:val="0"/>
              <w:spacing w:after="0" w:line="240" w:lineRule="auto"/>
              <w:ind w:firstLine="420"/>
              <w:rPr>
                <w:rFonts w:hint="default" w:ascii="Times New Roman" w:hAnsi="Times New Roman" w:cs="Times New Roman"/>
                <w:bCs/>
                <w:i w:val="0"/>
                <w:iCs w:val="0"/>
                <w:kern w:val="2"/>
                <w:sz w:val="24"/>
                <w:szCs w:val="24"/>
                <w:u w:val="none" w:color="auto"/>
              </w:rPr>
            </w:pPr>
            <w:r>
              <w:rPr>
                <w:rFonts w:hint="default" w:ascii="Times New Roman" w:hAnsi="Times New Roman" w:cs="Times New Roman"/>
                <w:bCs/>
                <w:i w:val="0"/>
                <w:iCs w:val="0"/>
                <w:kern w:val="2"/>
                <w:sz w:val="24"/>
                <w:szCs w:val="24"/>
                <w:u w:val="none" w:color="auto"/>
              </w:rPr>
              <w:t>表</w:t>
            </w:r>
            <w:r>
              <w:rPr>
                <w:rFonts w:hint="default" w:ascii="Times New Roman" w:hAnsi="Times New Roman" w:cs="Times New Roman"/>
                <w:bCs/>
                <w:i w:val="0"/>
                <w:iCs w:val="0"/>
                <w:kern w:val="2"/>
                <w:sz w:val="24"/>
                <w:szCs w:val="24"/>
                <w:u w:val="none" w:color="auto"/>
                <w:lang w:val="en-US" w:eastAsia="zh-CN"/>
              </w:rPr>
              <w:t>1</w:t>
            </w:r>
            <w:r>
              <w:rPr>
                <w:rFonts w:hint="default" w:ascii="Times New Roman" w:hAnsi="Times New Roman" w:cs="Times New Roman"/>
                <w:bCs/>
                <w:i w:val="0"/>
                <w:iCs w:val="0"/>
                <w:kern w:val="2"/>
                <w:sz w:val="24"/>
                <w:szCs w:val="24"/>
                <w:u w:val="none" w:color="auto"/>
              </w:rPr>
              <w:t>0   吉林省2021年7月地表水国控断面水质状况</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98"/>
              <w:gridCol w:w="1022"/>
              <w:gridCol w:w="1627"/>
              <w:gridCol w:w="798"/>
              <w:gridCol w:w="722"/>
              <w:gridCol w:w="1012"/>
              <w:gridCol w:w="633"/>
              <w:gridCol w:w="9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748" w:type="pct"/>
                  <w:vMerge w:val="restart"/>
                  <w:tcBorders>
                    <w:top w:val="single" w:color="auto" w:sz="12"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责任城市</w:t>
                  </w:r>
                </w:p>
              </w:tc>
              <w:tc>
                <w:tcPr>
                  <w:tcW w:w="638" w:type="pct"/>
                  <w:vMerge w:val="restart"/>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所在水体</w:t>
                  </w:r>
                </w:p>
              </w:tc>
              <w:tc>
                <w:tcPr>
                  <w:tcW w:w="1016" w:type="pct"/>
                  <w:vMerge w:val="restart"/>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断面名称</w:t>
                  </w:r>
                </w:p>
              </w:tc>
              <w:tc>
                <w:tcPr>
                  <w:tcW w:w="1581" w:type="pct"/>
                  <w:gridSpan w:val="3"/>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水质类别</w:t>
                  </w:r>
                </w:p>
              </w:tc>
              <w:tc>
                <w:tcPr>
                  <w:tcW w:w="395" w:type="pct"/>
                  <w:vMerge w:val="restart"/>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环比</w:t>
                  </w:r>
                </w:p>
              </w:tc>
              <w:tc>
                <w:tcPr>
                  <w:tcW w:w="619" w:type="pct"/>
                  <w:vMerge w:val="restart"/>
                  <w:tcBorders>
                    <w:top w:val="single" w:color="auto" w:sz="12" w:space="0"/>
                    <w:left w:val="single" w:color="auto" w:sz="4" w:space="0"/>
                    <w:bottom w:val="single" w:color="auto" w:sz="4" w:space="0"/>
                    <w:right w:val="nil"/>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0" w:type="auto"/>
                  <w:vMerge w:val="continue"/>
                  <w:tcBorders>
                    <w:top w:val="single" w:color="auto" w:sz="12" w:space="0"/>
                    <w:left w:val="nil"/>
                    <w:bottom w:val="single" w:color="auto" w:sz="4"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49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本月</w:t>
                  </w:r>
                </w:p>
              </w:tc>
              <w:tc>
                <w:tcPr>
                  <w:tcW w:w="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上月</w:t>
                  </w:r>
                </w:p>
              </w:tc>
              <w:tc>
                <w:tcPr>
                  <w:tcW w:w="63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去年同期</w:t>
                  </w: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0" w:type="auto"/>
                  <w:vMerge w:val="continue"/>
                  <w:tcBorders>
                    <w:top w:val="single" w:color="auto" w:sz="12" w:space="0"/>
                    <w:left w:val="single" w:color="auto" w:sz="4" w:space="0"/>
                    <w:bottom w:val="single" w:color="auto" w:sz="4" w:space="0"/>
                    <w:right w:val="nil"/>
                  </w:tcBorders>
                  <w:vAlign w:val="center"/>
                </w:tcPr>
                <w:p>
                  <w:pPr>
                    <w:widowControl/>
                    <w:jc w:val="left"/>
                    <w:rPr>
                      <w:rFonts w:hint="default" w:ascii="Times New Roman" w:hAnsi="Times New Roman" w:cs="Times New Roman"/>
                      <w:i w:val="0"/>
                      <w:iCs w:val="0"/>
                      <w:kern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748" w:type="pct"/>
                  <w:vMerge w:val="restart"/>
                  <w:tcBorders>
                    <w:top w:val="single" w:color="auto" w:sz="4" w:space="0"/>
                    <w:left w:val="nil"/>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白山市</w:t>
                  </w:r>
                </w:p>
              </w:tc>
              <w:tc>
                <w:tcPr>
                  <w:tcW w:w="638" w:type="pct"/>
                  <w:vMerge w:val="restar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浑江</w:t>
                  </w:r>
                </w:p>
              </w:tc>
              <w:tc>
                <w:tcPr>
                  <w:tcW w:w="1016"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江源（浑）</w:t>
                  </w:r>
                </w:p>
              </w:tc>
              <w:tc>
                <w:tcPr>
                  <w:tcW w:w="49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Ⅲ</w:t>
                  </w:r>
                </w:p>
              </w:tc>
              <w:tc>
                <w:tcPr>
                  <w:tcW w:w="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Ⅱ</w:t>
                  </w:r>
                </w:p>
              </w:tc>
              <w:tc>
                <w:tcPr>
                  <w:tcW w:w="63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Ⅲ</w:t>
                  </w:r>
                </w:p>
              </w:tc>
              <w:tc>
                <w:tcPr>
                  <w:tcW w:w="39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w:t>
                  </w:r>
                </w:p>
              </w:tc>
              <w:tc>
                <w:tcPr>
                  <w:tcW w:w="619" w:type="pct"/>
                  <w:tcBorders>
                    <w:top w:val="single" w:color="auto" w:sz="4" w:space="0"/>
                    <w:left w:val="single" w:color="auto" w:sz="4" w:space="0"/>
                    <w:bottom w:val="single" w:color="auto" w:sz="4" w:space="0"/>
                    <w:right w:val="nil"/>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bCs/>
                      <w:i w:val="0"/>
                      <w:iCs w:val="0"/>
                      <w:szCs w:val="21"/>
                      <w:u w:val="none" w:color="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szCs w:val="21"/>
                      <w:u w:val="none" w:color="auto"/>
                    </w:rPr>
                  </w:pPr>
                </w:p>
              </w:tc>
              <w:tc>
                <w:tcPr>
                  <w:tcW w:w="1016"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西村</w:t>
                  </w:r>
                </w:p>
              </w:tc>
              <w:tc>
                <w:tcPr>
                  <w:tcW w:w="498"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Ⅱ</w:t>
                  </w:r>
                </w:p>
              </w:tc>
              <w:tc>
                <w:tcPr>
                  <w:tcW w:w="451"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Ⅳ</w:t>
                  </w:r>
                </w:p>
              </w:tc>
              <w:tc>
                <w:tcPr>
                  <w:tcW w:w="631"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Ⅲ</w:t>
                  </w:r>
                </w:p>
              </w:tc>
              <w:tc>
                <w:tcPr>
                  <w:tcW w:w="395"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w:t>
                  </w:r>
                </w:p>
              </w:tc>
              <w:tc>
                <w:tcPr>
                  <w:tcW w:w="619" w:type="pct"/>
                  <w:tcBorders>
                    <w:top w:val="single" w:color="auto" w:sz="4" w:space="0"/>
                    <w:left w:val="single" w:color="auto" w:sz="4" w:space="0"/>
                    <w:bottom w:val="single" w:color="auto" w:sz="12" w:space="0"/>
                    <w:right w:val="nil"/>
                  </w:tcBorders>
                  <w:tcMar>
                    <w:top w:w="0" w:type="dxa"/>
                    <w:left w:w="28" w:type="dxa"/>
                    <w:bottom w:w="0" w:type="dxa"/>
                    <w:right w:w="28" w:type="dxa"/>
                  </w:tcMar>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w:t>
                  </w:r>
                </w:p>
              </w:tc>
            </w:tr>
          </w:tbl>
          <w:p>
            <w:pPr>
              <w:snapToGrid w:val="0"/>
              <w:spacing w:line="360" w:lineRule="auto"/>
              <w:ind w:firstLine="422" w:firstLineChars="200"/>
              <w:rPr>
                <w:rFonts w:hint="default" w:ascii="Times New Roman" w:hAnsi="Times New Roman" w:cs="Times New Roman"/>
                <w:b/>
                <w:bCs/>
                <w:i w:val="0"/>
                <w:iCs w:val="0"/>
                <w:szCs w:val="21"/>
                <w:u w:val="none" w:color="auto"/>
              </w:rPr>
            </w:pPr>
          </w:p>
          <w:p>
            <w:pPr>
              <w:snapToGrid w:val="0"/>
              <w:spacing w:line="360" w:lineRule="auto"/>
              <w:ind w:firstLine="422" w:firstLineChars="200"/>
              <w:rPr>
                <w:rFonts w:hint="default" w:ascii="Times New Roman" w:hAnsi="Times New Roman" w:cs="Times New Roman"/>
                <w:bCs/>
                <w:i w:val="0"/>
                <w:iCs w:val="0"/>
                <w:szCs w:val="21"/>
                <w:u w:val="none" w:color="auto"/>
              </w:rPr>
            </w:pPr>
            <w:r>
              <w:rPr>
                <w:rFonts w:hint="default" w:ascii="Times New Roman" w:hAnsi="Times New Roman" w:cs="Times New Roman"/>
                <w:b/>
                <w:bCs/>
                <w:i w:val="0"/>
                <w:iCs w:val="0"/>
                <w:szCs w:val="21"/>
                <w:u w:val="none" w:color="auto"/>
              </w:rPr>
              <w:t>注：</w:t>
            </w:r>
            <w:r>
              <w:rPr>
                <w:rFonts w:hint="default" w:ascii="Times New Roman" w:hAnsi="Times New Roman" w:cs="Times New Roman"/>
                <w:bCs/>
                <w:i w:val="0"/>
                <w:iCs w:val="0"/>
                <w:szCs w:val="21"/>
                <w:u w:val="none" w:color="auto"/>
              </w:rPr>
              <w:t>“</w:t>
            </w:r>
            <w:r>
              <w:rPr>
                <w:rFonts w:hint="default" w:ascii="Times New Roman" w:hAnsi="Times New Roman" w:eastAsia="Batang" w:cs="Times New Roman"/>
                <w:bCs/>
                <w:i w:val="0"/>
                <w:iCs w:val="0"/>
                <w:szCs w:val="21"/>
                <w:u w:val="none" w:color="auto"/>
              </w:rPr>
              <w:t>㉿</w:t>
            </w:r>
            <w:r>
              <w:rPr>
                <w:rFonts w:hint="default" w:ascii="Times New Roman" w:hAnsi="Times New Roman" w:cs="Times New Roman"/>
                <w:bCs/>
                <w:i w:val="0"/>
                <w:iCs w:val="0"/>
                <w:szCs w:val="21"/>
                <w:u w:val="none" w:color="auto"/>
              </w:rPr>
              <w:t>”表示考核断面，“/”没有监测。</w:t>
            </w:r>
          </w:p>
          <w:p>
            <w:pPr>
              <w:snapToGrid w:val="0"/>
              <w:spacing w:line="360" w:lineRule="auto"/>
              <w:ind w:firstLine="420" w:firstLineChars="200"/>
              <w:rPr>
                <w:rFonts w:hint="default" w:ascii="Times New Roman" w:hAnsi="Times New Roman" w:cs="Times New Roman"/>
                <w:bCs/>
                <w:i w:val="0"/>
                <w:iCs w:val="0"/>
                <w:szCs w:val="21"/>
                <w:u w:val="none" w:color="auto"/>
              </w:rPr>
            </w:pPr>
            <w:r>
              <w:rPr>
                <w:rFonts w:hint="default" w:ascii="Times New Roman" w:hAnsi="Times New Roman" w:cs="Times New Roman"/>
                <w:bCs/>
                <w:i w:val="0"/>
                <w:iCs w:val="0"/>
                <w:szCs w:val="21"/>
                <w:u w:val="none" w:color="auto"/>
              </w:rPr>
              <w:t>“×”未达到控制目标要求，“√”达到控制目标要求。</w:t>
            </w:r>
          </w:p>
          <w:p>
            <w:pPr>
              <w:autoSpaceDE w:val="0"/>
              <w:autoSpaceDN w:val="0"/>
              <w:adjustRightInd w:val="0"/>
              <w:snapToGrid w:val="0"/>
              <w:spacing w:line="360" w:lineRule="auto"/>
              <w:rPr>
                <w:rFonts w:hint="default" w:ascii="Times New Roman" w:hAnsi="Times New Roman" w:cs="Times New Roman"/>
                <w:bCs/>
                <w:i w:val="0"/>
                <w:iCs w:val="0"/>
                <w:szCs w:val="21"/>
                <w:u w:val="none" w:color="auto"/>
              </w:rPr>
            </w:pPr>
            <w:r>
              <w:rPr>
                <w:rFonts w:hint="default" w:ascii="Times New Roman" w:hAnsi="Times New Roman" w:cs="Times New Roman"/>
                <w:bCs/>
                <w:i w:val="0"/>
                <w:iCs w:val="0"/>
                <w:szCs w:val="21"/>
                <w:u w:val="none" w:color="auto"/>
              </w:rPr>
              <w:t>“↑”水质好转，“→”水质类别没有变化，“↓”水质下降，“○”没有数据。</w:t>
            </w:r>
          </w:p>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3. 声环境质量现状</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fldChar w:fldCharType="begin"/>
            </w:r>
            <w:r>
              <w:rPr>
                <w:rFonts w:hint="default" w:ascii="Times New Roman" w:hAnsi="Times New Roman" w:cs="Times New Roman"/>
                <w:i w:val="0"/>
                <w:iCs w:val="0"/>
                <w:sz w:val="24"/>
                <w:u w:val="none" w:color="auto"/>
              </w:rPr>
              <w:instrText xml:space="preserve"> = 1 \* GB2 </w:instrText>
            </w:r>
            <w:r>
              <w:rPr>
                <w:rFonts w:hint="default" w:ascii="Times New Roman" w:hAnsi="Times New Roman" w:cs="Times New Roman"/>
                <w:i w:val="0"/>
                <w:iCs w:val="0"/>
                <w:sz w:val="24"/>
                <w:u w:val="none" w:color="auto"/>
              </w:rPr>
              <w:fldChar w:fldCharType="separate"/>
            </w:r>
            <w:r>
              <w:rPr>
                <w:rFonts w:hint="default" w:ascii="Times New Roman" w:hAnsi="Times New Roman" w:cs="Times New Roman"/>
                <w:i w:val="0"/>
                <w:iCs w:val="0"/>
                <w:sz w:val="24"/>
                <w:u w:val="none" w:color="auto"/>
              </w:rPr>
              <w:t>⑴</w:t>
            </w:r>
            <w:r>
              <w:rPr>
                <w:rFonts w:hint="default" w:ascii="Times New Roman" w:hAnsi="Times New Roman" w:cs="Times New Roman"/>
                <w:i w:val="0"/>
                <w:iCs w:val="0"/>
                <w:sz w:val="24"/>
                <w:u w:val="none" w:color="auto"/>
              </w:rPr>
              <w:fldChar w:fldCharType="end"/>
            </w:r>
            <w:r>
              <w:rPr>
                <w:rFonts w:hint="default" w:ascii="Times New Roman" w:hAnsi="Times New Roman" w:cs="Times New Roman"/>
                <w:i w:val="0"/>
                <w:iCs w:val="0"/>
                <w:sz w:val="24"/>
                <w:u w:val="none" w:color="auto"/>
              </w:rPr>
              <w:t>监测点布设</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本项目在各厂界四个方向共布置12个监测点位，详见下表。</w:t>
            </w:r>
          </w:p>
          <w:p>
            <w:pPr>
              <w:snapToGrid w:val="0"/>
              <w:jc w:val="center"/>
              <w:rPr>
                <w:rFonts w:hint="default" w:ascii="Times New Roman" w:hAnsi="Times New Roman" w:cs="Times New Roman"/>
                <w:b/>
                <w:bCs/>
                <w:i w:val="0"/>
                <w:iCs w:val="0"/>
                <w:sz w:val="24"/>
                <w:szCs w:val="24"/>
                <w:u w:val="none" w:color="auto"/>
              </w:rPr>
            </w:pPr>
            <w:r>
              <w:rPr>
                <w:rFonts w:hint="default" w:ascii="Times New Roman" w:hAnsi="Times New Roman" w:cs="Times New Roman"/>
                <w:b/>
                <w:bCs/>
                <w:i w:val="0"/>
                <w:iCs w:val="0"/>
                <w:sz w:val="24"/>
                <w:szCs w:val="24"/>
                <w:u w:val="none" w:color="auto"/>
              </w:rPr>
              <w:t>表</w:t>
            </w:r>
            <w:r>
              <w:rPr>
                <w:rFonts w:hint="default" w:ascii="Times New Roman" w:hAnsi="Times New Roman" w:cs="Times New Roman"/>
                <w:b/>
                <w:bCs/>
                <w:i w:val="0"/>
                <w:iCs w:val="0"/>
                <w:sz w:val="24"/>
                <w:szCs w:val="24"/>
                <w:u w:val="none" w:color="auto"/>
                <w:lang w:val="en-US" w:eastAsia="zh-CN"/>
              </w:rPr>
              <w:t>1</w:t>
            </w:r>
            <w:r>
              <w:rPr>
                <w:rFonts w:hint="default" w:ascii="Times New Roman" w:hAnsi="Times New Roman" w:cs="Times New Roman"/>
                <w:b/>
                <w:bCs/>
                <w:i w:val="0"/>
                <w:iCs w:val="0"/>
                <w:sz w:val="24"/>
                <w:szCs w:val="24"/>
                <w:u w:val="none" w:color="auto"/>
              </w:rPr>
              <w:t>1  噪声监测点位</w:t>
            </w:r>
          </w:p>
          <w:tbl>
            <w:tblPr>
              <w:tblStyle w:val="18"/>
              <w:tblW w:w="79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347"/>
              <w:gridCol w:w="3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tcBorders>
                    <w:top w:val="single" w:color="auto" w:sz="12"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监测序号</w:t>
                  </w:r>
                </w:p>
              </w:tc>
              <w:tc>
                <w:tcPr>
                  <w:tcW w:w="3347"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监测点位置</w:t>
                  </w:r>
                </w:p>
              </w:tc>
              <w:tc>
                <w:tcPr>
                  <w:tcW w:w="3411" w:type="dxa"/>
                  <w:tcBorders>
                    <w:top w:val="single" w:color="auto" w:sz="12" w:space="0"/>
                    <w:left w:val="single" w:color="auto" w:sz="4" w:space="0"/>
                    <w:bottom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1#</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源翔一场厂界东侧</w:t>
                  </w:r>
                </w:p>
              </w:tc>
              <w:tc>
                <w:tcPr>
                  <w:tcW w:w="3411" w:type="dxa"/>
                  <w:vMerge w:val="restart"/>
                  <w:tcBorders>
                    <w:top w:val="single" w:color="auto" w:sz="4" w:space="0"/>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了解拟建项目声环境背景状况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2#</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源翔一场厂界南侧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3#</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源翔一场厂界西侧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4#</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源翔一场厂界北侧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5#</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源翔一场厂界东侧</w:t>
                  </w:r>
                </w:p>
              </w:tc>
              <w:tc>
                <w:tcPr>
                  <w:tcW w:w="3411" w:type="dxa"/>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6#</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源翔一场厂界南侧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7#</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源翔一场厂界西侧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8#</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源翔一场厂界北侧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9#</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孵化厂厂界东侧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10#</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孵化厂厂界东侧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11#</w:t>
                  </w:r>
                </w:p>
              </w:tc>
              <w:tc>
                <w:tcPr>
                  <w:tcW w:w="3347" w:type="dxa"/>
                  <w:tcBorders>
                    <w:top w:val="single" w:color="auto" w:sz="4" w:space="0"/>
                    <w:left w:val="single" w:color="auto" w:sz="4" w:space="0"/>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孵化厂厂界东侧</w:t>
                  </w:r>
                </w:p>
              </w:tc>
              <w:tc>
                <w:tcPr>
                  <w:tcW w:w="0" w:type="auto"/>
                  <w:vMerge w:val="continue"/>
                  <w:tcBorders>
                    <w:left w:val="single" w:color="auto" w:sz="4" w:space="0"/>
                    <w:right w:val="nil"/>
                  </w:tcBorders>
                  <w:vAlign w:val="center"/>
                </w:tcPr>
                <w:p>
                  <w:pPr>
                    <w:widowControl/>
                    <w:jc w:val="left"/>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3" w:type="dxa"/>
                  <w:tcBorders>
                    <w:top w:val="single" w:color="auto" w:sz="4" w:space="0"/>
                    <w:left w:val="nil"/>
                    <w:bottom w:val="single" w:color="auto" w:sz="12"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12#</w:t>
                  </w:r>
                </w:p>
              </w:tc>
              <w:tc>
                <w:tcPr>
                  <w:tcW w:w="3347" w:type="dxa"/>
                  <w:tcBorders>
                    <w:top w:val="single" w:color="auto" w:sz="4" w:space="0"/>
                    <w:left w:val="single" w:color="auto" w:sz="4" w:space="0"/>
                    <w:bottom w:val="single" w:color="auto" w:sz="12"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孵化厂厂界东侧</w:t>
                  </w:r>
                </w:p>
              </w:tc>
              <w:tc>
                <w:tcPr>
                  <w:tcW w:w="0" w:type="auto"/>
                  <w:vMerge w:val="continue"/>
                  <w:tcBorders>
                    <w:left w:val="single" w:color="auto" w:sz="4" w:space="0"/>
                    <w:bottom w:val="single" w:color="auto" w:sz="12" w:space="0"/>
                    <w:right w:val="nil"/>
                  </w:tcBorders>
                  <w:vAlign w:val="center"/>
                </w:tcPr>
                <w:p>
                  <w:pPr>
                    <w:widowControl/>
                    <w:jc w:val="left"/>
                    <w:rPr>
                      <w:rFonts w:hint="default" w:ascii="Times New Roman" w:hAnsi="Times New Roman" w:cs="Times New Roman"/>
                      <w:i w:val="0"/>
                      <w:iCs w:val="0"/>
                      <w:szCs w:val="21"/>
                      <w:u w:val="none" w:color="auto"/>
                    </w:rPr>
                  </w:pPr>
                </w:p>
              </w:tc>
            </w:tr>
          </w:tbl>
          <w:p>
            <w:pPr>
              <w:snapToGrid w:val="0"/>
              <w:spacing w:line="360" w:lineRule="auto"/>
              <w:ind w:firstLine="470" w:firstLineChars="196"/>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fldChar w:fldCharType="begin"/>
            </w:r>
            <w:r>
              <w:rPr>
                <w:rFonts w:hint="default" w:ascii="Times New Roman" w:hAnsi="Times New Roman" w:cs="Times New Roman"/>
                <w:i w:val="0"/>
                <w:iCs w:val="0"/>
                <w:sz w:val="24"/>
                <w:u w:val="none" w:color="auto"/>
              </w:rPr>
              <w:instrText xml:space="preserve"> = 2 \* GB2 </w:instrText>
            </w:r>
            <w:r>
              <w:rPr>
                <w:rFonts w:hint="default" w:ascii="Times New Roman" w:hAnsi="Times New Roman" w:cs="Times New Roman"/>
                <w:i w:val="0"/>
                <w:iCs w:val="0"/>
                <w:sz w:val="24"/>
                <w:u w:val="none" w:color="auto"/>
              </w:rPr>
              <w:fldChar w:fldCharType="separate"/>
            </w:r>
            <w:r>
              <w:rPr>
                <w:rFonts w:hint="default" w:ascii="Times New Roman" w:hAnsi="Times New Roman" w:cs="Times New Roman"/>
                <w:i w:val="0"/>
                <w:iCs w:val="0"/>
                <w:sz w:val="24"/>
                <w:u w:val="none" w:color="auto"/>
              </w:rPr>
              <w:t>⑵</w:t>
            </w:r>
            <w:r>
              <w:rPr>
                <w:rFonts w:hint="default" w:ascii="Times New Roman" w:hAnsi="Times New Roman" w:cs="Times New Roman"/>
                <w:i w:val="0"/>
                <w:iCs w:val="0"/>
                <w:sz w:val="24"/>
                <w:u w:val="none" w:color="auto"/>
              </w:rPr>
              <w:fldChar w:fldCharType="end"/>
            </w:r>
            <w:r>
              <w:rPr>
                <w:rFonts w:hint="default" w:ascii="Times New Roman" w:hAnsi="Times New Roman" w:cs="Times New Roman"/>
                <w:i w:val="0"/>
                <w:iCs w:val="0"/>
                <w:sz w:val="24"/>
                <w:u w:val="none" w:color="auto"/>
              </w:rPr>
              <w:t>监测方法</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按照《声环境质量标准》（GB3096-2008）中相关监测要求进行监测。</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fldChar w:fldCharType="begin"/>
            </w:r>
            <w:r>
              <w:rPr>
                <w:rFonts w:hint="default" w:ascii="Times New Roman" w:hAnsi="Times New Roman" w:cs="Times New Roman"/>
                <w:i w:val="0"/>
                <w:iCs w:val="0"/>
                <w:sz w:val="24"/>
                <w:u w:val="none" w:color="auto"/>
              </w:rPr>
              <w:instrText xml:space="preserve"> = 3 \* GB2 </w:instrText>
            </w:r>
            <w:r>
              <w:rPr>
                <w:rFonts w:hint="default" w:ascii="Times New Roman" w:hAnsi="Times New Roman" w:cs="Times New Roman"/>
                <w:i w:val="0"/>
                <w:iCs w:val="0"/>
                <w:sz w:val="24"/>
                <w:u w:val="none" w:color="auto"/>
              </w:rPr>
              <w:fldChar w:fldCharType="separate"/>
            </w:r>
            <w:r>
              <w:rPr>
                <w:rFonts w:hint="default" w:ascii="Times New Roman" w:hAnsi="Times New Roman" w:cs="Times New Roman"/>
                <w:i w:val="0"/>
                <w:iCs w:val="0"/>
                <w:sz w:val="24"/>
                <w:u w:val="none" w:color="auto"/>
              </w:rPr>
              <w:t>⑶</w:t>
            </w:r>
            <w:r>
              <w:rPr>
                <w:rFonts w:hint="default" w:ascii="Times New Roman" w:hAnsi="Times New Roman" w:cs="Times New Roman"/>
                <w:i w:val="0"/>
                <w:iCs w:val="0"/>
                <w:sz w:val="24"/>
                <w:u w:val="none" w:color="auto"/>
              </w:rPr>
              <w:fldChar w:fldCharType="end"/>
            </w:r>
            <w:r>
              <w:rPr>
                <w:rFonts w:hint="default" w:ascii="Times New Roman" w:hAnsi="Times New Roman" w:cs="Times New Roman"/>
                <w:i w:val="0"/>
                <w:iCs w:val="0"/>
                <w:sz w:val="24"/>
                <w:u w:val="none" w:color="auto"/>
              </w:rPr>
              <w:t>监测单位及监测时间</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监测单位：吉林省中环检测有限公司</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监测时间：2021年12月22日</w:t>
            </w:r>
          </w:p>
          <w:p>
            <w:pPr>
              <w:snapToGrid w:val="0"/>
              <w:spacing w:line="360" w:lineRule="auto"/>
              <w:ind w:firstLine="480" w:firstLineChars="200"/>
              <w:rPr>
                <w:rFonts w:hint="default" w:ascii="Times New Roman" w:hAnsi="Times New Roman" w:cs="Times New Roman"/>
                <w:i w:val="0"/>
                <w:iCs w:val="0"/>
                <w:snapToGrid w:val="0"/>
                <w:kern w:val="0"/>
                <w:sz w:val="24"/>
                <w:u w:val="none" w:color="auto"/>
              </w:rPr>
            </w:pPr>
            <w:r>
              <w:rPr>
                <w:rFonts w:hint="default" w:ascii="Times New Roman" w:hAnsi="Times New Roman" w:cs="Times New Roman"/>
                <w:i w:val="0"/>
                <w:iCs w:val="0"/>
                <w:snapToGrid w:val="0"/>
                <w:kern w:val="0"/>
                <w:sz w:val="24"/>
                <w:u w:val="none" w:color="auto"/>
              </w:rPr>
              <w:fldChar w:fldCharType="begin"/>
            </w:r>
            <w:r>
              <w:rPr>
                <w:rFonts w:hint="default" w:ascii="Times New Roman" w:hAnsi="Times New Roman" w:cs="Times New Roman"/>
                <w:i w:val="0"/>
                <w:iCs w:val="0"/>
                <w:snapToGrid w:val="0"/>
                <w:kern w:val="0"/>
                <w:sz w:val="24"/>
                <w:u w:val="none" w:color="auto"/>
              </w:rPr>
              <w:instrText xml:space="preserve"> = 4 \* GB2 </w:instrText>
            </w:r>
            <w:r>
              <w:rPr>
                <w:rFonts w:hint="default" w:ascii="Times New Roman" w:hAnsi="Times New Roman" w:cs="Times New Roman"/>
                <w:i w:val="0"/>
                <w:iCs w:val="0"/>
                <w:snapToGrid w:val="0"/>
                <w:kern w:val="0"/>
                <w:sz w:val="24"/>
                <w:u w:val="none" w:color="auto"/>
              </w:rPr>
              <w:fldChar w:fldCharType="separate"/>
            </w:r>
            <w:r>
              <w:rPr>
                <w:rFonts w:hint="default" w:ascii="Times New Roman" w:hAnsi="Times New Roman" w:cs="Times New Roman"/>
                <w:i w:val="0"/>
                <w:iCs w:val="0"/>
                <w:snapToGrid w:val="0"/>
                <w:kern w:val="0"/>
                <w:sz w:val="24"/>
                <w:u w:val="none" w:color="auto"/>
              </w:rPr>
              <w:t>⑷</w:t>
            </w:r>
            <w:r>
              <w:rPr>
                <w:rFonts w:hint="default" w:ascii="Times New Roman" w:hAnsi="Times New Roman" w:cs="Times New Roman"/>
                <w:i w:val="0"/>
                <w:iCs w:val="0"/>
                <w:snapToGrid w:val="0"/>
                <w:kern w:val="0"/>
                <w:sz w:val="24"/>
                <w:u w:val="none" w:color="auto"/>
              </w:rPr>
              <w:fldChar w:fldCharType="end"/>
            </w:r>
            <w:r>
              <w:rPr>
                <w:rFonts w:hint="default" w:ascii="Times New Roman" w:hAnsi="Times New Roman" w:cs="Times New Roman"/>
                <w:i w:val="0"/>
                <w:iCs w:val="0"/>
                <w:snapToGrid w:val="0"/>
                <w:kern w:val="0"/>
                <w:sz w:val="24"/>
                <w:u w:val="none" w:color="auto"/>
              </w:rPr>
              <w:t>监测结果及评价</w:t>
            </w:r>
          </w:p>
          <w:p>
            <w:pPr>
              <w:snapToGrid w:val="0"/>
              <w:spacing w:line="360" w:lineRule="auto"/>
              <w:ind w:firstLine="480" w:firstLineChars="200"/>
              <w:rPr>
                <w:rFonts w:hint="default" w:ascii="Times New Roman" w:hAnsi="Times New Roman" w:cs="Times New Roman"/>
                <w:i w:val="0"/>
                <w:iCs w:val="0"/>
                <w:snapToGrid w:val="0"/>
                <w:kern w:val="0"/>
                <w:sz w:val="24"/>
                <w:u w:val="none" w:color="auto"/>
              </w:rPr>
            </w:pPr>
            <w:r>
              <w:rPr>
                <w:rFonts w:hint="default" w:ascii="Times New Roman" w:hAnsi="Times New Roman" w:cs="Times New Roman"/>
                <w:i w:val="0"/>
                <w:iCs w:val="0"/>
                <w:snapToGrid w:val="0"/>
                <w:kern w:val="0"/>
                <w:sz w:val="24"/>
                <w:u w:val="none" w:color="auto"/>
              </w:rPr>
              <w:t>噪声监测结果见下表。</w:t>
            </w:r>
          </w:p>
          <w:p>
            <w:pPr>
              <w:jc w:val="center"/>
              <w:rPr>
                <w:rFonts w:hint="default" w:ascii="Times New Roman" w:hAnsi="Times New Roman" w:cs="Times New Roman"/>
                <w:b/>
                <w:bCs/>
                <w:i w:val="0"/>
                <w:iCs w:val="0"/>
                <w:sz w:val="24"/>
                <w:szCs w:val="24"/>
                <w:u w:val="none" w:color="auto"/>
              </w:rPr>
            </w:pPr>
            <w:bookmarkStart w:id="4" w:name="_Toc196822768"/>
            <w:bookmarkStart w:id="5" w:name="_Toc198368936"/>
            <w:bookmarkStart w:id="6" w:name="_Toc197303931"/>
            <w:bookmarkStart w:id="7" w:name="_Toc195680687"/>
            <w:bookmarkStart w:id="8" w:name="_Toc197672559"/>
            <w:bookmarkStart w:id="9" w:name="_Toc189627744"/>
            <w:bookmarkStart w:id="10" w:name="_Toc187483972"/>
            <w:bookmarkStart w:id="11" w:name="_Toc186268288"/>
            <w:r>
              <w:rPr>
                <w:rFonts w:hint="default" w:ascii="Times New Roman" w:hAnsi="Times New Roman" w:cs="Times New Roman"/>
                <w:b/>
                <w:bCs/>
                <w:i w:val="0"/>
                <w:iCs w:val="0"/>
                <w:sz w:val="24"/>
                <w:szCs w:val="24"/>
                <w:u w:val="none" w:color="auto"/>
              </w:rPr>
              <w:t>表</w:t>
            </w:r>
            <w:r>
              <w:rPr>
                <w:rFonts w:hint="default" w:ascii="Times New Roman" w:hAnsi="Times New Roman" w:cs="Times New Roman"/>
                <w:b/>
                <w:bCs/>
                <w:i w:val="0"/>
                <w:iCs w:val="0"/>
                <w:sz w:val="24"/>
                <w:szCs w:val="24"/>
                <w:u w:val="none" w:color="auto"/>
                <w:lang w:val="en-US" w:eastAsia="zh-CN"/>
              </w:rPr>
              <w:t>1</w:t>
            </w:r>
            <w:r>
              <w:rPr>
                <w:rFonts w:hint="default" w:ascii="Times New Roman" w:hAnsi="Times New Roman" w:cs="Times New Roman"/>
                <w:b/>
                <w:bCs/>
                <w:i w:val="0"/>
                <w:iCs w:val="0"/>
                <w:sz w:val="24"/>
                <w:szCs w:val="24"/>
                <w:u w:val="none" w:color="auto"/>
              </w:rPr>
              <w:t>2 噪声监测结果 [dB（A）]</w:t>
            </w:r>
            <w:bookmarkEnd w:id="4"/>
            <w:bookmarkEnd w:id="5"/>
            <w:bookmarkEnd w:id="6"/>
            <w:bookmarkEnd w:id="7"/>
            <w:bookmarkEnd w:id="8"/>
            <w:bookmarkEnd w:id="9"/>
            <w:bookmarkEnd w:id="10"/>
            <w:bookmarkEnd w:id="11"/>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174"/>
              <w:gridCol w:w="898"/>
              <w:gridCol w:w="1087"/>
              <w:gridCol w:w="919"/>
              <w:gridCol w:w="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851" w:type="pct"/>
                  <w:vMerge w:val="restart"/>
                  <w:tcBorders>
                    <w:top w:val="single" w:color="auto" w:sz="12"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监测点位</w:t>
                  </w:r>
                </w:p>
              </w:tc>
              <w:tc>
                <w:tcPr>
                  <w:tcW w:w="733" w:type="pct"/>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w:t>
                  </w:r>
                </w:p>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时间</w:t>
                  </w:r>
                </w:p>
              </w:tc>
              <w:tc>
                <w:tcPr>
                  <w:tcW w:w="1240" w:type="pct"/>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昼间</w:t>
                  </w:r>
                </w:p>
              </w:tc>
              <w:tc>
                <w:tcPr>
                  <w:tcW w:w="1175" w:type="pct"/>
                  <w:gridSpan w:val="2"/>
                  <w:tcBorders>
                    <w:top w:val="single" w:color="auto" w:sz="12" w:space="0"/>
                    <w:left w:val="single" w:color="auto" w:sz="4" w:space="0"/>
                    <w:bottom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0" w:type="auto"/>
                  <w:vMerge w:val="continue"/>
                  <w:tcBorders>
                    <w:top w:val="single" w:color="auto" w:sz="12" w:space="0"/>
                    <w:left w:val="nil"/>
                    <w:bottom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监测值</w:t>
                  </w:r>
                </w:p>
              </w:tc>
              <w:tc>
                <w:tcPr>
                  <w:tcW w:w="67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标准</w:t>
                  </w: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监测值</w:t>
                  </w:r>
                </w:p>
              </w:tc>
              <w:tc>
                <w:tcPr>
                  <w:tcW w:w="601" w:type="pct"/>
                  <w:tcBorders>
                    <w:top w:val="single" w:color="auto" w:sz="4" w:space="0"/>
                    <w:left w:val="single" w:color="auto" w:sz="4" w:space="0"/>
                    <w:bottom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源翔一场厂界东侧</w:t>
                  </w:r>
                </w:p>
              </w:tc>
              <w:tc>
                <w:tcPr>
                  <w:tcW w:w="733" w:type="pct"/>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2021.12.22</w:t>
                  </w: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52</w:t>
                  </w:r>
                </w:p>
              </w:tc>
              <w:tc>
                <w:tcPr>
                  <w:tcW w:w="679" w:type="pct"/>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55</w:t>
                  </w: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43</w:t>
                  </w:r>
                </w:p>
              </w:tc>
              <w:tc>
                <w:tcPr>
                  <w:tcW w:w="601" w:type="pct"/>
                  <w:vMerge w:val="restart"/>
                  <w:tcBorders>
                    <w:top w:val="single" w:color="auto" w:sz="4" w:space="0"/>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源翔一场厂界南侧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50</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42</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源翔一场厂界西侧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49</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42</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源翔一场厂界北侧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51</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41</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源翔二场厂界东侧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50</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39</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源翔二场厂界南侧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49</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40</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源翔二场厂界西侧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51</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40</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1" w:type="pct"/>
                  <w:tcBorders>
                    <w:top w:val="single" w:color="auto" w:sz="4" w:space="0"/>
                    <w:left w:val="nil"/>
                    <w:bottom w:val="single" w:color="auto" w:sz="4" w:space="0"/>
                    <w:right w:val="single" w:color="auto" w:sz="4" w:space="0"/>
                  </w:tcBorders>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bCs/>
                      <w:i w:val="0"/>
                      <w:iCs w:val="0"/>
                      <w:szCs w:val="22"/>
                      <w:u w:val="none" w:color="auto"/>
                    </w:rPr>
                    <w:t>源翔二场厂界北侧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51</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41</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3" w:type="dxa"/>
                  <w:tcBorders>
                    <w:top w:val="single" w:color="auto" w:sz="4" w:space="0"/>
                    <w:left w:val="nil"/>
                    <w:bottom w:val="single" w:color="auto" w:sz="4" w:space="0"/>
                    <w:right w:val="single" w:color="auto" w:sz="4" w:space="0"/>
                  </w:tcBorders>
                  <w:vAlign w:val="top"/>
                </w:tcPr>
                <w:p>
                  <w:pPr>
                    <w:spacing w:line="240" w:lineRule="exact"/>
                    <w:jc w:val="center"/>
                    <w:rPr>
                      <w:rFonts w:hint="default" w:ascii="Times New Roman" w:hAnsi="Times New Roman" w:cs="Times New Roman"/>
                      <w:i w:val="0"/>
                      <w:iCs w:val="0"/>
                      <w:szCs w:val="21"/>
                      <w:u w:val="none" w:color="auto"/>
                    </w:rPr>
                  </w:pPr>
                  <w:r>
                    <w:rPr>
                      <w:rFonts w:hint="eastAsia" w:ascii="宋体" w:hAnsi="宋体" w:cs="宋体"/>
                      <w:bCs/>
                      <w:i w:val="0"/>
                      <w:iCs w:val="0"/>
                      <w:sz w:val="21"/>
                      <w:szCs w:val="21"/>
                      <w:u w:val="none" w:color="auto"/>
                    </w:rPr>
                    <w:t>孵化厂厂界东侧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50</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40</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3" w:type="dxa"/>
                  <w:tcBorders>
                    <w:top w:val="single" w:color="auto" w:sz="4" w:space="0"/>
                    <w:left w:val="nil"/>
                    <w:bottom w:val="single" w:color="auto" w:sz="4" w:space="0"/>
                    <w:right w:val="single" w:color="auto" w:sz="4" w:space="0"/>
                  </w:tcBorders>
                  <w:vAlign w:val="top"/>
                </w:tcPr>
                <w:p>
                  <w:pPr>
                    <w:spacing w:line="240" w:lineRule="exact"/>
                    <w:jc w:val="center"/>
                    <w:rPr>
                      <w:rFonts w:hint="default" w:ascii="Times New Roman" w:hAnsi="Times New Roman" w:cs="Times New Roman"/>
                      <w:i w:val="0"/>
                      <w:iCs w:val="0"/>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南</w:t>
                  </w:r>
                  <w:r>
                    <w:rPr>
                      <w:rFonts w:hint="eastAsia" w:ascii="宋体" w:hAnsi="宋体" w:cs="宋体"/>
                      <w:bCs/>
                      <w:i w:val="0"/>
                      <w:iCs w:val="0"/>
                      <w:sz w:val="21"/>
                      <w:szCs w:val="21"/>
                      <w:u w:val="none" w:color="auto"/>
                    </w:rPr>
                    <w:t>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48</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39</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3" w:type="dxa"/>
                  <w:tcBorders>
                    <w:top w:val="single" w:color="auto" w:sz="4" w:space="0"/>
                    <w:left w:val="nil"/>
                    <w:bottom w:val="single" w:color="auto" w:sz="4" w:space="0"/>
                    <w:right w:val="single" w:color="auto" w:sz="4" w:space="0"/>
                  </w:tcBorders>
                  <w:vAlign w:val="top"/>
                </w:tcPr>
                <w:p>
                  <w:pPr>
                    <w:spacing w:line="240" w:lineRule="exact"/>
                    <w:jc w:val="center"/>
                    <w:rPr>
                      <w:rFonts w:hint="default" w:ascii="Times New Roman" w:hAnsi="Times New Roman" w:cs="Times New Roman"/>
                      <w:i w:val="0"/>
                      <w:iCs w:val="0"/>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西</w:t>
                  </w:r>
                  <w:r>
                    <w:rPr>
                      <w:rFonts w:hint="eastAsia" w:ascii="宋体" w:hAnsi="宋体" w:cs="宋体"/>
                      <w:bCs/>
                      <w:i w:val="0"/>
                      <w:iCs w:val="0"/>
                      <w:sz w:val="21"/>
                      <w:szCs w:val="21"/>
                      <w:u w:val="none" w:color="auto"/>
                    </w:rPr>
                    <w:t>侧</w:t>
                  </w:r>
                </w:p>
              </w:tc>
              <w:tc>
                <w:tcPr>
                  <w:tcW w:w="0" w:type="auto"/>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49</w:t>
                  </w:r>
                </w:p>
              </w:tc>
              <w:tc>
                <w:tcPr>
                  <w:tcW w:w="679" w:type="pct"/>
                  <w:vMerge w:val="continue"/>
                  <w:tcBorders>
                    <w:left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41</w:t>
                  </w:r>
                </w:p>
              </w:tc>
              <w:tc>
                <w:tcPr>
                  <w:tcW w:w="601" w:type="pct"/>
                  <w:vMerge w:val="continue"/>
                  <w:tcBorders>
                    <w:left w:val="single" w:color="auto" w:sz="4"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3" w:type="dxa"/>
                  <w:tcBorders>
                    <w:top w:val="single" w:color="auto" w:sz="4" w:space="0"/>
                    <w:left w:val="nil"/>
                    <w:bottom w:val="single" w:color="auto" w:sz="12" w:space="0"/>
                    <w:right w:val="single" w:color="auto" w:sz="4" w:space="0"/>
                  </w:tcBorders>
                  <w:vAlign w:val="top"/>
                </w:tcPr>
                <w:p>
                  <w:pPr>
                    <w:spacing w:line="240" w:lineRule="exact"/>
                    <w:jc w:val="center"/>
                    <w:rPr>
                      <w:rFonts w:hint="default" w:ascii="Times New Roman" w:hAnsi="Times New Roman" w:cs="Times New Roman"/>
                      <w:i w:val="0"/>
                      <w:iCs w:val="0"/>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北</w:t>
                  </w:r>
                  <w:r>
                    <w:rPr>
                      <w:rFonts w:hint="eastAsia" w:ascii="宋体" w:hAnsi="宋体" w:cs="宋体"/>
                      <w:bCs/>
                      <w:i w:val="0"/>
                      <w:iCs w:val="0"/>
                      <w:sz w:val="21"/>
                      <w:szCs w:val="21"/>
                      <w:u w:val="none" w:color="auto"/>
                    </w:rPr>
                    <w:t>侧</w:t>
                  </w:r>
                </w:p>
              </w:tc>
              <w:tc>
                <w:tcPr>
                  <w:tcW w:w="0" w:type="auto"/>
                  <w:vMerge w:val="continue"/>
                  <w:tcBorders>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561" w:type="pct"/>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50</w:t>
                  </w:r>
                </w:p>
              </w:tc>
              <w:tc>
                <w:tcPr>
                  <w:tcW w:w="679" w:type="pct"/>
                  <w:vMerge w:val="continue"/>
                  <w:tcBorders>
                    <w:left w:val="single" w:color="auto" w:sz="4" w:space="0"/>
                    <w:bottom w:val="single" w:color="auto" w:sz="12"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p>
              </w:tc>
              <w:tc>
                <w:tcPr>
                  <w:tcW w:w="574" w:type="pct"/>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41</w:t>
                  </w:r>
                </w:p>
              </w:tc>
              <w:tc>
                <w:tcPr>
                  <w:tcW w:w="601" w:type="pct"/>
                  <w:vMerge w:val="continue"/>
                  <w:tcBorders>
                    <w:left w:val="single" w:color="auto" w:sz="4" w:space="0"/>
                    <w:bottom w:val="single" w:color="auto" w:sz="12" w:space="0"/>
                    <w:right w:val="nil"/>
                  </w:tcBorders>
                  <w:vAlign w:val="center"/>
                </w:tcPr>
                <w:p>
                  <w:pPr>
                    <w:spacing w:line="240" w:lineRule="exact"/>
                    <w:jc w:val="center"/>
                    <w:rPr>
                      <w:rFonts w:hint="default" w:ascii="Times New Roman" w:hAnsi="Times New Roman" w:cs="Times New Roman"/>
                      <w:i w:val="0"/>
                      <w:iCs w:val="0"/>
                      <w:szCs w:val="21"/>
                      <w:u w:val="none" w:color="auto"/>
                    </w:rPr>
                  </w:pPr>
                </w:p>
              </w:tc>
            </w:tr>
          </w:tbl>
          <w:p>
            <w:pPr>
              <w:snapToGrid w:val="0"/>
              <w:spacing w:line="360" w:lineRule="auto"/>
              <w:ind w:firstLine="480" w:firstLineChars="200"/>
              <w:rPr>
                <w:rFonts w:hint="default" w:ascii="Times New Roman" w:hAnsi="Times New Roman" w:cs="Times New Roman"/>
                <w:i w:val="0"/>
                <w:iCs w:val="0"/>
                <w:sz w:val="24"/>
                <w:u w:val="none" w:color="auto"/>
              </w:rPr>
            </w:pP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从监测结果上看，厂界声环境质量能够满足《声环境质量标准》（GB3096-2008）中1类标准要求，声环境质量较好。</w:t>
            </w:r>
          </w:p>
          <w:p>
            <w:pPr>
              <w:pStyle w:val="2"/>
              <w:rPr>
                <w:rFonts w:hint="default"/>
              </w:rPr>
            </w:pPr>
          </w:p>
          <w:p>
            <w:pPr>
              <w:pStyle w:val="6"/>
              <w:snapToGrid w:val="0"/>
              <w:spacing w:line="360" w:lineRule="auto"/>
              <w:ind w:firstLine="422"/>
              <w:rPr>
                <w:rFonts w:hint="default" w:ascii="Times New Roman" w:hAnsi="Times New Roman" w:cs="Times New Roman"/>
                <w:b/>
                <w:bCs/>
                <w:i w:val="0"/>
                <w:iCs w:val="0"/>
                <w:kern w:val="2"/>
                <w:szCs w:val="24"/>
                <w:u w:val="none" w:color="auto"/>
              </w:rPr>
            </w:pPr>
            <w:r>
              <w:rPr>
                <w:rFonts w:hint="default" w:ascii="Times New Roman" w:hAnsi="Times New Roman" w:cs="Times New Roman"/>
                <w:b/>
                <w:i w:val="0"/>
                <w:iCs w:val="0"/>
                <w:kern w:val="2"/>
                <w:szCs w:val="24"/>
                <w:u w:val="none" w:color="auto"/>
              </w:rPr>
              <w:t>4、地下水环境、</w:t>
            </w:r>
            <w:r>
              <w:rPr>
                <w:rFonts w:hint="default" w:ascii="Times New Roman" w:hAnsi="Times New Roman" w:cs="Times New Roman"/>
                <w:b/>
                <w:bCs/>
                <w:i w:val="0"/>
                <w:iCs w:val="0"/>
                <w:kern w:val="2"/>
                <w:szCs w:val="24"/>
                <w:u w:val="none" w:color="auto"/>
              </w:rPr>
              <w:t>土壤环境</w:t>
            </w:r>
          </w:p>
          <w:p>
            <w:pPr>
              <w:pStyle w:val="2"/>
              <w:spacing w:before="0" w:after="0" w:line="360" w:lineRule="auto"/>
              <w:ind w:right="0" w:firstLine="480" w:firstLineChars="200"/>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sz w:val="24"/>
                <w:u w:val="none" w:color="auto"/>
              </w:rPr>
              <w:t>依据《建设项目环境影响报告表（污染影响型）编写指南》，对于报告表地下水及土壤环境原则上不开展环境质量现状调查。建设项目存在土壤、地下水环境污染途径的，应结合污染源、保护目标分布情况开展现状调查以留作背景值。经过现场勘查得出，本项目利用现有区域进行技术改造，项目未有污染土壤及地下水的污染源，故未对土壤及地下水进行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环境</w:t>
            </w:r>
          </w:p>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保护</w:t>
            </w:r>
          </w:p>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目标</w:t>
            </w:r>
          </w:p>
        </w:tc>
        <w:tc>
          <w:tcPr>
            <w:tcW w:w="4566" w:type="pct"/>
            <w:vAlign w:val="center"/>
          </w:tcPr>
          <w:p>
            <w:pPr>
              <w:pStyle w:val="2"/>
              <w:spacing w:before="0" w:after="0" w:line="360" w:lineRule="auto"/>
              <w:ind w:right="0"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周边50m范围内不存在声环境保护目标，500米范围内不存在地下水集中式饮用水水源和热水、矿泉水、温泉等特殊地下水资源等地下水环境保护目标，500米范围内不存在自然保护区、风景名胜区、居住区、文化区和农村地区中人群较集中的区域等大气环境保护目标。</w:t>
            </w:r>
          </w:p>
          <w:p>
            <w:pPr>
              <w:snapToGrid w:val="0"/>
              <w:jc w:val="center"/>
              <w:rPr>
                <w:rFonts w:hint="default" w:ascii="Times New Roman" w:hAnsi="Times New Roman" w:cs="Times New Roman"/>
                <w:b/>
                <w:i w:val="0"/>
                <w:iCs w:val="0"/>
                <w:kern w:val="0"/>
                <w:sz w:val="24"/>
                <w:szCs w:val="24"/>
                <w:u w:val="none" w:color="auto"/>
                <w:lang w:val="zh-CN"/>
              </w:rPr>
            </w:pPr>
            <w:r>
              <w:rPr>
                <w:rFonts w:hint="default" w:ascii="Times New Roman" w:hAnsi="Times New Roman" w:cs="Times New Roman"/>
                <w:b/>
                <w:i w:val="0"/>
                <w:iCs w:val="0"/>
                <w:kern w:val="0"/>
                <w:sz w:val="24"/>
                <w:szCs w:val="24"/>
                <w:u w:val="none" w:color="auto"/>
                <w:lang w:val="zh-CN"/>
              </w:rPr>
              <w:t>表</w:t>
            </w:r>
            <w:r>
              <w:rPr>
                <w:rFonts w:hint="eastAsia" w:ascii="Times New Roman" w:hAnsi="Times New Roman" w:cs="Times New Roman"/>
                <w:b/>
                <w:i w:val="0"/>
                <w:iCs w:val="0"/>
                <w:kern w:val="0"/>
                <w:sz w:val="24"/>
                <w:szCs w:val="24"/>
                <w:u w:val="none" w:color="auto"/>
                <w:lang w:val="en-US" w:eastAsia="zh-CN"/>
              </w:rPr>
              <w:t>1</w:t>
            </w:r>
            <w:r>
              <w:rPr>
                <w:rFonts w:hint="default" w:ascii="Times New Roman" w:hAnsi="Times New Roman" w:cs="Times New Roman"/>
                <w:b/>
                <w:i w:val="0"/>
                <w:iCs w:val="0"/>
                <w:kern w:val="0"/>
                <w:sz w:val="24"/>
                <w:szCs w:val="24"/>
                <w:u w:val="none" w:color="auto"/>
              </w:rPr>
              <w:t>3</w:t>
            </w:r>
            <w:r>
              <w:rPr>
                <w:rFonts w:hint="default" w:ascii="Times New Roman" w:hAnsi="Times New Roman" w:cs="Times New Roman"/>
                <w:b/>
                <w:i w:val="0"/>
                <w:iCs w:val="0"/>
                <w:kern w:val="0"/>
                <w:sz w:val="24"/>
                <w:szCs w:val="24"/>
                <w:u w:val="none" w:color="auto"/>
                <w:lang w:val="zh-CN"/>
              </w:rPr>
              <w:t xml:space="preserve"> </w:t>
            </w:r>
            <w:r>
              <w:rPr>
                <w:rFonts w:hint="default" w:ascii="Times New Roman" w:hAnsi="Times New Roman" w:cs="Times New Roman"/>
                <w:b/>
                <w:i w:val="0"/>
                <w:iCs w:val="0"/>
                <w:kern w:val="0"/>
                <w:sz w:val="24"/>
                <w:szCs w:val="24"/>
                <w:u w:val="none" w:color="auto"/>
              </w:rPr>
              <w:t xml:space="preserve"> </w:t>
            </w:r>
            <w:r>
              <w:rPr>
                <w:rFonts w:hint="default" w:ascii="Times New Roman" w:hAnsi="Times New Roman" w:cs="Times New Roman"/>
                <w:b/>
                <w:i w:val="0"/>
                <w:iCs w:val="0"/>
                <w:kern w:val="0"/>
                <w:sz w:val="24"/>
                <w:szCs w:val="24"/>
                <w:u w:val="none" w:color="auto"/>
                <w:lang w:val="zh-CN"/>
              </w:rPr>
              <w:t xml:space="preserve"> 环境空气保护目标一览表</w:t>
            </w:r>
          </w:p>
          <w:tbl>
            <w:tblPr>
              <w:tblStyle w:val="18"/>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763"/>
              <w:gridCol w:w="765"/>
              <w:gridCol w:w="804"/>
              <w:gridCol w:w="725"/>
              <w:gridCol w:w="781"/>
              <w:gridCol w:w="1226"/>
              <w:gridCol w:w="858"/>
              <w:gridCol w:w="107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01" w:type="pct"/>
                  <w:vMerge w:val="restart"/>
                  <w:tcBorders>
                    <w:top w:val="single" w:color="000000" w:sz="12" w:space="0"/>
                    <w:left w:val="nil"/>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lang w:val="zh-CN"/>
                    </w:rPr>
                  </w:pPr>
                  <w:r>
                    <w:rPr>
                      <w:rFonts w:hint="default" w:ascii="Times New Roman" w:hAnsi="Times New Roman" w:cs="Times New Roman"/>
                      <w:i w:val="0"/>
                      <w:iCs w:val="0"/>
                      <w:kern w:val="2"/>
                      <w:sz w:val="21"/>
                      <w:u w:val="none" w:color="auto"/>
                      <w:lang w:val="zh-CN" w:bidi="ar"/>
                    </w:rPr>
                    <w:t>名称</w:t>
                  </w:r>
                </w:p>
              </w:tc>
              <w:tc>
                <w:tcPr>
                  <w:tcW w:w="980" w:type="pct"/>
                  <w:gridSpan w:val="2"/>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rPr>
                  </w:pPr>
                  <w:r>
                    <w:rPr>
                      <w:rFonts w:hint="default" w:ascii="Times New Roman" w:hAnsi="Times New Roman" w:cs="Times New Roman"/>
                      <w:i w:val="0"/>
                      <w:iCs w:val="0"/>
                      <w:kern w:val="2"/>
                      <w:sz w:val="21"/>
                      <w:u w:val="none" w:color="auto"/>
                      <w:lang w:val="zh-CN" w:bidi="ar"/>
                    </w:rPr>
                    <w:t>坐标</w:t>
                  </w:r>
                  <w:r>
                    <w:rPr>
                      <w:rFonts w:hint="default" w:ascii="Times New Roman" w:hAnsi="Times New Roman" w:cs="Times New Roman"/>
                      <w:i w:val="0"/>
                      <w:iCs w:val="0"/>
                      <w:kern w:val="2"/>
                      <w:sz w:val="21"/>
                      <w:u w:val="none" w:color="auto"/>
                      <w:lang w:bidi="ar"/>
                    </w:rPr>
                    <w:t>/m</w:t>
                  </w:r>
                </w:p>
              </w:tc>
              <w:tc>
                <w:tcPr>
                  <w:tcW w:w="453" w:type="pct"/>
                  <w:vMerge w:val="restart"/>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val="zh-CN" w:bidi="ar"/>
                    </w:rPr>
                  </w:pPr>
                  <w:r>
                    <w:rPr>
                      <w:rFonts w:hint="default" w:ascii="Times New Roman" w:hAnsi="Times New Roman" w:cs="Times New Roman"/>
                      <w:i w:val="0"/>
                      <w:iCs w:val="0"/>
                      <w:kern w:val="2"/>
                      <w:sz w:val="21"/>
                      <w:u w:val="none" w:color="auto"/>
                      <w:lang w:val="zh-CN" w:bidi="ar"/>
                    </w:rPr>
                    <w:t>保护</w:t>
                  </w:r>
                </w:p>
                <w:p>
                  <w:pPr>
                    <w:pStyle w:val="16"/>
                    <w:widowControl w:val="0"/>
                    <w:spacing w:before="0" w:beforeAutospacing="0" w:after="0" w:afterAutospacing="0"/>
                    <w:jc w:val="center"/>
                    <w:rPr>
                      <w:rFonts w:hint="default" w:ascii="Times New Roman" w:hAnsi="Times New Roman" w:cs="Times New Roman"/>
                      <w:i w:val="0"/>
                      <w:iCs w:val="0"/>
                      <w:u w:val="none" w:color="auto"/>
                      <w:lang w:val="zh-CN"/>
                    </w:rPr>
                  </w:pPr>
                  <w:r>
                    <w:rPr>
                      <w:rFonts w:hint="default" w:ascii="Times New Roman" w:hAnsi="Times New Roman" w:cs="Times New Roman"/>
                      <w:i w:val="0"/>
                      <w:iCs w:val="0"/>
                      <w:kern w:val="2"/>
                      <w:sz w:val="21"/>
                      <w:u w:val="none" w:color="auto"/>
                      <w:lang w:val="zh-CN" w:bidi="ar"/>
                    </w:rPr>
                    <w:t>对象</w:t>
                  </w:r>
                </w:p>
              </w:tc>
              <w:tc>
                <w:tcPr>
                  <w:tcW w:w="488" w:type="pct"/>
                  <w:vMerge w:val="restart"/>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val="zh-CN" w:bidi="ar"/>
                    </w:rPr>
                  </w:pPr>
                  <w:r>
                    <w:rPr>
                      <w:rFonts w:hint="default" w:ascii="Times New Roman" w:hAnsi="Times New Roman" w:cs="Times New Roman"/>
                      <w:i w:val="0"/>
                      <w:iCs w:val="0"/>
                      <w:kern w:val="2"/>
                      <w:sz w:val="21"/>
                      <w:u w:val="none" w:color="auto"/>
                      <w:lang w:val="zh-CN" w:bidi="ar"/>
                    </w:rPr>
                    <w:t>保护</w:t>
                  </w:r>
                </w:p>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val="zh-CN" w:bidi="ar"/>
                    </w:rPr>
                  </w:pPr>
                  <w:r>
                    <w:rPr>
                      <w:rFonts w:hint="default" w:ascii="Times New Roman" w:hAnsi="Times New Roman" w:cs="Times New Roman"/>
                      <w:i w:val="0"/>
                      <w:iCs w:val="0"/>
                      <w:kern w:val="2"/>
                      <w:sz w:val="21"/>
                      <w:u w:val="none" w:color="auto"/>
                      <w:lang w:val="zh-CN" w:bidi="ar"/>
                    </w:rPr>
                    <w:t>内容</w:t>
                  </w:r>
                </w:p>
              </w:tc>
              <w:tc>
                <w:tcPr>
                  <w:tcW w:w="766" w:type="pct"/>
                  <w:vMerge w:val="restart"/>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lang w:val="zh-CN"/>
                    </w:rPr>
                  </w:pPr>
                  <w:r>
                    <w:rPr>
                      <w:rFonts w:hint="default" w:ascii="Times New Roman" w:hAnsi="Times New Roman" w:cs="Times New Roman"/>
                      <w:i w:val="0"/>
                      <w:iCs w:val="0"/>
                      <w:kern w:val="2"/>
                      <w:sz w:val="21"/>
                      <w:u w:val="none" w:color="auto"/>
                      <w:lang w:val="zh-CN" w:bidi="ar"/>
                    </w:rPr>
                    <w:t>环境功能区</w:t>
                  </w:r>
                </w:p>
              </w:tc>
              <w:tc>
                <w:tcPr>
                  <w:tcW w:w="536" w:type="pct"/>
                  <w:vMerge w:val="restart"/>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lang w:val="zh-CN"/>
                    </w:rPr>
                  </w:pPr>
                  <w:r>
                    <w:rPr>
                      <w:rFonts w:hint="default" w:ascii="Times New Roman" w:hAnsi="Times New Roman" w:cs="Times New Roman"/>
                      <w:i w:val="0"/>
                      <w:iCs w:val="0"/>
                      <w:kern w:val="2"/>
                      <w:sz w:val="21"/>
                      <w:u w:val="none" w:color="auto"/>
                      <w:lang w:val="zh-CN" w:bidi="ar"/>
                    </w:rPr>
                    <w:t>相对厂址方位</w:t>
                  </w:r>
                </w:p>
              </w:tc>
              <w:tc>
                <w:tcPr>
                  <w:tcW w:w="673" w:type="pct"/>
                  <w:vMerge w:val="restart"/>
                  <w:tcBorders>
                    <w:top w:val="single" w:color="000000" w:sz="12" w:space="0"/>
                    <w:left w:val="single" w:color="000000" w:sz="4" w:space="0"/>
                    <w:bottom w:val="single" w:color="000000" w:sz="4" w:space="0"/>
                    <w:right w:val="nil"/>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rPr>
                  </w:pPr>
                  <w:r>
                    <w:rPr>
                      <w:rFonts w:hint="default" w:ascii="Times New Roman" w:hAnsi="Times New Roman" w:cs="Times New Roman"/>
                      <w:i w:val="0"/>
                      <w:iCs w:val="0"/>
                      <w:kern w:val="2"/>
                      <w:sz w:val="21"/>
                      <w:u w:val="none" w:color="auto"/>
                      <w:lang w:val="zh-CN" w:bidi="ar"/>
                    </w:rPr>
                    <w:t>相对厂界距离</w:t>
                  </w:r>
                  <w:r>
                    <w:rPr>
                      <w:rFonts w:hint="default" w:ascii="Times New Roman" w:hAnsi="Times New Roman" w:cs="Times New Roman"/>
                      <w:i w:val="0"/>
                      <w:iCs w:val="0"/>
                      <w:kern w:val="2"/>
                      <w:sz w:val="21"/>
                      <w:u w:val="none" w:color="auto"/>
                      <w:lang w:bidi="ar"/>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000000" w:sz="12" w:space="0"/>
                    <w:left w:val="nil"/>
                    <w:bottom w:val="single" w:color="000000" w:sz="4" w:space="0"/>
                    <w:right w:val="single" w:color="000000" w:sz="4" w:space="0"/>
                  </w:tcBorders>
                  <w:vAlign w:val="center"/>
                </w:tcPr>
                <w:p>
                  <w:pPr>
                    <w:widowControl/>
                    <w:jc w:val="left"/>
                    <w:rPr>
                      <w:rFonts w:hint="default" w:ascii="Times New Roman" w:hAnsi="Times New Roman" w:cs="Times New Roman"/>
                      <w:i w:val="0"/>
                      <w:iCs w:val="0"/>
                      <w:kern w:val="0"/>
                      <w:sz w:val="24"/>
                      <w:szCs w:val="20"/>
                      <w:u w:val="none" w:color="auto"/>
                      <w:lang w:val="zh-CN"/>
                    </w:rPr>
                  </w:pPr>
                </w:p>
              </w:tc>
              <w:tc>
                <w:tcPr>
                  <w:tcW w:w="47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rPr>
                  </w:pPr>
                  <w:r>
                    <w:rPr>
                      <w:rFonts w:hint="default" w:ascii="Times New Roman" w:hAnsi="Times New Roman" w:cs="Times New Roman"/>
                      <w:i w:val="0"/>
                      <w:iCs w:val="0"/>
                      <w:kern w:val="2"/>
                      <w:sz w:val="21"/>
                      <w:u w:val="none" w:color="auto"/>
                      <w:lang w:bidi="ar"/>
                    </w:rPr>
                    <w:t>X</w:t>
                  </w:r>
                </w:p>
              </w:tc>
              <w:tc>
                <w:tcPr>
                  <w:tcW w:w="5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rPr>
                  </w:pPr>
                  <w:r>
                    <w:rPr>
                      <w:rFonts w:hint="default" w:ascii="Times New Roman" w:hAnsi="Times New Roman" w:cs="Times New Roman"/>
                      <w:i w:val="0"/>
                      <w:iCs w:val="0"/>
                      <w:kern w:val="2"/>
                      <w:sz w:val="21"/>
                      <w:u w:val="none" w:color="auto"/>
                      <w:lang w:bidi="ar"/>
                    </w:rPr>
                    <w:t>Y</w:t>
                  </w:r>
                </w:p>
              </w:tc>
              <w:tc>
                <w:tcPr>
                  <w:tcW w:w="0" w:type="auto"/>
                  <w:vMerge w:val="continue"/>
                  <w:tcBorders>
                    <w:top w:val="single" w:color="000000" w:sz="12"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i w:val="0"/>
                      <w:iCs w:val="0"/>
                      <w:kern w:val="0"/>
                      <w:sz w:val="24"/>
                      <w:szCs w:val="20"/>
                      <w:u w:val="none" w:color="auto"/>
                      <w:lang w:val="zh-CN"/>
                    </w:rPr>
                  </w:pPr>
                </w:p>
              </w:tc>
              <w:tc>
                <w:tcPr>
                  <w:tcW w:w="0" w:type="auto"/>
                  <w:vMerge w:val="continue"/>
                  <w:tcBorders>
                    <w:top w:val="single" w:color="000000" w:sz="12"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i w:val="0"/>
                      <w:iCs w:val="0"/>
                      <w:szCs w:val="20"/>
                      <w:u w:val="none" w:color="auto"/>
                      <w:lang w:val="zh-CN" w:bidi="ar"/>
                    </w:rPr>
                  </w:pPr>
                </w:p>
              </w:tc>
              <w:tc>
                <w:tcPr>
                  <w:tcW w:w="0" w:type="auto"/>
                  <w:vMerge w:val="continue"/>
                  <w:tcBorders>
                    <w:top w:val="single" w:color="000000" w:sz="12"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i w:val="0"/>
                      <w:iCs w:val="0"/>
                      <w:kern w:val="0"/>
                      <w:sz w:val="24"/>
                      <w:szCs w:val="20"/>
                      <w:u w:val="none" w:color="auto"/>
                      <w:lang w:val="zh-CN"/>
                    </w:rPr>
                  </w:pPr>
                </w:p>
              </w:tc>
              <w:tc>
                <w:tcPr>
                  <w:tcW w:w="0" w:type="auto"/>
                  <w:vMerge w:val="continue"/>
                  <w:tcBorders>
                    <w:top w:val="single" w:color="000000" w:sz="12"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i w:val="0"/>
                      <w:iCs w:val="0"/>
                      <w:kern w:val="0"/>
                      <w:sz w:val="24"/>
                      <w:szCs w:val="20"/>
                      <w:u w:val="none" w:color="auto"/>
                      <w:lang w:val="zh-CN"/>
                    </w:rPr>
                  </w:pPr>
                </w:p>
              </w:tc>
              <w:tc>
                <w:tcPr>
                  <w:tcW w:w="0" w:type="auto"/>
                  <w:vMerge w:val="continue"/>
                  <w:tcBorders>
                    <w:top w:val="single" w:color="000000" w:sz="12" w:space="0"/>
                    <w:left w:val="single" w:color="000000" w:sz="4" w:space="0"/>
                    <w:bottom w:val="single" w:color="000000" w:sz="4" w:space="0"/>
                    <w:right w:val="nil"/>
                  </w:tcBorders>
                  <w:vAlign w:val="center"/>
                </w:tcPr>
                <w:p>
                  <w:pPr>
                    <w:widowControl/>
                    <w:jc w:val="left"/>
                    <w:rPr>
                      <w:rFonts w:hint="default" w:ascii="Times New Roman" w:hAnsi="Times New Roman" w:cs="Times New Roman"/>
                      <w:i w:val="0"/>
                      <w:iCs w:val="0"/>
                      <w:kern w:val="0"/>
                      <w:sz w:val="24"/>
                      <w:szCs w:val="20"/>
                      <w:u w:val="none" w:color="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01" w:type="pct"/>
                  <w:vMerge w:val="restart"/>
                  <w:tcBorders>
                    <w:top w:val="single" w:color="000000" w:sz="4" w:space="0"/>
                    <w:left w:val="nil"/>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r>
                    <w:rPr>
                      <w:rFonts w:hint="default" w:ascii="Times New Roman" w:hAnsi="Times New Roman" w:cs="Times New Roman"/>
                      <w:i w:val="0"/>
                      <w:iCs w:val="0"/>
                      <w:kern w:val="2"/>
                      <w:sz w:val="21"/>
                      <w:u w:val="none" w:color="auto"/>
                      <w:lang w:bidi="ar"/>
                    </w:rPr>
                    <w:t>立新村居民</w:t>
                  </w:r>
                </w:p>
              </w:tc>
              <w:tc>
                <w:tcPr>
                  <w:tcW w:w="47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470</w:t>
                  </w:r>
                </w:p>
              </w:tc>
              <w:tc>
                <w:tcPr>
                  <w:tcW w:w="5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250</w:t>
                  </w:r>
                </w:p>
              </w:tc>
              <w:tc>
                <w:tcPr>
                  <w:tcW w:w="453" w:type="pct"/>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u w:val="none" w:color="auto"/>
                    </w:rPr>
                  </w:pPr>
                  <w:r>
                    <w:rPr>
                      <w:rFonts w:hint="default" w:ascii="Times New Roman" w:hAnsi="Times New Roman" w:cs="Times New Roman"/>
                      <w:i w:val="0"/>
                      <w:iCs w:val="0"/>
                      <w:kern w:val="2"/>
                      <w:sz w:val="21"/>
                      <w:u w:val="none" w:color="auto"/>
                      <w:lang w:bidi="ar"/>
                    </w:rPr>
                    <w:t>居民区</w:t>
                  </w:r>
                </w:p>
              </w:tc>
              <w:tc>
                <w:tcPr>
                  <w:tcW w:w="4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r>
                    <w:rPr>
                      <w:rFonts w:hint="default" w:ascii="Times New Roman" w:hAnsi="Times New Roman" w:cs="Times New Roman"/>
                      <w:i w:val="0"/>
                      <w:iCs w:val="0"/>
                      <w:kern w:val="2"/>
                      <w:sz w:val="21"/>
                      <w:u w:val="none" w:color="auto"/>
                      <w:lang w:bidi="ar"/>
                    </w:rPr>
                    <w:t>90户，270人</w:t>
                  </w:r>
                </w:p>
              </w:tc>
              <w:tc>
                <w:tcPr>
                  <w:tcW w:w="766" w:type="pct"/>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hint="default" w:ascii="Times New Roman" w:hAnsi="Times New Roman" w:cs="Times New Roman"/>
                      <w:i w:val="0"/>
                      <w:iCs w:val="0"/>
                      <w:u w:val="none" w:color="auto"/>
                    </w:rPr>
                  </w:pPr>
                  <w:r>
                    <w:rPr>
                      <w:rFonts w:hint="default" w:ascii="Times New Roman" w:hAnsi="Times New Roman" w:cs="Times New Roman"/>
                      <w:i w:val="0"/>
                      <w:iCs w:val="0"/>
                      <w:szCs w:val="21"/>
                      <w:u w:val="none" w:color="auto"/>
                      <w:lang w:bidi="ar"/>
                    </w:rPr>
                    <w:t>GB3095-2012《环境空气质量标准》二类区</w:t>
                  </w:r>
                </w:p>
              </w:tc>
              <w:tc>
                <w:tcPr>
                  <w:tcW w:w="536"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r>
                    <w:rPr>
                      <w:rFonts w:hint="default" w:ascii="Times New Roman" w:hAnsi="Times New Roman" w:cs="Times New Roman"/>
                      <w:i w:val="0"/>
                      <w:iCs w:val="0"/>
                      <w:kern w:val="2"/>
                      <w:sz w:val="21"/>
                      <w:u w:val="none" w:color="auto"/>
                      <w:lang w:bidi="ar"/>
                    </w:rPr>
                    <w:t>东北侧</w:t>
                  </w:r>
                </w:p>
              </w:tc>
              <w:tc>
                <w:tcPr>
                  <w:tcW w:w="673" w:type="pct"/>
                  <w:tcBorders>
                    <w:top w:val="single" w:color="000000" w:sz="4" w:space="0"/>
                    <w:left w:val="single" w:color="000000" w:sz="4" w:space="0"/>
                    <w:bottom w:val="single" w:color="000000" w:sz="4" w:space="0"/>
                    <w:right w:val="nil"/>
                  </w:tcBorders>
                  <w:tcMar>
                    <w:top w:w="0" w:type="dxa"/>
                    <w:left w:w="0" w:type="dxa"/>
                    <w:bottom w:w="0" w:type="dxa"/>
                    <w:right w:w="0" w:type="dxa"/>
                  </w:tcMar>
                  <w:vAlign w:val="center"/>
                </w:tcPr>
                <w:p>
                  <w:pPr>
                    <w:pStyle w:val="16"/>
                    <w:widowControl w:val="0"/>
                    <w:spacing w:before="0" w:beforeAutospacing="0" w:after="0" w:afterAutospacing="0"/>
                    <w:ind w:firstLine="420" w:firstLineChars="200"/>
                    <w:jc w:val="both"/>
                    <w:rPr>
                      <w:rFonts w:hint="default" w:ascii="Times New Roman" w:hAnsi="Times New Roman" w:eastAsia="宋体" w:cs="Times New Roman"/>
                      <w:i w:val="0"/>
                      <w:iCs w:val="0"/>
                      <w:kern w:val="2"/>
                      <w:sz w:val="21"/>
                      <w:u w:val="none" w:color="auto"/>
                      <w:lang w:val="en-US" w:eastAsia="zh-CN" w:bidi="ar"/>
                    </w:rPr>
                  </w:pPr>
                  <w:r>
                    <w:rPr>
                      <w:rFonts w:hint="eastAsia" w:ascii="Times New Roman" w:hAnsi="Times New Roman" w:cs="Times New Roman"/>
                      <w:i w:val="0"/>
                      <w:iCs w:val="0"/>
                      <w:kern w:val="2"/>
                      <w:sz w:val="21"/>
                      <w:u w:val="none" w:color="auto"/>
                      <w:lang w:val="en-US" w:eastAsia="zh-CN" w:bidi="ar"/>
                    </w:rPr>
                    <w:t>286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01" w:type="pct"/>
                  <w:vMerge w:val="continue"/>
                  <w:tcBorders>
                    <w:left w:val="nil"/>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p>
              </w:tc>
              <w:tc>
                <w:tcPr>
                  <w:tcW w:w="47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485</w:t>
                  </w:r>
                </w:p>
              </w:tc>
              <w:tc>
                <w:tcPr>
                  <w:tcW w:w="5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70</w:t>
                  </w:r>
                </w:p>
              </w:tc>
              <w:tc>
                <w:tcPr>
                  <w:tcW w:w="453" w:type="pct"/>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p>
              </w:tc>
              <w:tc>
                <w:tcPr>
                  <w:tcW w:w="48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eastAsia="宋体" w:cs="Times New Roman"/>
                      <w:i w:val="0"/>
                      <w:iCs w:val="0"/>
                      <w:kern w:val="2"/>
                      <w:sz w:val="21"/>
                      <w:u w:val="none" w:color="auto"/>
                      <w:lang w:val="en-US" w:eastAsia="zh-CN" w:bidi="ar"/>
                    </w:rPr>
                  </w:pPr>
                  <w:r>
                    <w:rPr>
                      <w:rFonts w:hint="eastAsia" w:ascii="Times New Roman" w:hAnsi="Times New Roman" w:cs="Times New Roman"/>
                      <w:i w:val="0"/>
                      <w:iCs w:val="0"/>
                      <w:kern w:val="2"/>
                      <w:sz w:val="21"/>
                      <w:u w:val="none" w:color="auto"/>
                      <w:lang w:val="en-US" w:eastAsia="zh-CN" w:bidi="ar"/>
                    </w:rPr>
                    <w:t>50户150人</w:t>
                  </w:r>
                </w:p>
              </w:tc>
              <w:tc>
                <w:tcPr>
                  <w:tcW w:w="766" w:type="pct"/>
                  <w:vMerge w:val="continue"/>
                  <w:tcBorders>
                    <w:left w:val="single" w:color="000000" w:sz="4" w:space="0"/>
                    <w:bottom w:val="single" w:color="000000" w:sz="12" w:space="0"/>
                    <w:right w:val="single" w:color="000000" w:sz="4" w:space="0"/>
                  </w:tcBorders>
                  <w:tcMar>
                    <w:top w:w="0" w:type="dxa"/>
                    <w:left w:w="0" w:type="dxa"/>
                    <w:bottom w:w="0" w:type="dxa"/>
                    <w:right w:w="0" w:type="dxa"/>
                  </w:tcMar>
                  <w:vAlign w:val="center"/>
                </w:tcPr>
                <w:p>
                  <w:pPr>
                    <w:jc w:val="center"/>
                    <w:rPr>
                      <w:rFonts w:hint="default" w:ascii="Times New Roman" w:hAnsi="Times New Roman" w:cs="Times New Roman"/>
                      <w:i w:val="0"/>
                      <w:iCs w:val="0"/>
                      <w:szCs w:val="21"/>
                      <w:u w:val="none" w:color="auto"/>
                      <w:lang w:bidi="ar"/>
                    </w:rPr>
                  </w:pPr>
                </w:p>
              </w:tc>
              <w:tc>
                <w:tcPr>
                  <w:tcW w:w="536"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6"/>
                    <w:widowControl w:val="0"/>
                    <w:spacing w:before="0" w:beforeAutospacing="0" w:after="0" w:afterAutospacing="0"/>
                    <w:jc w:val="center"/>
                    <w:rPr>
                      <w:rFonts w:hint="default" w:ascii="Times New Roman" w:hAnsi="Times New Roman" w:cs="Times New Roman"/>
                      <w:i w:val="0"/>
                      <w:iCs w:val="0"/>
                      <w:kern w:val="2"/>
                      <w:sz w:val="21"/>
                      <w:u w:val="none" w:color="auto"/>
                      <w:lang w:bidi="ar"/>
                    </w:rPr>
                  </w:pPr>
                  <w:r>
                    <w:rPr>
                      <w:rFonts w:hint="default" w:ascii="Times New Roman" w:hAnsi="Times New Roman" w:cs="Times New Roman"/>
                      <w:i w:val="0"/>
                      <w:iCs w:val="0"/>
                      <w:kern w:val="2"/>
                      <w:sz w:val="21"/>
                      <w:u w:val="none" w:color="auto"/>
                      <w:lang w:bidi="ar"/>
                    </w:rPr>
                    <w:t>东北侧</w:t>
                  </w:r>
                </w:p>
              </w:tc>
              <w:tc>
                <w:tcPr>
                  <w:tcW w:w="673" w:type="pct"/>
                  <w:tcBorders>
                    <w:top w:val="single" w:color="000000" w:sz="4" w:space="0"/>
                    <w:left w:val="single" w:color="000000" w:sz="4" w:space="0"/>
                    <w:bottom w:val="single" w:color="000000" w:sz="4" w:space="0"/>
                    <w:right w:val="nil"/>
                  </w:tcBorders>
                  <w:tcMar>
                    <w:top w:w="0" w:type="dxa"/>
                    <w:left w:w="0" w:type="dxa"/>
                    <w:bottom w:w="0" w:type="dxa"/>
                    <w:right w:w="0" w:type="dxa"/>
                  </w:tcMar>
                  <w:vAlign w:val="center"/>
                </w:tcPr>
                <w:p>
                  <w:pPr>
                    <w:pStyle w:val="16"/>
                    <w:widowControl w:val="0"/>
                    <w:spacing w:before="0" w:beforeAutospacing="0" w:after="0" w:afterAutospacing="0"/>
                    <w:ind w:firstLine="420" w:firstLineChars="200"/>
                    <w:jc w:val="both"/>
                    <w:rPr>
                      <w:rFonts w:hint="default" w:ascii="Times New Roman" w:hAnsi="Times New Roman" w:cs="Times New Roman"/>
                      <w:i w:val="0"/>
                      <w:iCs w:val="0"/>
                      <w:kern w:val="2"/>
                      <w:sz w:val="21"/>
                      <w:u w:val="none" w:color="auto"/>
                      <w:lang w:val="en-US" w:eastAsia="zh-CN" w:bidi="ar"/>
                    </w:rPr>
                  </w:pPr>
                  <w:r>
                    <w:rPr>
                      <w:rFonts w:hint="eastAsia" w:ascii="Times New Roman" w:hAnsi="Times New Roman" w:cs="Times New Roman"/>
                      <w:i w:val="0"/>
                      <w:iCs w:val="0"/>
                      <w:kern w:val="2"/>
                      <w:sz w:val="21"/>
                      <w:u w:val="none" w:color="auto"/>
                      <w:lang w:val="en-US" w:eastAsia="zh-CN" w:bidi="ar"/>
                    </w:rPr>
                    <w:t>346</w:t>
                  </w:r>
                </w:p>
              </w:tc>
            </w:tr>
          </w:tbl>
          <w:p>
            <w:pPr>
              <w:pStyle w:val="2"/>
              <w:spacing w:before="0" w:after="0" w:line="360" w:lineRule="auto"/>
              <w:ind w:right="0" w:firstLine="360" w:firstLineChars="200"/>
              <w:rPr>
                <w:rFonts w:hint="default" w:ascii="Times New Roman" w:hAnsi="Times New Roman" w:cs="Times New Roman"/>
                <w:i w:val="0"/>
                <w:iCs w:val="0"/>
                <w:color w:val="000000" w:themeColor="text1"/>
                <w:kern w:val="21"/>
                <w:szCs w:val="21"/>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Mar>
              <w:left w:w="28" w:type="dxa"/>
              <w:right w:w="28" w:type="dxa"/>
            </w:tcMar>
            <w:vAlign w:val="center"/>
          </w:tcPr>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污染</w:t>
            </w:r>
          </w:p>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物排</w:t>
            </w:r>
          </w:p>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放控</w:t>
            </w:r>
          </w:p>
          <w:p>
            <w:pPr>
              <w:adjustRightInd w:val="0"/>
              <w:snapToGrid w:val="0"/>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制标</w:t>
            </w:r>
          </w:p>
          <w:p>
            <w:pPr>
              <w:adjustRightInd w:val="0"/>
              <w:snapToGrid w:val="0"/>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准</w:t>
            </w:r>
          </w:p>
        </w:tc>
        <w:tc>
          <w:tcPr>
            <w:tcW w:w="4566" w:type="pct"/>
            <w:vAlign w:val="center"/>
          </w:tcPr>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1.废水</w:t>
            </w:r>
          </w:p>
          <w:p>
            <w:pPr>
              <w:pStyle w:val="2"/>
              <w:spacing w:before="0" w:after="0" w:line="360" w:lineRule="auto"/>
              <w:ind w:right="0" w:firstLine="480" w:firstLineChars="200"/>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项目产生的软化水排水用于白山市江源区祖代鸡一厂、祖代鸡二厂及祖代鸡雏厂灰渣降尘，锅炉排水排入各厂区防渗化粪池内（150m</w:t>
            </w:r>
            <w:r>
              <w:rPr>
                <w:rFonts w:hint="default" w:ascii="Times New Roman" w:hAnsi="Times New Roman" w:eastAsia="宋体" w:cs="Times New Roman"/>
                <w:i w:val="0"/>
                <w:iCs w:val="0"/>
                <w:sz w:val="24"/>
                <w:szCs w:val="24"/>
                <w:u w:val="none" w:color="auto"/>
                <w:vertAlign w:val="superscript"/>
                <w:lang w:val="en-US" w:eastAsia="zh-CN"/>
              </w:rPr>
              <w:t>3</w:t>
            </w:r>
            <w:r>
              <w:rPr>
                <w:rFonts w:hint="default" w:ascii="Times New Roman" w:hAnsi="Times New Roman" w:eastAsia="宋体" w:cs="Times New Roman"/>
                <w:i w:val="0"/>
                <w:iCs w:val="0"/>
                <w:sz w:val="24"/>
                <w:szCs w:val="24"/>
                <w:u w:val="none" w:color="auto"/>
                <w:lang w:val="en-US" w:eastAsia="zh-CN"/>
              </w:rPr>
              <w:t>），</w:t>
            </w:r>
            <w:r>
              <w:rPr>
                <w:rFonts w:hint="eastAsia" w:ascii="Times New Roman" w:hAnsi="Times New Roman" w:cs="Times New Roman"/>
                <w:i w:val="0"/>
                <w:iCs w:val="0"/>
                <w:sz w:val="24"/>
                <w:szCs w:val="24"/>
                <w:u w:val="none" w:color="auto"/>
                <w:lang w:val="en-US" w:eastAsia="zh-CN"/>
              </w:rPr>
              <w:t>定期清运至江源县污水处理厂。</w:t>
            </w:r>
          </w:p>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2.废气</w:t>
            </w: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本项目施工期产生的废气执行GB16297-1996《大气污染物综合排放标准》中新污染源无组织排放监控浓度限值排放标准，详见下表。</w:t>
            </w:r>
          </w:p>
          <w:p>
            <w:pPr>
              <w:autoSpaceDE w:val="0"/>
              <w:autoSpaceDN w:val="0"/>
              <w:adjustRightInd w:val="0"/>
              <w:spacing w:line="360" w:lineRule="auto"/>
              <w:jc w:val="cente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pP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表1</w:t>
            </w:r>
            <w:r>
              <w:rPr>
                <w:rFonts w:hint="eastAsia" w:ascii="Times New Roman" w:hAnsi="Times New Roman" w:cs="Times New Roman"/>
                <w:b/>
                <w:bCs/>
                <w:i w:val="0"/>
                <w:iCs w:val="0"/>
                <w:color w:val="000000" w:themeColor="text1"/>
                <w:sz w:val="24"/>
                <w:u w:val="none" w:color="auto"/>
                <w:lang w:val="en-US" w:eastAsia="zh-CN"/>
                <w14:textFill>
                  <w14:solidFill>
                    <w14:schemeClr w14:val="tx1"/>
                  </w14:solidFill>
                </w14:textFill>
              </w:rPr>
              <w:t>4</w:t>
            </w: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 xml:space="preserve">  大气污染物综合排放标准</w:t>
            </w:r>
          </w:p>
          <w:tbl>
            <w:tblPr>
              <w:tblStyle w:val="18"/>
              <w:tblW w:w="5000" w:type="pct"/>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3153"/>
              <w:gridCol w:w="2748"/>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315" w:type="pct"/>
                  <w:vMerge w:val="restar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污染物</w:t>
                  </w:r>
                </w:p>
              </w:tc>
              <w:tc>
                <w:tcPr>
                  <w:tcW w:w="3685" w:type="pct"/>
                  <w:gridSpan w:val="2"/>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无组织排放监控浓度限值</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315" w:type="pct"/>
                  <w:vMerge w:val="continue"/>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p>
              </w:tc>
              <w:tc>
                <w:tcPr>
                  <w:tcW w:w="1969" w:type="pc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监控点</w:t>
                  </w:r>
                </w:p>
              </w:tc>
              <w:tc>
                <w:tcPr>
                  <w:tcW w:w="1716" w:type="pc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浓度（mg/m³）</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315" w:type="pc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颗粒物</w:t>
                  </w:r>
                </w:p>
              </w:tc>
              <w:tc>
                <w:tcPr>
                  <w:tcW w:w="1969" w:type="pc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周界外浓度最高点</w:t>
                  </w:r>
                </w:p>
              </w:tc>
              <w:tc>
                <w:tcPr>
                  <w:tcW w:w="1716" w:type="pct"/>
                  <w:tcBorders>
                    <w:tl2br w:val="nil"/>
                    <w:tr2bl w:val="nil"/>
                  </w:tcBorders>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1.0</w:t>
                  </w:r>
                </w:p>
              </w:tc>
            </w:tr>
          </w:tbl>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运营期使用3台2t/h及3台4t/h的生物质热水锅炉供热，锅炉烟气执行《锅炉大气污染物排放标准》（GB13271-2014）中新建锅炉大气污染物排放浓度限值，详见表1</w:t>
            </w:r>
            <w:r>
              <w:rPr>
                <w:rFonts w:hint="eastAsia" w:ascii="Times New Roman" w:hAnsi="Times New Roman" w:cs="Times New Roman"/>
                <w:bCs/>
                <w:i w:val="0"/>
                <w:iCs w:val="0"/>
                <w:color w:val="000000" w:themeColor="text1"/>
                <w:kern w:val="21"/>
                <w:sz w:val="24"/>
                <w:u w:val="none" w:color="auto"/>
                <w:lang w:val="en-US" w:eastAsia="zh-CN"/>
                <w14:textFill>
                  <w14:solidFill>
                    <w14:schemeClr w14:val="tx1"/>
                  </w14:solidFill>
                </w14:textFill>
              </w:rPr>
              <w:t>5</w:t>
            </w: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w:t>
            </w:r>
          </w:p>
          <w:p>
            <w:pPr>
              <w:autoSpaceDE w:val="0"/>
              <w:autoSpaceDN w:val="0"/>
              <w:adjustRightInd w:val="0"/>
              <w:spacing w:line="360" w:lineRule="auto"/>
              <w:jc w:val="cente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pP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表1</w:t>
            </w:r>
            <w:r>
              <w:rPr>
                <w:rFonts w:hint="eastAsia" w:ascii="Times New Roman" w:hAnsi="Times New Roman" w:cs="Times New Roman"/>
                <w:b/>
                <w:bCs/>
                <w:i w:val="0"/>
                <w:iCs w:val="0"/>
                <w:color w:val="000000" w:themeColor="text1"/>
                <w:sz w:val="24"/>
                <w:u w:val="none" w:color="auto"/>
                <w:lang w:val="en-US" w:eastAsia="zh-CN"/>
                <w14:textFill>
                  <w14:solidFill>
                    <w14:schemeClr w14:val="tx1"/>
                  </w14:solidFill>
                </w14:textFill>
              </w:rPr>
              <w:t>5</w:t>
            </w: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 xml:space="preserve">  锅炉大气污染物排放标准   单位：mg/m</w:t>
            </w:r>
            <w:r>
              <w:rPr>
                <w:rFonts w:hint="default" w:ascii="Times New Roman" w:hAnsi="Times New Roman" w:cs="Times New Roman"/>
                <w:b/>
                <w:bCs/>
                <w:i w:val="0"/>
                <w:iCs w:val="0"/>
                <w:color w:val="000000" w:themeColor="text1"/>
                <w:sz w:val="24"/>
                <w:u w:val="none" w:color="auto"/>
                <w:vertAlign w:val="superscript"/>
                <w:lang w:val="zh-CN"/>
                <w14:textFill>
                  <w14:solidFill>
                    <w14:schemeClr w14:val="tx1"/>
                  </w14:solidFill>
                </w14:textFill>
              </w:rPr>
              <w:t>3</w:t>
            </w:r>
          </w:p>
          <w:tbl>
            <w:tblPr>
              <w:tblStyle w:val="18"/>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2668"/>
              <w:gridCol w:w="2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4"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污染物</w:t>
                  </w:r>
                </w:p>
              </w:tc>
              <w:tc>
                <w:tcPr>
                  <w:tcW w:w="2766"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标准限值</w:t>
                  </w:r>
                </w:p>
              </w:tc>
              <w:tc>
                <w:tcPr>
                  <w:tcW w:w="2766"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烟囱高度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4"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颗粒物</w:t>
                  </w:r>
                </w:p>
              </w:tc>
              <w:tc>
                <w:tcPr>
                  <w:tcW w:w="2766" w:type="dxa"/>
                  <w:tcBorders>
                    <w:tl2br w:val="nil"/>
                    <w:tr2bl w:val="nil"/>
                  </w:tcBorders>
                  <w:shd w:val="clear" w:color="auto" w:fill="auto"/>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50</w:t>
                  </w:r>
                </w:p>
              </w:tc>
              <w:tc>
                <w:tcPr>
                  <w:tcW w:w="2766" w:type="dxa"/>
                  <w:vMerge w:val="restart"/>
                  <w:tcBorders>
                    <w:tl2br w:val="nil"/>
                    <w:tr2bl w:val="nil"/>
                  </w:tcBorders>
                  <w:shd w:val="clear" w:color="auto" w:fill="auto"/>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每厂锅炉烟囱不低于35m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4"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二氧化硫</w:t>
                  </w:r>
                </w:p>
              </w:tc>
              <w:tc>
                <w:tcPr>
                  <w:tcW w:w="2766"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300</w:t>
                  </w:r>
                </w:p>
              </w:tc>
              <w:tc>
                <w:tcPr>
                  <w:tcW w:w="2766" w:type="dxa"/>
                  <w:vMerge w:val="continue"/>
                  <w:tcBorders>
                    <w:tl2br w:val="nil"/>
                    <w:tr2bl w:val="nil"/>
                  </w:tcBorders>
                  <w:shd w:val="clear" w:color="auto" w:fill="auto"/>
                </w:tcPr>
                <w:p>
                  <w:pPr>
                    <w:pStyle w:val="3"/>
                    <w:numPr>
                      <w:ilvl w:val="0"/>
                      <w:numId w:val="0"/>
                    </w:numPr>
                    <w:spacing w:line="276" w:lineRule="auto"/>
                    <w:rPr>
                      <w:rFonts w:hint="default" w:ascii="Times New Roman" w:hAnsi="Times New Roman" w:cs="Times New Roman"/>
                      <w:b/>
                      <w:bCs/>
                      <w:i w:val="0"/>
                      <w:iCs w:val="0"/>
                      <w:color w:val="000000" w:themeColor="text1"/>
                      <w:szCs w:val="21"/>
                      <w:u w:val="none" w:color="auto"/>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4"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氮氧化物</w:t>
                  </w:r>
                </w:p>
              </w:tc>
              <w:tc>
                <w:tcPr>
                  <w:tcW w:w="2766" w:type="dxa"/>
                  <w:tcBorders>
                    <w:tl2br w:val="nil"/>
                    <w:tr2bl w:val="nil"/>
                  </w:tcBorders>
                  <w:shd w:val="clear" w:color="auto" w:fill="auto"/>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zh-CN"/>
                      <w14:textFill>
                        <w14:solidFill>
                          <w14:schemeClr w14:val="tx1"/>
                        </w14:solidFill>
                      </w14:textFill>
                    </w:rPr>
                  </w:pPr>
                  <w:r>
                    <w:rPr>
                      <w:rFonts w:hint="default" w:ascii="Times New Roman" w:hAnsi="Times New Roman" w:cs="Times New Roman"/>
                      <w:i w:val="0"/>
                      <w:iCs w:val="0"/>
                      <w:color w:val="000000" w:themeColor="text1"/>
                      <w:u w:val="none" w:color="auto"/>
                      <w:lang w:val="zh-CN"/>
                      <w14:textFill>
                        <w14:solidFill>
                          <w14:schemeClr w14:val="tx1"/>
                        </w14:solidFill>
                      </w14:textFill>
                    </w:rPr>
                    <w:t>300</w:t>
                  </w:r>
                </w:p>
              </w:tc>
              <w:tc>
                <w:tcPr>
                  <w:tcW w:w="2766" w:type="dxa"/>
                  <w:vMerge w:val="continue"/>
                  <w:tcBorders>
                    <w:tl2br w:val="nil"/>
                    <w:tr2bl w:val="nil"/>
                  </w:tcBorders>
                  <w:shd w:val="clear" w:color="auto" w:fill="auto"/>
                </w:tcPr>
                <w:p>
                  <w:pPr>
                    <w:pStyle w:val="3"/>
                    <w:numPr>
                      <w:ilvl w:val="0"/>
                      <w:numId w:val="0"/>
                    </w:numPr>
                    <w:spacing w:line="276" w:lineRule="auto"/>
                    <w:rPr>
                      <w:rFonts w:hint="default" w:ascii="Times New Roman" w:hAnsi="Times New Roman" w:cs="Times New Roman"/>
                      <w:b/>
                      <w:bCs/>
                      <w:i w:val="0"/>
                      <w:iCs w:val="0"/>
                      <w:color w:val="000000" w:themeColor="text1"/>
                      <w:szCs w:val="21"/>
                      <w:u w:val="none" w:color="auto"/>
                      <w14:textFill>
                        <w14:solidFill>
                          <w14:schemeClr w14:val="tx1"/>
                        </w14:solidFill>
                      </w14:textFill>
                    </w:rPr>
                  </w:pPr>
                </w:p>
              </w:tc>
            </w:tr>
          </w:tbl>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3.噪声</w:t>
            </w: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项目施工期噪声执行GB12523-2011《建筑施工场界噪声环境噪声排放标准》，见下表。</w:t>
            </w:r>
          </w:p>
          <w:p>
            <w:pPr>
              <w:autoSpaceDE w:val="0"/>
              <w:autoSpaceDN w:val="0"/>
              <w:adjustRightInd w:val="0"/>
              <w:spacing w:line="360" w:lineRule="auto"/>
              <w:jc w:val="cente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pPr>
          </w:p>
          <w:p>
            <w:pPr>
              <w:autoSpaceDE w:val="0"/>
              <w:autoSpaceDN w:val="0"/>
              <w:adjustRightInd w:val="0"/>
              <w:spacing w:line="360" w:lineRule="auto"/>
              <w:jc w:val="cente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pP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表1</w:t>
            </w:r>
            <w:r>
              <w:rPr>
                <w:rFonts w:hint="eastAsia" w:ascii="Times New Roman" w:hAnsi="Times New Roman" w:cs="Times New Roman"/>
                <w:b/>
                <w:bCs/>
                <w:i w:val="0"/>
                <w:iCs w:val="0"/>
                <w:color w:val="000000" w:themeColor="text1"/>
                <w:sz w:val="24"/>
                <w:u w:val="none" w:color="auto"/>
                <w:lang w:val="en-US" w:eastAsia="zh-CN"/>
                <w14:textFill>
                  <w14:solidFill>
                    <w14:schemeClr w14:val="tx1"/>
                  </w14:solidFill>
                </w14:textFill>
              </w:rPr>
              <w:t>6</w:t>
            </w: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 xml:space="preserve">  建筑施工场界环境噪声排放限值  单位：dB（A）</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78"/>
              <w:gridCol w:w="778"/>
              <w:gridCol w:w="645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86" w:type="pct"/>
                  <w:tcBorders>
                    <w:tl2br w:val="nil"/>
                    <w:tr2bl w:val="nil"/>
                  </w:tcBorders>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昼间</w:t>
                  </w:r>
                </w:p>
              </w:tc>
              <w:tc>
                <w:tcPr>
                  <w:tcW w:w="486" w:type="pct"/>
                  <w:tcBorders>
                    <w:tl2br w:val="nil"/>
                    <w:tr2bl w:val="nil"/>
                  </w:tcBorders>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夜间</w:t>
                  </w:r>
                </w:p>
              </w:tc>
              <w:tc>
                <w:tcPr>
                  <w:tcW w:w="4027" w:type="pct"/>
                  <w:tcBorders>
                    <w:tl2br w:val="nil"/>
                    <w:tr2bl w:val="nil"/>
                  </w:tcBorders>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86" w:type="pct"/>
                  <w:tcBorders>
                    <w:tl2br w:val="nil"/>
                    <w:tr2bl w:val="nil"/>
                  </w:tcBorders>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70</w:t>
                  </w:r>
                </w:p>
              </w:tc>
              <w:tc>
                <w:tcPr>
                  <w:tcW w:w="486" w:type="pct"/>
                  <w:tcBorders>
                    <w:tl2br w:val="nil"/>
                    <w:tr2bl w:val="nil"/>
                  </w:tcBorders>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55</w:t>
                  </w:r>
                </w:p>
              </w:tc>
              <w:tc>
                <w:tcPr>
                  <w:tcW w:w="4027" w:type="pct"/>
                  <w:tcBorders>
                    <w:tl2br w:val="nil"/>
                    <w:tr2bl w:val="nil"/>
                  </w:tcBorders>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GB12523-2011《建筑施工场界噪声环境噪声排放标准》</w:t>
                  </w:r>
                </w:p>
              </w:tc>
            </w:tr>
          </w:tbl>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项目运营期噪声执行GB12348-2008《工业企业厂界环境噪声排放标准》1类标准；详见下表。</w:t>
            </w:r>
          </w:p>
          <w:p>
            <w:pPr>
              <w:autoSpaceDE w:val="0"/>
              <w:autoSpaceDN w:val="0"/>
              <w:adjustRightInd w:val="0"/>
              <w:spacing w:line="360" w:lineRule="auto"/>
              <w:jc w:val="cente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pP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表1</w:t>
            </w:r>
            <w:r>
              <w:rPr>
                <w:rFonts w:hint="eastAsia" w:ascii="Times New Roman" w:hAnsi="Times New Roman" w:cs="Times New Roman"/>
                <w:b/>
                <w:bCs/>
                <w:i w:val="0"/>
                <w:iCs w:val="0"/>
                <w:color w:val="000000" w:themeColor="text1"/>
                <w:sz w:val="24"/>
                <w:u w:val="none" w:color="auto"/>
                <w:lang w:val="en-US" w:eastAsia="zh-CN"/>
                <w14:textFill>
                  <w14:solidFill>
                    <w14:schemeClr w14:val="tx1"/>
                  </w14:solidFill>
                </w14:textFill>
              </w:rPr>
              <w:t>7</w:t>
            </w:r>
            <w:r>
              <w:rPr>
                <w:rFonts w:hint="default" w:ascii="Times New Roman" w:hAnsi="Times New Roman" w:cs="Times New Roman"/>
                <w:b/>
                <w:bCs/>
                <w:i w:val="0"/>
                <w:iCs w:val="0"/>
                <w:color w:val="000000" w:themeColor="text1"/>
                <w:sz w:val="24"/>
                <w:u w:val="none" w:color="auto"/>
                <w:lang w:val="zh-CN"/>
                <w14:textFill>
                  <w14:solidFill>
                    <w14:schemeClr w14:val="tx1"/>
                  </w14:solidFill>
                </w14:textFill>
              </w:rPr>
              <w:t xml:space="preserve"> 工业企业厂界环境噪声排放标准  单位：dB（A）</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21"/>
              <w:gridCol w:w="921"/>
              <w:gridCol w:w="5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5" w:type="pct"/>
                  <w:vMerge w:val="restart"/>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类别</w:t>
                  </w:r>
                </w:p>
              </w:tc>
              <w:tc>
                <w:tcPr>
                  <w:tcW w:w="1150" w:type="pct"/>
                  <w:gridSpan w:val="2"/>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标准值</w:t>
                  </w:r>
                </w:p>
              </w:tc>
              <w:tc>
                <w:tcPr>
                  <w:tcW w:w="3275" w:type="pct"/>
                  <w:vMerge w:val="restart"/>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5" w:type="pct"/>
                  <w:vMerge w:val="continue"/>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p>
              </w:tc>
              <w:tc>
                <w:tcPr>
                  <w:tcW w:w="575" w:type="pct"/>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昼间</w:t>
                  </w:r>
                </w:p>
              </w:tc>
              <w:tc>
                <w:tcPr>
                  <w:tcW w:w="575" w:type="pct"/>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夜间</w:t>
                  </w:r>
                </w:p>
              </w:tc>
              <w:tc>
                <w:tcPr>
                  <w:tcW w:w="3275" w:type="pct"/>
                  <w:vMerge w:val="continue"/>
                  <w:vAlign w:val="center"/>
                </w:tcPr>
                <w:p>
                  <w:pPr>
                    <w:spacing w:line="276" w:lineRule="auto"/>
                    <w:jc w:val="center"/>
                    <w:rPr>
                      <w:rFonts w:hint="default" w:ascii="Times New Roman" w:hAnsi="Times New Roman" w:cs="Times New Roman"/>
                      <w:i w:val="0"/>
                      <w:iCs w:val="0"/>
                      <w:color w:val="000000" w:themeColor="text1"/>
                      <w:u w:val="none" w:color="auto"/>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5" w:type="pct"/>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en-GB"/>
                      <w14:textFill>
                        <w14:solidFill>
                          <w14:schemeClr w14:val="tx1"/>
                        </w14:solidFill>
                      </w14:textFill>
                    </w:rPr>
                  </w:pPr>
                  <w:r>
                    <w:rPr>
                      <w:rFonts w:hint="default" w:ascii="Times New Roman" w:hAnsi="Times New Roman" w:cs="Times New Roman"/>
                      <w:i w:val="0"/>
                      <w:iCs w:val="0"/>
                      <w:color w:val="000000" w:themeColor="text1"/>
                      <w:u w:val="none" w:color="auto"/>
                      <w:lang w:val="en-GB"/>
                      <w14:textFill>
                        <w14:solidFill>
                          <w14:schemeClr w14:val="tx1"/>
                        </w14:solidFill>
                      </w14:textFill>
                    </w:rPr>
                    <w:t>1类</w:t>
                  </w:r>
                </w:p>
              </w:tc>
              <w:tc>
                <w:tcPr>
                  <w:tcW w:w="575" w:type="pct"/>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en-GB"/>
                      <w14:textFill>
                        <w14:solidFill>
                          <w14:schemeClr w14:val="tx1"/>
                        </w14:solidFill>
                      </w14:textFill>
                    </w:rPr>
                  </w:pPr>
                  <w:r>
                    <w:rPr>
                      <w:rFonts w:hint="default" w:ascii="Times New Roman" w:hAnsi="Times New Roman" w:cs="Times New Roman"/>
                      <w:i w:val="0"/>
                      <w:iCs w:val="0"/>
                      <w:color w:val="000000" w:themeColor="text1"/>
                      <w:u w:val="none" w:color="auto"/>
                      <w:lang w:val="en-GB"/>
                      <w14:textFill>
                        <w14:solidFill>
                          <w14:schemeClr w14:val="tx1"/>
                        </w14:solidFill>
                      </w14:textFill>
                    </w:rPr>
                    <w:t>55</w:t>
                  </w:r>
                </w:p>
              </w:tc>
              <w:tc>
                <w:tcPr>
                  <w:tcW w:w="575" w:type="pct"/>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en-GB"/>
                      <w14:textFill>
                        <w14:solidFill>
                          <w14:schemeClr w14:val="tx1"/>
                        </w14:solidFill>
                      </w14:textFill>
                    </w:rPr>
                  </w:pPr>
                  <w:r>
                    <w:rPr>
                      <w:rFonts w:hint="default" w:ascii="Times New Roman" w:hAnsi="Times New Roman" w:cs="Times New Roman"/>
                      <w:i w:val="0"/>
                      <w:iCs w:val="0"/>
                      <w:color w:val="000000" w:themeColor="text1"/>
                      <w:u w:val="none" w:color="auto"/>
                      <w:lang w:val="en-GB"/>
                      <w14:textFill>
                        <w14:solidFill>
                          <w14:schemeClr w14:val="tx1"/>
                        </w14:solidFill>
                      </w14:textFill>
                    </w:rPr>
                    <w:t>45</w:t>
                  </w:r>
                </w:p>
              </w:tc>
              <w:tc>
                <w:tcPr>
                  <w:tcW w:w="3275" w:type="pct"/>
                  <w:vAlign w:val="center"/>
                </w:tcPr>
                <w:p>
                  <w:pPr>
                    <w:autoSpaceDE w:val="0"/>
                    <w:autoSpaceDN w:val="0"/>
                    <w:adjustRightInd w:val="0"/>
                    <w:spacing w:line="276" w:lineRule="auto"/>
                    <w:jc w:val="center"/>
                    <w:rPr>
                      <w:rFonts w:hint="default" w:ascii="Times New Roman" w:hAnsi="Times New Roman" w:cs="Times New Roman"/>
                      <w:i w:val="0"/>
                      <w:iCs w:val="0"/>
                      <w:color w:val="000000" w:themeColor="text1"/>
                      <w:u w:val="none" w:color="auto"/>
                      <w:lang w:val="en-GB"/>
                      <w14:textFill>
                        <w14:solidFill>
                          <w14:schemeClr w14:val="tx1"/>
                        </w14:solidFill>
                      </w14:textFill>
                    </w:rPr>
                  </w:pPr>
                  <w:r>
                    <w:rPr>
                      <w:rFonts w:hint="default" w:ascii="Times New Roman" w:hAnsi="Times New Roman" w:cs="Times New Roman"/>
                      <w:i w:val="0"/>
                      <w:iCs w:val="0"/>
                      <w:color w:val="000000" w:themeColor="text1"/>
                      <w:u w:val="none" w:color="auto"/>
                      <w:lang w:val="en-GB"/>
                      <w14:textFill>
                        <w14:solidFill>
                          <w14:schemeClr w14:val="tx1"/>
                        </w14:solidFill>
                      </w14:textFill>
                    </w:rPr>
                    <w:t>GB12348-2008《工业企业厂界环境噪声排放标准》</w:t>
                  </w:r>
                </w:p>
              </w:tc>
            </w:tr>
          </w:tbl>
          <w:p>
            <w:pPr>
              <w:pStyle w:val="2"/>
              <w:spacing w:before="0" w:after="0" w:line="360" w:lineRule="auto"/>
              <w:ind w:right="0" w:firstLine="482" w:firstLineChars="200"/>
              <w:rPr>
                <w:rFonts w:hint="default" w:ascii="Times New Roman" w:hAnsi="Times New Roman" w:cs="Times New Roman"/>
                <w:b/>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
                <w:bCs/>
                <w:i w:val="0"/>
                <w:iCs w:val="0"/>
                <w:color w:val="000000" w:themeColor="text1"/>
                <w:kern w:val="21"/>
                <w:sz w:val="24"/>
                <w:u w:val="none" w:color="auto"/>
                <w14:textFill>
                  <w14:solidFill>
                    <w14:schemeClr w14:val="tx1"/>
                  </w14:solidFill>
                </w14:textFill>
              </w:rPr>
              <w:t>4.固体废物</w:t>
            </w: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r>
              <w:rPr>
                <w:rFonts w:hint="default" w:ascii="Times New Roman" w:hAnsi="Times New Roman" w:cs="Times New Roman"/>
                <w:bCs/>
                <w:i w:val="0"/>
                <w:iCs w:val="0"/>
                <w:color w:val="000000" w:themeColor="text1"/>
                <w:kern w:val="21"/>
                <w:sz w:val="24"/>
                <w:u w:val="none" w:color="auto"/>
                <w14:textFill>
                  <w14:solidFill>
                    <w14:schemeClr w14:val="tx1"/>
                  </w14:solidFill>
                </w14:textFill>
              </w:rPr>
              <w:t>本项目运营过程中产生的一般固体废物锅炉灰渣和布袋粉尘，按照现行《中华人民共和国固体废物污染环境防治法》“第三章第三节、生活垃圾污染环境防治”，其余一般固体废物按照《一般工业固体废物贮存和填埋污染控制标准》（GB18599-2020）规定执行。</w:t>
            </w: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4" w:type="pct"/>
            <w:vAlign w:val="center"/>
          </w:tcPr>
          <w:p>
            <w:pPr>
              <w:adjustRightInd w:val="0"/>
              <w:snapToGrid w:val="0"/>
              <w:spacing w:line="360" w:lineRule="auto"/>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总量</w:t>
            </w:r>
          </w:p>
          <w:p>
            <w:pPr>
              <w:adjustRightInd w:val="0"/>
              <w:snapToGrid w:val="0"/>
              <w:spacing w:line="360" w:lineRule="auto"/>
              <w:jc w:val="center"/>
              <w:rPr>
                <w:rFonts w:hint="default" w:ascii="Times New Roman" w:hAnsi="Times New Roman" w:cs="Times New Roman"/>
                <w:i w:val="0"/>
                <w:iCs w:val="0"/>
                <w:color w:val="000000" w:themeColor="text1"/>
                <w:kern w:val="21"/>
                <w:sz w:val="24"/>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控制</w:t>
            </w:r>
          </w:p>
          <w:p>
            <w:pPr>
              <w:adjustRightInd w:val="0"/>
              <w:snapToGrid w:val="0"/>
              <w:spacing w:line="360" w:lineRule="auto"/>
              <w:jc w:val="center"/>
              <w:rPr>
                <w:rFonts w:hint="default" w:ascii="Times New Roman" w:hAnsi="Times New Roman" w:cs="Times New Roman"/>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4"/>
                <w:u w:val="none" w:color="auto"/>
                <w14:textFill>
                  <w14:solidFill>
                    <w14:schemeClr w14:val="tx1"/>
                  </w14:solidFill>
                </w14:textFill>
              </w:rPr>
              <w:t>指标</w:t>
            </w:r>
          </w:p>
        </w:tc>
        <w:tc>
          <w:tcPr>
            <w:tcW w:w="4566" w:type="pct"/>
          </w:tcPr>
          <w:p>
            <w:pPr>
              <w:pStyle w:val="3"/>
              <w:numPr>
                <w:ilvl w:val="0"/>
                <w:numId w:val="0"/>
              </w:numPr>
              <w:spacing w:line="360" w:lineRule="auto"/>
              <w:ind w:firstLine="480" w:firstLineChars="200"/>
              <w:rPr>
                <w:rFonts w:hint="default" w:ascii="Times New Roman" w:hAnsi="Times New Roman" w:cs="Times New Roman"/>
                <w:bCs/>
                <w:i/>
                <w:iCs/>
                <w:color w:val="000000" w:themeColor="text1"/>
                <w:kern w:val="21"/>
                <w:sz w:val="24"/>
                <w:u w:val="single" w:color="auto"/>
                <w14:textFill>
                  <w14:solidFill>
                    <w14:schemeClr w14:val="tx1"/>
                  </w14:solidFill>
                </w14:textFill>
              </w:rPr>
            </w:pPr>
            <w:r>
              <w:rPr>
                <w:rFonts w:hint="default" w:ascii="Times New Roman" w:hAnsi="Times New Roman" w:cs="Times New Roman"/>
                <w:bCs/>
                <w:i/>
                <w:iCs/>
                <w:color w:val="000000" w:themeColor="text1"/>
                <w:kern w:val="21"/>
                <w:sz w:val="24"/>
                <w:u w:val="single" w:color="auto"/>
                <w14:textFill>
                  <w14:solidFill>
                    <w14:schemeClr w14:val="tx1"/>
                  </w14:solidFill>
                </w14:textFill>
              </w:rPr>
              <w:t>根据目前国家规定的总量控制因子和吉林省总量控制规划，结合项目污染物的产生和排放分析，厂区内软化浓水</w:t>
            </w:r>
            <w:r>
              <w:rPr>
                <w:rFonts w:hint="default" w:ascii="Times New Roman" w:hAnsi="Times New Roman" w:cs="Times New Roman"/>
                <w:bCs/>
                <w:i/>
                <w:iCs/>
                <w:color w:val="000000" w:themeColor="text1"/>
                <w:kern w:val="21"/>
                <w:sz w:val="24"/>
                <w:u w:val="single" w:color="auto"/>
                <w:lang w:eastAsia="zh-CN"/>
                <w14:textFill>
                  <w14:solidFill>
                    <w14:schemeClr w14:val="tx1"/>
                  </w14:solidFill>
                </w14:textFill>
              </w:rPr>
              <w:t>用于</w:t>
            </w:r>
            <w:r>
              <w:rPr>
                <w:rFonts w:hint="default" w:ascii="Times New Roman" w:hAnsi="Times New Roman" w:cs="Times New Roman"/>
                <w:bCs/>
                <w:i/>
                <w:iCs/>
                <w:color w:val="000000" w:themeColor="text1"/>
                <w:kern w:val="21"/>
                <w:sz w:val="24"/>
                <w:u w:val="single" w:color="auto"/>
                <w14:textFill>
                  <w14:solidFill>
                    <w14:schemeClr w14:val="tx1"/>
                  </w14:solidFill>
                </w14:textFill>
              </w:rPr>
              <w:t>锅炉灰渣降尘，不外排；项目锅炉排水排入厂区建设的150m</w:t>
            </w:r>
            <w:r>
              <w:rPr>
                <w:rFonts w:hint="default" w:ascii="Times New Roman" w:hAnsi="Times New Roman" w:cs="Times New Roman"/>
                <w:bCs/>
                <w:i/>
                <w:iCs/>
                <w:color w:val="000000" w:themeColor="text1"/>
                <w:kern w:val="21"/>
                <w:sz w:val="24"/>
                <w:u w:val="single" w:color="auto"/>
                <w:vertAlign w:val="superscript"/>
                <w14:textFill>
                  <w14:solidFill>
                    <w14:schemeClr w14:val="tx1"/>
                  </w14:solidFill>
                </w14:textFill>
              </w:rPr>
              <w:t>3</w:t>
            </w:r>
            <w:r>
              <w:rPr>
                <w:rFonts w:hint="default" w:ascii="Times New Roman" w:hAnsi="Times New Roman" w:cs="Times New Roman"/>
                <w:bCs/>
                <w:i/>
                <w:iCs/>
                <w:color w:val="000000" w:themeColor="text1"/>
                <w:kern w:val="21"/>
                <w:sz w:val="24"/>
                <w:u w:val="single" w:color="auto"/>
                <w14:textFill>
                  <w14:solidFill>
                    <w14:schemeClr w14:val="tx1"/>
                  </w14:solidFill>
                </w14:textFill>
              </w:rPr>
              <w:t>防渗储池内，定期清运至江源区污水处理厂处理，本项目</w:t>
            </w:r>
            <w:r>
              <w:rPr>
                <w:rFonts w:hint="eastAsia" w:ascii="Times New Roman" w:hAnsi="Times New Roman" w:cs="Times New Roman"/>
                <w:bCs/>
                <w:i/>
                <w:iCs/>
                <w:color w:val="000000" w:themeColor="text1"/>
                <w:kern w:val="21"/>
                <w:sz w:val="24"/>
                <w:u w:val="single" w:color="auto"/>
                <w:lang w:eastAsia="zh-CN"/>
                <w14:textFill>
                  <w14:solidFill>
                    <w14:schemeClr w14:val="tx1"/>
                  </w14:solidFill>
                </w14:textFill>
              </w:rPr>
              <w:t>无需</w:t>
            </w:r>
            <w:r>
              <w:rPr>
                <w:rFonts w:hint="default" w:ascii="Times New Roman" w:hAnsi="Times New Roman" w:cs="Times New Roman"/>
                <w:bCs/>
                <w:i/>
                <w:iCs/>
                <w:color w:val="000000" w:themeColor="text1"/>
                <w:kern w:val="21"/>
                <w:sz w:val="24"/>
                <w:u w:val="single" w:color="auto"/>
                <w14:textFill>
                  <w14:solidFill>
                    <w14:schemeClr w14:val="tx1"/>
                  </w14:solidFill>
                </w14:textFill>
              </w:rPr>
              <w:t>申请污水总量指标。</w:t>
            </w:r>
          </w:p>
          <w:p>
            <w:pPr>
              <w:pStyle w:val="3"/>
              <w:numPr>
                <w:ilvl w:val="0"/>
                <w:numId w:val="0"/>
              </w:numPr>
              <w:spacing w:line="360" w:lineRule="auto"/>
              <w:ind w:firstLine="480" w:firstLineChars="200"/>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pPr>
            <w:r>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t>冬季采暖由3台2t/h，3台4t/h生物质热水锅炉供给。因此针对生物质锅炉，建议申请总量控制指标，</w:t>
            </w:r>
            <w:r>
              <w:rPr>
                <w:rFonts w:hint="default" w:ascii="Times New Roman" w:hAnsi="Times New Roman" w:cs="Times New Roman"/>
                <w:bCs/>
                <w:i/>
                <w:iCs/>
                <w:color w:val="000000" w:themeColor="text1"/>
                <w:kern w:val="21"/>
                <w:sz w:val="24"/>
                <w:highlight w:val="none"/>
                <w:u w:val="single" w:color="auto"/>
                <w:lang w:eastAsia="zh-CN"/>
                <w14:textFill>
                  <w14:solidFill>
                    <w14:schemeClr w14:val="tx1"/>
                  </w14:solidFill>
                </w14:textFill>
              </w:rPr>
              <w:t>烟尘：</w:t>
            </w:r>
            <w:r>
              <w:rPr>
                <w:rFonts w:hint="default" w:ascii="Times New Roman" w:hAnsi="Times New Roman" w:cs="Times New Roman"/>
                <w:bCs/>
                <w:i/>
                <w:iCs/>
                <w:color w:val="000000" w:themeColor="text1"/>
                <w:kern w:val="21"/>
                <w:sz w:val="24"/>
                <w:highlight w:val="none"/>
                <w:u w:val="single" w:color="auto"/>
                <w:lang w:val="en-US" w:eastAsia="zh-CN"/>
                <w14:textFill>
                  <w14:solidFill>
                    <w14:schemeClr w14:val="tx1"/>
                  </w14:solidFill>
                </w14:textFill>
              </w:rPr>
              <w:t>0.036t/a；</w:t>
            </w:r>
            <w:r>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t>SO</w:t>
            </w:r>
            <w:r>
              <w:rPr>
                <w:rFonts w:hint="default" w:ascii="Times New Roman" w:hAnsi="Times New Roman" w:cs="Times New Roman"/>
                <w:bCs/>
                <w:i/>
                <w:iCs/>
                <w:color w:val="000000" w:themeColor="text1"/>
                <w:kern w:val="21"/>
                <w:sz w:val="24"/>
                <w:highlight w:val="none"/>
                <w:u w:val="single" w:color="auto"/>
                <w:vertAlign w:val="subscript"/>
                <w14:textFill>
                  <w14:solidFill>
                    <w14:schemeClr w14:val="tx1"/>
                  </w14:solidFill>
                </w14:textFill>
              </w:rPr>
              <w:t>2</w:t>
            </w:r>
            <w:r>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t>：</w:t>
            </w:r>
            <w:r>
              <w:rPr>
                <w:rFonts w:hint="default" w:ascii="Times New Roman" w:hAnsi="Times New Roman" w:cs="Times New Roman"/>
                <w:bCs/>
                <w:i/>
                <w:iCs/>
                <w:color w:val="000000" w:themeColor="text1"/>
                <w:kern w:val="21"/>
                <w:sz w:val="24"/>
                <w:highlight w:val="none"/>
                <w:u w:val="single" w:color="auto"/>
                <w:lang w:val="en-US" w:eastAsia="zh-CN"/>
                <w14:textFill>
                  <w14:solidFill>
                    <w14:schemeClr w14:val="tx1"/>
                  </w14:solidFill>
                </w14:textFill>
              </w:rPr>
              <w:t>1.836</w:t>
            </w:r>
            <w:r>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t>t/a；NOx：</w:t>
            </w:r>
            <w:r>
              <w:rPr>
                <w:rFonts w:hint="default" w:ascii="Times New Roman" w:hAnsi="Times New Roman" w:cs="Times New Roman"/>
                <w:bCs/>
                <w:i/>
                <w:iCs/>
                <w:color w:val="000000" w:themeColor="text1"/>
                <w:kern w:val="21"/>
                <w:sz w:val="24"/>
                <w:highlight w:val="none"/>
                <w:u w:val="single" w:color="auto"/>
                <w:lang w:val="en-US" w:eastAsia="zh-CN"/>
                <w14:textFill>
                  <w14:solidFill>
                    <w14:schemeClr w14:val="tx1"/>
                  </w14:solidFill>
                </w14:textFill>
              </w:rPr>
              <w:t>3.672</w:t>
            </w:r>
            <w:r>
              <w:rPr>
                <w:rFonts w:hint="default" w:ascii="Times New Roman" w:hAnsi="Times New Roman" w:cs="Times New Roman"/>
                <w:bCs/>
                <w:i/>
                <w:iCs/>
                <w:color w:val="000000" w:themeColor="text1"/>
                <w:kern w:val="21"/>
                <w:sz w:val="24"/>
                <w:highlight w:val="none"/>
                <w:u w:val="single" w:color="auto"/>
                <w14:textFill>
                  <w14:solidFill>
                    <w14:schemeClr w14:val="tx1"/>
                  </w14:solidFill>
                </w14:textFill>
              </w:rPr>
              <w:t>t/a。</w:t>
            </w: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ind w:firstLine="480" w:firstLineChars="200"/>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p>
            <w:pPr>
              <w:pStyle w:val="3"/>
              <w:numPr>
                <w:ilvl w:val="0"/>
                <w:numId w:val="0"/>
              </w:numPr>
              <w:spacing w:line="360" w:lineRule="auto"/>
              <w:rPr>
                <w:rFonts w:hint="default" w:ascii="Times New Roman" w:hAnsi="Times New Roman" w:cs="Times New Roman"/>
                <w:bCs/>
                <w:i w:val="0"/>
                <w:iCs w:val="0"/>
                <w:color w:val="000000" w:themeColor="text1"/>
                <w:kern w:val="21"/>
                <w:sz w:val="24"/>
                <w:highlight w:val="none"/>
                <w:u w:val="none" w:color="auto"/>
                <w14:textFill>
                  <w14:solidFill>
                    <w14:schemeClr w14:val="tx1"/>
                  </w14:solidFill>
                </w14:textFill>
              </w:rPr>
            </w:pPr>
          </w:p>
        </w:tc>
      </w:tr>
    </w:tbl>
    <w:p>
      <w:pPr>
        <w:pStyle w:val="16"/>
        <w:adjustRightInd w:val="0"/>
        <w:snapToGrid w:val="0"/>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ascii="Times New Roman" w:hAnsi="Times New Roman" w:eastAsia="黑体"/>
          <w:i w:val="0"/>
          <w:iCs w:val="0"/>
          <w:snapToGrid w:val="0"/>
          <w:color w:val="000000" w:themeColor="text1"/>
          <w:kern w:val="21"/>
          <w:sz w:val="36"/>
          <w:szCs w:val="36"/>
          <w:u w:val="none" w:color="auto"/>
          <w14:textFill>
            <w14:solidFill>
              <w14:schemeClr w14:val="tx1"/>
            </w14:solidFill>
          </w14:textFill>
        </w:rPr>
        <w:br w:type="page"/>
      </w: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四、主要环境影响和保护措施</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8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t>施工</w:t>
            </w:r>
          </w:p>
          <w:p>
            <w:pPr>
              <w:pStyle w:val="16"/>
              <w:adjustRightInd w:val="0"/>
              <w:snapToGrid w:val="0"/>
              <w:spacing w:before="0" w:beforeAutospacing="0" w:after="0" w:afterAutospacing="0"/>
              <w:jc w:val="cente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t>期环</w:t>
            </w:r>
          </w:p>
          <w:p>
            <w:pPr>
              <w:pStyle w:val="16"/>
              <w:adjustRightInd w:val="0"/>
              <w:snapToGrid w:val="0"/>
              <w:spacing w:before="0" w:beforeAutospacing="0" w:after="0" w:afterAutospacing="0"/>
              <w:jc w:val="cente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t>境保</w:t>
            </w:r>
          </w:p>
          <w:p>
            <w:pPr>
              <w:pStyle w:val="16"/>
              <w:adjustRightInd w:val="0"/>
              <w:snapToGrid w:val="0"/>
              <w:spacing w:before="0" w:beforeAutospacing="0" w:after="0" w:afterAutospacing="0"/>
              <w:jc w:val="cente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t>护措</w:t>
            </w:r>
          </w:p>
          <w:p>
            <w:pPr>
              <w:pStyle w:val="16"/>
              <w:adjustRightInd w:val="0"/>
              <w:snapToGrid w:val="0"/>
              <w:spacing w:before="0" w:beforeAutospacing="0" w:after="0" w:afterAutospacing="0"/>
              <w:jc w:val="center"/>
              <w:rPr>
                <w:rFonts w:hint="default" w:ascii="Times New Roman" w:hAnsi="Times New Roman" w:cs="Times New Roman"/>
                <w:bCs/>
                <w:i w:val="0"/>
                <w:iCs w:val="0"/>
                <w:color w:val="000000" w:themeColor="text1"/>
                <w:kern w:val="21"/>
                <w:sz w:val="21"/>
                <w:szCs w:val="21"/>
                <w:u w:val="none" w:color="auto"/>
                <w14:textFill>
                  <w14:solidFill>
                    <w14:schemeClr w14:val="tx1"/>
                  </w14:solidFill>
                </w14:textFill>
              </w:rPr>
            </w:pPr>
            <w:r>
              <w:rPr>
                <w:rFonts w:hint="default" w:ascii="Times New Roman" w:hAnsi="Times New Roman" w:cs="Times New Roman"/>
                <w:i w:val="0"/>
                <w:iCs w:val="0"/>
                <w:color w:val="000000" w:themeColor="text1"/>
                <w:kern w:val="21"/>
                <w:sz w:val="21"/>
                <w:szCs w:val="21"/>
                <w:u w:val="none" w:color="auto"/>
                <w14:textFill>
                  <w14:solidFill>
                    <w14:schemeClr w14:val="tx1"/>
                  </w14:solidFill>
                </w14:textFill>
              </w:rPr>
              <w:t>施</w:t>
            </w:r>
          </w:p>
        </w:tc>
        <w:tc>
          <w:tcPr>
            <w:tcW w:w="4649" w:type="pct"/>
            <w:vAlign w:val="center"/>
          </w:tcPr>
          <w:p>
            <w:pPr>
              <w:pStyle w:val="55"/>
              <w:tabs>
                <w:tab w:val="left" w:pos="1322"/>
              </w:tabs>
              <w:spacing w:beforeLines="0" w:afterLines="0"/>
              <w:ind w:firstLine="482"/>
              <w:rPr>
                <w:rFonts w:hint="default" w:ascii="Times New Roman" w:hAnsi="Times New Roman" w:cs="Times New Roman"/>
                <w:b/>
                <w:i w:val="0"/>
                <w:iCs w:val="0"/>
                <w:color w:val="000000" w:themeColor="text1"/>
                <w:u w:val="none" w:color="auto"/>
                <w14:textFill>
                  <w14:solidFill>
                    <w14:schemeClr w14:val="tx1"/>
                  </w14:solidFill>
                </w14:textFill>
              </w:rPr>
            </w:pPr>
            <w:bookmarkStart w:id="12" w:name="_Toc425665233"/>
            <w:bookmarkStart w:id="13" w:name="_Toc425665230"/>
            <w:r>
              <w:rPr>
                <w:rFonts w:hint="default" w:ascii="Times New Roman" w:hAnsi="Times New Roman" w:cs="Times New Roman"/>
                <w:b/>
                <w:i w:val="0"/>
                <w:iCs w:val="0"/>
                <w:color w:val="000000" w:themeColor="text1"/>
                <w:u w:val="none" w:color="auto"/>
                <w14:textFill>
                  <w14:solidFill>
                    <w14:schemeClr w14:val="tx1"/>
                  </w14:solidFill>
                </w14:textFill>
              </w:rPr>
              <w:t>1.</w:t>
            </w:r>
            <w:bookmarkStart w:id="14" w:name="_Hlk35523205"/>
            <w:r>
              <w:rPr>
                <w:rFonts w:hint="default" w:ascii="Times New Roman" w:hAnsi="Times New Roman" w:cs="Times New Roman"/>
                <w:b/>
                <w:i w:val="0"/>
                <w:iCs w:val="0"/>
                <w:color w:val="000000" w:themeColor="text1"/>
                <w:u w:val="none" w:color="auto"/>
                <w14:textFill>
                  <w14:solidFill>
                    <w14:schemeClr w14:val="tx1"/>
                  </w14:solidFill>
                </w14:textFill>
              </w:rPr>
              <w:t>废水</w:t>
            </w:r>
            <w:bookmarkEnd w:id="12"/>
          </w:p>
          <w:p>
            <w:pPr>
              <w:adjustRightInd w:val="0"/>
              <w:snapToGrid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本项目施工期废水主要为施工人员产生的生活污水，依托厂区现有设施，排入现有防渗储池，定期清运至江源区污水处理厂，处理后达标排放，对地表水影响很小。</w:t>
            </w:r>
          </w:p>
          <w:bookmarkEnd w:id="14"/>
          <w:p>
            <w:pPr>
              <w:pStyle w:val="55"/>
              <w:tabs>
                <w:tab w:val="left" w:pos="1322"/>
              </w:tabs>
              <w:spacing w:beforeLines="0" w:afterLines="0"/>
              <w:ind w:firstLine="482"/>
              <w:rPr>
                <w:rFonts w:hint="default" w:ascii="Times New Roman" w:hAnsi="Times New Roman" w:cs="Times New Roman"/>
                <w:b/>
                <w:i w:val="0"/>
                <w:iCs w:val="0"/>
                <w:color w:val="000000" w:themeColor="text1"/>
                <w:u w:val="none" w:color="auto"/>
                <w14:textFill>
                  <w14:solidFill>
                    <w14:schemeClr w14:val="tx1"/>
                  </w14:solidFill>
                </w14:textFill>
              </w:rPr>
            </w:pPr>
            <w:r>
              <w:rPr>
                <w:rFonts w:hint="default" w:ascii="Times New Roman" w:hAnsi="Times New Roman" w:cs="Times New Roman"/>
                <w:b/>
                <w:i w:val="0"/>
                <w:iCs w:val="0"/>
                <w:color w:val="000000" w:themeColor="text1"/>
                <w:u w:val="none" w:color="auto"/>
                <w14:textFill>
                  <w14:solidFill>
                    <w14:schemeClr w14:val="tx1"/>
                  </w14:solidFill>
                </w14:textFill>
              </w:rPr>
              <w:t>2.废气</w:t>
            </w:r>
          </w:p>
          <w:p>
            <w:pPr>
              <w:adjustRightInd w:val="0"/>
              <w:snapToGrid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本项目在施工期产生的废气为施工过程产生的扬尘、管道焊接烟尘、路面铺设产生的沥青烟以及施工车辆产生的尾气。</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（1）扬尘污染防治措施</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a.施工时工地边界设置不低于2.5m的围挡，严禁敞开式作业。</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b.粉状材料应罐装或袋装，土、水泥、石灰等材料装载高度不得超过车辆槽帮上沿，车斗应用苫布遮盖严实，苫布边缘至少要遮住槽帮上沿以下15cm，保证物料、渣土、垃圾等不露出。施工场地堆放的建筑材料应使用苫布遮盖，防止起尘。</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c.出入场地的道路、未铺装的道路应经常洒水，以减少粉尘污染。路基施工时应及时分层压实，并注意洒水降尘；运输过程中洒落在路面上的泥土要及时清扫，以减少运行过程中的扬尘。</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d.加强路面硬化；加强运输管理，保证汽车安全、文明行驶。</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e.每天施工结束后，及时清理出场地建筑垃圾。</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f.启动Ⅲ级（黄色）预警或气象预报风速达到四级以上时，不得进行土方挖填、转运和拆除等易产生扬尘的作业。</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（2）焊接烟尘污染防治措施</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项目部分管网为钢管，需采用焊接方式进行连接，会产生少量焊接烟尘，焊接烟尘为间歇性排放，产生量少，在敞开环境中施工，空气流动性好，可快速逸散，对环境空气产生的影响较小。</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w:t>
            </w:r>
            <w:r>
              <w:rPr>
                <w:rFonts w:hint="eastAsia" w:ascii="Times New Roman" w:hAnsi="Times New Roman" w:cs="Times New Roman"/>
                <w:i w:val="0"/>
                <w:iCs w:val="0"/>
                <w:color w:val="000000" w:themeColor="text1"/>
                <w:sz w:val="24"/>
                <w:u w:val="none" w:color="auto"/>
                <w:lang w:val="en-US" w:eastAsia="zh-CN"/>
                <w14:textFill>
                  <w14:solidFill>
                    <w14:schemeClr w14:val="tx1"/>
                  </w14:solidFill>
                </w14:textFill>
              </w:rPr>
              <w:t>3</w:t>
            </w:r>
            <w:r>
              <w:rPr>
                <w:rFonts w:hint="default" w:ascii="Times New Roman" w:hAnsi="Times New Roman" w:cs="Times New Roman"/>
                <w:i w:val="0"/>
                <w:iCs w:val="0"/>
                <w:color w:val="000000" w:themeColor="text1"/>
                <w:sz w:val="24"/>
                <w:u w:val="none" w:color="auto"/>
                <w14:textFill>
                  <w14:solidFill>
                    <w14:schemeClr w14:val="tx1"/>
                  </w14:solidFill>
                </w14:textFill>
              </w:rPr>
              <w:t>）汽车尾气污染防治措施</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施工中将会有各种施工车辆和运输车辆来往施工现场，其排放的尾气在施工期间对施工作业点和交通道路附近的大环境会造成一定程度的污染，产生CO、碳氢化合物、NOx等污染物。</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对于施工期车辆尾气治理，可采取的治理措施主要是加强车辆保养和维护，禁止超载，减少停车怠速时间，加强施工机械和运输车辆管理和合理安排调度作业。采取以上措施，尾气对环境空气质量基本无影响。</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在落实以上提出措施的前提下，项目施工期废气均能得到有效的控制，对外环境影响小。</w:t>
            </w:r>
          </w:p>
          <w:p>
            <w:pPr>
              <w:autoSpaceDE w:val="0"/>
              <w:autoSpaceDN w:val="0"/>
              <w:spacing w:line="360" w:lineRule="auto"/>
              <w:ind w:firstLine="482" w:firstLineChars="200"/>
              <w:rPr>
                <w:rFonts w:hint="default" w:ascii="Times New Roman" w:hAnsi="Times New Roman" w:cs="Times New Roman"/>
                <w:b/>
                <w:i w:val="0"/>
                <w:iCs w:val="0"/>
                <w:color w:val="000000" w:themeColor="text1"/>
                <w:sz w:val="24"/>
                <w:u w:val="none" w:color="auto"/>
                <w14:textFill>
                  <w14:solidFill>
                    <w14:schemeClr w14:val="tx1"/>
                  </w14:solidFill>
                </w14:textFill>
              </w:rPr>
            </w:pPr>
            <w:r>
              <w:rPr>
                <w:rFonts w:hint="default" w:ascii="Times New Roman" w:hAnsi="Times New Roman" w:cs="Times New Roman"/>
                <w:b/>
                <w:i w:val="0"/>
                <w:iCs w:val="0"/>
                <w:color w:val="000000" w:themeColor="text1"/>
                <w:sz w:val="24"/>
                <w:u w:val="none" w:color="auto"/>
                <w14:textFill>
                  <w14:solidFill>
                    <w14:schemeClr w14:val="tx1"/>
                  </w14:solidFill>
                </w14:textFill>
              </w:rPr>
              <w:t>3.噪声</w:t>
            </w:r>
            <w:bookmarkEnd w:id="13"/>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为减小施工噪声对周围敏感点带来的影响，建设单位和施工单位必须按照相关法规要求，规范施工行为。结合本工程实际情况，对施工期声环境影响提出以下对策：</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①施工单位必须选用符合国家有关标准的施工机械和运输车辆，尽量选用低噪声的施工机械和工艺。振动较大的固定机械设备应加装减振机座，同时加强各类施工设备的维护和保养，降低噪声源强。</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②合理安排施工时间，施工以昼间（06:00-22:00）为主。强噪声施工机械应在昼间（06:00-22:00）进行施工，禁止强噪声施工机械夜间（22:00-6:00）施工作业。</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③运输施工物资时，应合理选择运输路线，途径居民区时，应急速慢行、禁止鸣笛。</w:t>
            </w:r>
          </w:p>
          <w:p>
            <w:pPr>
              <w:autoSpaceDE w:val="0"/>
              <w:autoSpaceDN w:val="0"/>
              <w:spacing w:line="360" w:lineRule="auto"/>
              <w:ind w:firstLine="482" w:firstLineChars="200"/>
              <w:rPr>
                <w:rFonts w:hint="default" w:ascii="Times New Roman" w:hAnsi="Times New Roman" w:cs="Times New Roman"/>
                <w:b/>
                <w:i w:val="0"/>
                <w:iCs w:val="0"/>
                <w:color w:val="000000" w:themeColor="text1"/>
                <w:sz w:val="24"/>
                <w:u w:val="none" w:color="auto"/>
                <w14:textFill>
                  <w14:solidFill>
                    <w14:schemeClr w14:val="tx1"/>
                  </w14:solidFill>
                </w14:textFill>
              </w:rPr>
            </w:pPr>
            <w:bookmarkStart w:id="15" w:name="_Toc425665232"/>
            <w:r>
              <w:rPr>
                <w:rFonts w:hint="default" w:ascii="Times New Roman" w:hAnsi="Times New Roman" w:cs="Times New Roman"/>
                <w:b/>
                <w:i w:val="0"/>
                <w:iCs w:val="0"/>
                <w:color w:val="000000" w:themeColor="text1"/>
                <w:sz w:val="24"/>
                <w:u w:val="none" w:color="auto"/>
                <w14:textFill>
                  <w14:solidFill>
                    <w14:schemeClr w14:val="tx1"/>
                  </w14:solidFill>
                </w14:textFill>
              </w:rPr>
              <w:t>4.固体废物</w:t>
            </w:r>
            <w:bookmarkEnd w:id="15"/>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bookmarkStart w:id="16" w:name="_Hlk35523490"/>
            <w:r>
              <w:rPr>
                <w:rFonts w:hint="default" w:ascii="Times New Roman" w:hAnsi="Times New Roman" w:cs="Times New Roman"/>
                <w:i w:val="0"/>
                <w:iCs w:val="0"/>
                <w:color w:val="000000" w:themeColor="text1"/>
                <w:sz w:val="24"/>
                <w:u w:val="none" w:color="auto"/>
                <w14:textFill>
                  <w14:solidFill>
                    <w14:schemeClr w14:val="tx1"/>
                  </w14:solidFill>
                </w14:textFill>
              </w:rPr>
              <w:t>施工期固体废物主要为建筑垃圾以及少部分施工人员产生的生活垃圾。建设施工单位应及时做好建筑垃圾的清运工作，及时将废弃土石方送往政府指定的垃圾填埋场，将废管材外卖至废品回收单位，生活垃圾定期委托环卫部门统一清运。</w:t>
            </w:r>
            <w:bookmarkEnd w:id="1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tcMar>
              <w:left w:w="28" w:type="dxa"/>
              <w:right w:w="28" w:type="dxa"/>
            </w:tcMar>
            <w:vAlign w:val="center"/>
          </w:tcPr>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运营</w:t>
            </w:r>
          </w:p>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期环</w:t>
            </w:r>
          </w:p>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境影</w:t>
            </w:r>
          </w:p>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响和</w:t>
            </w:r>
          </w:p>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保护</w:t>
            </w:r>
          </w:p>
          <w:p>
            <w:pPr>
              <w:adjustRightInd w:val="0"/>
              <w:snapToGrid w:val="0"/>
              <w:spacing w:line="276" w:lineRule="auto"/>
              <w:jc w:val="cente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r>
              <w:rPr>
                <w:rFonts w:hint="default" w:ascii="Times New Roman" w:hAnsi="Times New Roman" w:cs="Times New Roman"/>
                <w:bCs/>
                <w:i w:val="0"/>
                <w:iCs w:val="0"/>
                <w:color w:val="000000" w:themeColor="text1"/>
                <w:kern w:val="21"/>
                <w:szCs w:val="21"/>
                <w:u w:val="none" w:color="auto"/>
                <w14:textFill>
                  <w14:solidFill>
                    <w14:schemeClr w14:val="tx1"/>
                  </w14:solidFill>
                </w14:textFill>
              </w:rPr>
              <w:t>措施</w:t>
            </w:r>
          </w:p>
        </w:tc>
        <w:tc>
          <w:tcPr>
            <w:tcW w:w="4649" w:type="pct"/>
            <w:vAlign w:val="center"/>
          </w:tcPr>
          <w:p>
            <w:pPr>
              <w:spacing w:line="360" w:lineRule="auto"/>
              <w:ind w:firstLine="482" w:firstLineChars="200"/>
              <w:rPr>
                <w:rFonts w:hint="default" w:ascii="Times New Roman" w:hAnsi="Times New Roman" w:cs="Times New Roman"/>
                <w:b/>
                <w:bCs/>
                <w:i w:val="0"/>
                <w:iCs w:val="0"/>
                <w:color w:val="000000" w:themeColor="text1"/>
                <w:sz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u w:val="none" w:color="auto"/>
                <w14:textFill>
                  <w14:solidFill>
                    <w14:schemeClr w14:val="tx1"/>
                  </w14:solidFill>
                </w14:textFill>
              </w:rPr>
              <w:t>1.废气</w:t>
            </w:r>
          </w:p>
          <w:p>
            <w:pPr>
              <w:autoSpaceDE w:val="0"/>
              <w:autoSpaceDN w:val="0"/>
              <w:spacing w:line="360" w:lineRule="auto"/>
              <w:ind w:firstLine="480" w:firstLineChars="20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本项目运营后的大气污染物主要为生物质锅炉烟气</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（1）锅炉烟气</w:t>
            </w:r>
          </w:p>
          <w:p>
            <w:pPr>
              <w:adjustRightInd w:val="0"/>
              <w:snapToGrid w:val="0"/>
              <w:spacing w:line="360" w:lineRule="auto"/>
              <w:ind w:firstLine="480" w:firstLineChars="200"/>
              <w:rPr>
                <w:rFonts w:hint="eastAsia" w:ascii="Times New Roman" w:hAnsi="Times New Roman" w:eastAsia="宋体" w:cs="Times New Roman"/>
                <w:i w:val="0"/>
                <w:iCs w:val="0"/>
                <w:sz w:val="24"/>
                <w:u w:val="none" w:color="auto"/>
                <w:lang w:eastAsia="zh-CN"/>
              </w:rPr>
            </w:pPr>
            <w:r>
              <w:rPr>
                <w:rFonts w:hint="eastAsia" w:ascii="Times New Roman" w:hAnsi="Times New Roman" w:cs="Times New Roman"/>
                <w:i w:val="0"/>
                <w:iCs w:val="0"/>
                <w:sz w:val="24"/>
                <w:u w:val="none" w:color="auto"/>
                <w:lang w:eastAsia="zh-CN"/>
              </w:rPr>
              <w:t>①</w:t>
            </w:r>
            <w:r>
              <w:rPr>
                <w:rFonts w:hint="default" w:ascii="Times New Roman" w:hAnsi="Times New Roman" w:cs="Times New Roman"/>
                <w:i w:val="0"/>
                <w:iCs w:val="0"/>
                <w:sz w:val="24"/>
                <w:u w:val="none" w:color="auto"/>
              </w:rPr>
              <w:t>白山市江源区祖代鸡一厂</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lang w:eastAsia="zh-CN"/>
              </w:rPr>
              <w:t>厂</w:t>
            </w:r>
            <w:r>
              <w:rPr>
                <w:rFonts w:hint="eastAsia" w:ascii="Times New Roman" w:hAnsi="Times New Roman" w:cs="Times New Roman"/>
                <w:i w:val="0"/>
                <w:iCs w:val="0"/>
                <w:sz w:val="24"/>
                <w:u w:val="none" w:color="auto"/>
                <w:lang w:eastAsia="zh-CN"/>
              </w:rPr>
              <w:t>内新建</w:t>
            </w:r>
            <w:r>
              <w:rPr>
                <w:rFonts w:hint="default" w:ascii="Times New Roman" w:hAnsi="Times New Roman" w:cs="Times New Roman"/>
                <w:i w:val="0"/>
                <w:iCs w:val="0"/>
                <w:sz w:val="24"/>
                <w:u w:val="none" w:color="auto"/>
                <w:lang w:val="en-US" w:eastAsia="zh-CN"/>
              </w:rPr>
              <w:t>1</w:t>
            </w:r>
            <w:r>
              <w:rPr>
                <w:rFonts w:hint="default" w:ascii="Times New Roman" w:hAnsi="Times New Roman" w:cs="Times New Roman"/>
                <w:i w:val="0"/>
                <w:iCs w:val="0"/>
                <w:sz w:val="24"/>
                <w:u w:val="none" w:color="auto"/>
              </w:rPr>
              <w:t>台4t/h</w:t>
            </w:r>
            <w:r>
              <w:rPr>
                <w:rFonts w:hint="default" w:ascii="Times New Roman" w:hAnsi="Times New Roman" w:cs="Times New Roman"/>
                <w:i w:val="0"/>
                <w:iCs w:val="0"/>
                <w:sz w:val="24"/>
                <w:u w:val="none" w:color="auto"/>
                <w:lang w:eastAsia="zh-CN"/>
              </w:rPr>
              <w:t>及</w:t>
            </w:r>
            <w:r>
              <w:rPr>
                <w:rFonts w:hint="default" w:ascii="Times New Roman" w:hAnsi="Times New Roman" w:cs="Times New Roman"/>
                <w:i w:val="0"/>
                <w:iCs w:val="0"/>
                <w:sz w:val="24"/>
                <w:u w:val="none" w:color="auto"/>
                <w:lang w:val="en-US" w:eastAsia="zh-CN"/>
              </w:rPr>
              <w:t>1台2</w:t>
            </w:r>
            <w:r>
              <w:rPr>
                <w:rFonts w:hint="default" w:ascii="Times New Roman" w:hAnsi="Times New Roman" w:cs="Times New Roman"/>
                <w:i w:val="0"/>
                <w:iCs w:val="0"/>
                <w:sz w:val="24"/>
                <w:u w:val="none" w:color="auto"/>
              </w:rPr>
              <w:t>t/h生物质锅炉用于生产及冬季采暖供热，锅炉年运行</w:t>
            </w:r>
            <w:r>
              <w:rPr>
                <w:rFonts w:hint="default" w:ascii="Times New Roman" w:hAnsi="Times New Roman" w:cs="Times New Roman"/>
                <w:i w:val="0"/>
                <w:iCs w:val="0"/>
                <w:sz w:val="24"/>
                <w:u w:val="none" w:color="auto"/>
                <w:lang w:val="en-US" w:eastAsia="zh-CN"/>
              </w:rPr>
              <w:t>165</w:t>
            </w:r>
            <w:r>
              <w:rPr>
                <w:rFonts w:hint="default" w:ascii="Times New Roman" w:hAnsi="Times New Roman" w:cs="Times New Roman"/>
                <w:i w:val="0"/>
                <w:iCs w:val="0"/>
                <w:sz w:val="24"/>
                <w:u w:val="none" w:color="auto"/>
              </w:rPr>
              <w:t>天，每天</w:t>
            </w:r>
            <w:r>
              <w:rPr>
                <w:rFonts w:hint="default" w:ascii="Times New Roman" w:hAnsi="Times New Roman" w:cs="Times New Roman"/>
                <w:i w:val="0"/>
                <w:iCs w:val="0"/>
                <w:sz w:val="24"/>
                <w:u w:val="none" w:color="auto"/>
                <w:lang w:val="en-US" w:eastAsia="zh-CN"/>
              </w:rPr>
              <w:t>8</w:t>
            </w:r>
            <w:r>
              <w:rPr>
                <w:rFonts w:hint="default" w:ascii="Times New Roman" w:hAnsi="Times New Roman" w:cs="Times New Roman"/>
                <w:i w:val="0"/>
                <w:iCs w:val="0"/>
                <w:sz w:val="24"/>
                <w:u w:val="none" w:color="auto"/>
              </w:rPr>
              <w:t>h，共计</w:t>
            </w:r>
            <w:r>
              <w:rPr>
                <w:rFonts w:hint="default" w:ascii="Times New Roman" w:hAnsi="Times New Roman" w:cs="Times New Roman"/>
                <w:i w:val="0"/>
                <w:iCs w:val="0"/>
                <w:sz w:val="24"/>
                <w:u w:val="none" w:color="auto"/>
                <w:lang w:val="en-US" w:eastAsia="zh-CN"/>
              </w:rPr>
              <w:t>1320</w:t>
            </w:r>
            <w:r>
              <w:rPr>
                <w:rFonts w:hint="default" w:ascii="Times New Roman" w:hAnsi="Times New Roman" w:cs="Times New Roman"/>
                <w:i w:val="0"/>
                <w:iCs w:val="0"/>
                <w:sz w:val="24"/>
                <w:u w:val="none" w:color="auto"/>
              </w:rPr>
              <w:t>h，生物质年用量为</w:t>
            </w:r>
            <w:r>
              <w:rPr>
                <w:rFonts w:hint="default" w:ascii="Times New Roman" w:hAnsi="Times New Roman" w:cs="Times New Roman"/>
                <w:i w:val="0"/>
                <w:iCs w:val="0"/>
                <w:sz w:val="24"/>
                <w:u w:val="none" w:color="auto"/>
                <w:lang w:val="en-US" w:eastAsia="zh-CN"/>
              </w:rPr>
              <w:t>12</w:t>
            </w:r>
            <w:r>
              <w:rPr>
                <w:rFonts w:hint="default" w:ascii="Times New Roman" w:hAnsi="Times New Roman" w:cs="Times New Roman"/>
                <w:i w:val="0"/>
                <w:iCs w:val="0"/>
                <w:sz w:val="24"/>
                <w:u w:val="none" w:color="auto"/>
              </w:rPr>
              <w:t>00t，</w:t>
            </w:r>
            <w:r>
              <w:rPr>
                <w:rFonts w:hint="default" w:ascii="Times New Roman" w:hAnsi="Times New Roman" w:cs="Times New Roman"/>
                <w:i w:val="0"/>
                <w:iCs w:val="0"/>
                <w:sz w:val="24"/>
                <w:u w:val="none" w:color="auto"/>
                <w:lang w:eastAsia="zh-CN"/>
              </w:rPr>
              <w:t>每个厂</w:t>
            </w:r>
            <w:r>
              <w:rPr>
                <w:rFonts w:hint="default" w:ascii="Times New Roman" w:hAnsi="Times New Roman" w:cs="Times New Roman"/>
                <w:i w:val="0"/>
                <w:iCs w:val="0"/>
                <w:sz w:val="24"/>
                <w:u w:val="none" w:color="auto"/>
              </w:rPr>
              <w:t>新增1台布袋除尘器（除尘效率98%），锅炉烟气经1根35m高排气筒（DA001）排放。</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锅炉污染物排放量采用《污染源源强核算技术指南 锅炉》（HJ991-2018）中产污系数法，产污系数参考《排污许可证申请与核发技术规范  锅炉》（HJ953-2018）中“F.4燃生物质工业锅炉的废气产排污系数表”。</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根据《排污许可证申请与核发技术规范 锅炉》中基准烟气量经验公式速算法，具体公式如下：</w:t>
            </w:r>
          </w:p>
          <w:p>
            <w:pPr>
              <w:adjustRightInd w:val="0"/>
              <w:snapToGrid w:val="0"/>
              <w:spacing w:line="360" w:lineRule="auto"/>
              <w:jc w:val="center"/>
              <w:rPr>
                <w:rFonts w:hint="default" w:ascii="Times New Roman" w:hAnsi="Times New Roman" w:cs="Times New Roman"/>
                <w:i w:val="0"/>
                <w:iCs w:val="0"/>
                <w:sz w:val="24"/>
                <w:u w:val="none" w:color="auto"/>
              </w:rPr>
            </w:pPr>
            <w:r>
              <w:rPr>
                <w:rFonts w:hint="default" w:ascii="Times New Roman" w:hAnsi="Times New Roman" w:cs="Times New Roman"/>
                <w:i w:val="0"/>
                <w:iCs w:val="0"/>
                <w:u w:val="none" w:color="auto"/>
              </w:rPr>
              <w:drawing>
                <wp:inline distT="0" distB="0" distL="0" distR="0">
                  <wp:extent cx="1805940" cy="2209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5940" cy="220980"/>
                          </a:xfrm>
                          <a:prstGeom prst="rect">
                            <a:avLst/>
                          </a:prstGeom>
                          <a:noFill/>
                          <a:ln>
                            <a:noFill/>
                          </a:ln>
                        </pic:spPr>
                      </pic:pic>
                    </a:graphicData>
                  </a:graphic>
                </wp:inline>
              </w:drawing>
            </w:r>
            <w:r>
              <w:rPr>
                <w:rFonts w:hint="default" w:ascii="Times New Roman" w:hAnsi="Times New Roman" w:cs="Times New Roman"/>
                <w:i w:val="0"/>
                <w:iCs w:val="0"/>
                <w:sz w:val="24"/>
                <w:u w:val="none" w:color="auto"/>
              </w:rPr>
              <w:t xml:space="preserve"> </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其中：Vgy：基准烟气量（Nm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/kg或Nm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w:t>
            </w:r>
          </w:p>
          <w:p>
            <w:pPr>
              <w:widowControl/>
              <w:snapToGrid w:val="0"/>
              <w:spacing w:line="360" w:lineRule="auto"/>
              <w:ind w:firstLine="1200" w:firstLineChars="5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Qnet，ar固体燃料/液体燃料收到基低位发热量（MJ/kg）</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经计算，锅炉产生的烟气量为</w:t>
            </w:r>
            <w:r>
              <w:rPr>
                <w:rFonts w:hint="eastAsia" w:ascii="Times New Roman" w:hAnsi="Times New Roman" w:cs="Times New Roman"/>
                <w:i w:val="0"/>
                <w:iCs w:val="0"/>
                <w:sz w:val="24"/>
                <w:u w:val="none" w:color="auto"/>
                <w:lang w:val="en-US" w:eastAsia="zh-CN"/>
              </w:rPr>
              <w:t>5.62</w:t>
            </w:r>
            <w:r>
              <w:rPr>
                <w:rFonts w:hint="default" w:ascii="Times New Roman" w:hAnsi="Times New Roman" w:cs="Times New Roman"/>
                <w:i w:val="0"/>
                <w:iCs w:val="0"/>
                <w:sz w:val="24"/>
                <w:u w:val="none" w:color="auto"/>
              </w:rPr>
              <w:t>×10</w:t>
            </w:r>
            <w:r>
              <w:rPr>
                <w:rFonts w:hint="eastAsia" w:ascii="Times New Roman" w:hAnsi="Times New Roman" w:cs="Times New Roman"/>
                <w:i w:val="0"/>
                <w:iCs w:val="0"/>
                <w:sz w:val="24"/>
                <w:u w:val="none" w:color="auto"/>
                <w:vertAlign w:val="superscript"/>
                <w:lang w:val="en-US" w:eastAsia="zh-CN"/>
              </w:rPr>
              <w:t>6</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/a。</w:t>
            </w:r>
          </w:p>
          <w:p>
            <w:pPr>
              <w:widowControl/>
              <w:snapToGrid w:val="0"/>
              <w:spacing w:line="360" w:lineRule="auto"/>
              <w:ind w:firstLine="480" w:firstLineChars="200"/>
              <w:rPr>
                <w:rFonts w:hint="default" w:ascii="Times New Roman" w:hAnsi="Times New Roman" w:cs="Times New Roman"/>
                <w:i/>
                <w:iCs/>
                <w:sz w:val="24"/>
                <w:u w:val="single" w:color="auto"/>
              </w:rPr>
            </w:pPr>
            <w:r>
              <w:rPr>
                <w:rFonts w:hint="default" w:ascii="Times New Roman" w:hAnsi="Times New Roman" w:cs="Times New Roman"/>
                <w:i/>
                <w:iCs/>
                <w:sz w:val="24"/>
                <w:u w:val="single" w:color="auto"/>
              </w:rPr>
              <w:t>本项目锅炉烟气污染物中各污染物产生情况，排放情况详见下表。</w:t>
            </w:r>
          </w:p>
          <w:p>
            <w:pPr>
              <w:jc w:val="center"/>
              <w:rPr>
                <w:rFonts w:hint="default" w:ascii="Times New Roman" w:hAnsi="Times New Roman" w:cs="Times New Roman"/>
                <w:b/>
                <w:i/>
                <w:iCs/>
                <w:u w:val="single" w:color="auto"/>
              </w:rPr>
            </w:pPr>
            <w:r>
              <w:rPr>
                <w:rFonts w:hint="default" w:ascii="Times New Roman" w:hAnsi="Times New Roman" w:cs="Times New Roman"/>
                <w:b/>
                <w:i/>
                <w:iCs/>
                <w:u w:val="single" w:color="auto"/>
              </w:rPr>
              <w:t>表</w:t>
            </w:r>
            <w:r>
              <w:rPr>
                <w:rFonts w:hint="eastAsia" w:ascii="Times New Roman" w:hAnsi="Times New Roman" w:cs="Times New Roman"/>
                <w:b/>
                <w:i/>
                <w:iCs/>
                <w:u w:val="single" w:color="auto"/>
                <w:lang w:val="en-US" w:eastAsia="zh-CN"/>
              </w:rPr>
              <w:t>18</w:t>
            </w:r>
            <w:r>
              <w:rPr>
                <w:rFonts w:hint="default" w:ascii="Times New Roman" w:hAnsi="Times New Roman" w:cs="Times New Roman"/>
                <w:b/>
                <w:i/>
                <w:iCs/>
                <w:u w:val="single" w:color="auto"/>
              </w:rPr>
              <w:t xml:space="preserve">  各污染物产排污系数</w:t>
            </w:r>
          </w:p>
          <w:tbl>
            <w:tblPr>
              <w:tblStyle w:val="18"/>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73"/>
              <w:gridCol w:w="839"/>
              <w:gridCol w:w="823"/>
              <w:gridCol w:w="2261"/>
              <w:gridCol w:w="1467"/>
              <w:gridCol w:w="1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tcBorders>
                    <w:top w:val="single" w:color="auto" w:sz="12"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产品名称</w:t>
                  </w:r>
                </w:p>
              </w:tc>
              <w:tc>
                <w:tcPr>
                  <w:tcW w:w="483"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原料名称</w:t>
                  </w:r>
                </w:p>
              </w:tc>
              <w:tc>
                <w:tcPr>
                  <w:tcW w:w="52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工艺名称</w:t>
                  </w:r>
                </w:p>
              </w:tc>
              <w:tc>
                <w:tcPr>
                  <w:tcW w:w="51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规模等级</w:t>
                  </w:r>
                </w:p>
              </w:tc>
              <w:tc>
                <w:tcPr>
                  <w:tcW w:w="1412"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污染物指标</w:t>
                  </w:r>
                </w:p>
              </w:tc>
              <w:tc>
                <w:tcPr>
                  <w:tcW w:w="916"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单位</w:t>
                  </w:r>
                </w:p>
              </w:tc>
              <w:tc>
                <w:tcPr>
                  <w:tcW w:w="657" w:type="pct"/>
                  <w:tcBorders>
                    <w:top w:val="single" w:color="auto" w:sz="12"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产污</w:t>
                  </w:r>
                </w:p>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蒸汽/热水/其它</w:t>
                  </w:r>
                </w:p>
              </w:tc>
              <w:tc>
                <w:tcPr>
                  <w:tcW w:w="483"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生物质</w:t>
                  </w:r>
                </w:p>
              </w:tc>
              <w:tc>
                <w:tcPr>
                  <w:tcW w:w="52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室燃</w:t>
                  </w:r>
                </w:p>
              </w:tc>
              <w:tc>
                <w:tcPr>
                  <w:tcW w:w="51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所有规模</w:t>
                  </w: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颗粒物（成型燃料）</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千克/吨</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二氧化硫</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千克/吨燃料</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17S*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412"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氮氧化物</w:t>
                  </w:r>
                </w:p>
              </w:tc>
              <w:tc>
                <w:tcPr>
                  <w:tcW w:w="916"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千克/吨燃料</w:t>
                  </w:r>
                </w:p>
              </w:tc>
              <w:tc>
                <w:tcPr>
                  <w:tcW w:w="657" w:type="pct"/>
                  <w:tcBorders>
                    <w:top w:val="single" w:color="auto" w:sz="4" w:space="0"/>
                    <w:left w:val="single" w:color="auto" w:sz="4" w:space="0"/>
                    <w:bottom w:val="single" w:color="auto" w:sz="12"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1.02</w:t>
                  </w:r>
                </w:p>
              </w:tc>
            </w:tr>
          </w:tbl>
          <w:p>
            <w:pPr>
              <w:ind w:firstLine="422" w:firstLineChars="200"/>
              <w:jc w:val="center"/>
              <w:rPr>
                <w:rFonts w:hint="default" w:ascii="Times New Roman" w:hAnsi="Times New Roman" w:cs="Times New Roman"/>
                <w:b/>
                <w:i/>
                <w:iCs/>
                <w:u w:val="single" w:color="auto"/>
              </w:rPr>
            </w:pPr>
            <w:r>
              <w:rPr>
                <w:rFonts w:hint="default" w:ascii="Times New Roman" w:hAnsi="Times New Roman" w:cs="Times New Roman"/>
                <w:b/>
                <w:i/>
                <w:iCs/>
                <w:u w:val="single" w:color="auto"/>
              </w:rPr>
              <w:t>表</w:t>
            </w:r>
            <w:r>
              <w:rPr>
                <w:rFonts w:hint="eastAsia" w:ascii="Times New Roman" w:hAnsi="Times New Roman" w:cs="Times New Roman"/>
                <w:b/>
                <w:i/>
                <w:iCs/>
                <w:u w:val="single" w:color="auto"/>
                <w:lang w:val="en-US" w:eastAsia="zh-CN"/>
              </w:rPr>
              <w:t>19</w:t>
            </w:r>
            <w:r>
              <w:rPr>
                <w:rFonts w:hint="default" w:ascii="Times New Roman" w:hAnsi="Times New Roman" w:cs="Times New Roman"/>
                <w:b/>
                <w:i/>
                <w:iCs/>
                <w:u w:val="single" w:color="auto"/>
              </w:rPr>
              <w:t xml:space="preserve">  本项目锅炉烟气排放情况</w:t>
            </w:r>
          </w:p>
          <w:tbl>
            <w:tblPr>
              <w:tblStyle w:val="18"/>
              <w:tblW w:w="49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95"/>
              <w:gridCol w:w="1348"/>
              <w:gridCol w:w="1117"/>
              <w:gridCol w:w="1654"/>
              <w:gridCol w:w="13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vMerge w:val="restart"/>
                  <w:tcBorders>
                    <w:top w:val="single" w:color="auto" w:sz="12" w:space="0"/>
                    <w:left w:val="nil"/>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污染物名称</w:t>
                  </w:r>
                </w:p>
              </w:tc>
              <w:tc>
                <w:tcPr>
                  <w:tcW w:w="1776" w:type="pct"/>
                  <w:gridSpan w:val="2"/>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产生情况</w:t>
                  </w:r>
                </w:p>
              </w:tc>
              <w:tc>
                <w:tcPr>
                  <w:tcW w:w="698" w:type="pct"/>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治理措施</w:t>
                  </w:r>
                </w:p>
              </w:tc>
              <w:tc>
                <w:tcPr>
                  <w:tcW w:w="1883" w:type="pct"/>
                  <w:gridSpan w:val="2"/>
                  <w:tcBorders>
                    <w:top w:val="single" w:color="auto" w:sz="12" w:space="0"/>
                    <w:left w:val="single" w:color="auto" w:sz="4" w:space="0"/>
                    <w:bottom w:val="single" w:color="auto" w:sz="4" w:space="0"/>
                    <w:right w:val="nil"/>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12" w:space="0"/>
                    <w:left w:val="nil"/>
                    <w:bottom w:val="single" w:color="auto" w:sz="4"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产生量（t/a）</w:t>
                  </w:r>
                </w:p>
              </w:tc>
              <w:tc>
                <w:tcPr>
                  <w:tcW w:w="698"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布袋除尘器（效率98%）</w:t>
                  </w: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50"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烟气量</w:t>
                  </w:r>
                </w:p>
              </w:tc>
              <w:tc>
                <w:tcPr>
                  <w:tcW w:w="1776" w:type="pct"/>
                  <w:gridSpan w:val="2"/>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883" w:type="pct"/>
                  <w:gridSpan w:val="2"/>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万m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颗粒物</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106.76</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2.14</w:t>
                  </w:r>
                </w:p>
              </w:tc>
              <w:tc>
                <w:tcPr>
                  <w:tcW w:w="850" w:type="pct"/>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default" w:ascii="Times New Roman" w:hAnsi="Times New Roman" w:cs="Times New Roman"/>
                      <w:i/>
                      <w:iCs/>
                      <w:kern w:val="0"/>
                      <w:u w:val="single" w:color="auto"/>
                    </w:rPr>
                    <w:t>0.0</w:t>
                  </w:r>
                  <w:r>
                    <w:rPr>
                      <w:rFonts w:hint="eastAsia" w:ascii="Times New Roman" w:hAnsi="Times New Roman" w:cs="Times New Roman"/>
                      <w:i/>
                      <w:iCs/>
                      <w:kern w:val="0"/>
                      <w:u w:val="single" w:color="auto"/>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SO</w:t>
                  </w:r>
                  <w:r>
                    <w:rPr>
                      <w:rFonts w:hint="default" w:ascii="Times New Roman" w:hAnsi="Times New Roman" w:cs="Times New Roman"/>
                      <w:i/>
                      <w:iCs/>
                      <w:kern w:val="0"/>
                      <w:u w:val="single" w:color="auto"/>
                      <w:vertAlign w:val="subscript"/>
                    </w:rPr>
                    <w:t>2</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0.612</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1334" w:type="dxa"/>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0.612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NOx</w:t>
                  </w:r>
                </w:p>
              </w:tc>
              <w:tc>
                <w:tcPr>
                  <w:tcW w:w="934"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217.79</w:t>
                  </w:r>
                </w:p>
              </w:tc>
              <w:tc>
                <w:tcPr>
                  <w:tcW w:w="841"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1.224</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217.79</w:t>
                  </w:r>
                </w:p>
              </w:tc>
              <w:tc>
                <w:tcPr>
                  <w:tcW w:w="1334" w:type="dxa"/>
                  <w:tcBorders>
                    <w:top w:val="single" w:color="auto" w:sz="4" w:space="0"/>
                    <w:left w:val="single" w:color="auto" w:sz="4" w:space="0"/>
                    <w:bottom w:val="single" w:color="auto" w:sz="12"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1.224</w:t>
                  </w:r>
                </w:p>
              </w:tc>
            </w:tr>
          </w:tbl>
          <w:p>
            <w:pPr>
              <w:pStyle w:val="69"/>
              <w:snapToGrid/>
              <w:rPr>
                <w:rFonts w:hint="default" w:ascii="Times New Roman" w:hAnsi="Times New Roman" w:cs="Times New Roman"/>
                <w:i/>
                <w:iCs/>
                <w:color w:val="auto"/>
                <w:u w:val="single" w:color="auto"/>
              </w:rPr>
            </w:pPr>
          </w:p>
          <w:p>
            <w:pPr>
              <w:pStyle w:val="69"/>
              <w:snapToGrid/>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由计算结果可以看出，本项目生物质锅炉干烟气产生量为</w:t>
            </w:r>
            <w:r>
              <w:rPr>
                <w:rFonts w:hint="eastAsia" w:ascii="Times New Roman" w:hAnsi="Times New Roman" w:cs="Times New Roman"/>
                <w:i/>
                <w:iCs/>
                <w:sz w:val="24"/>
                <w:u w:val="single" w:color="auto"/>
                <w:lang w:val="en-US" w:eastAsia="zh-CN"/>
              </w:rPr>
              <w:t>5.62</w:t>
            </w:r>
            <w:r>
              <w:rPr>
                <w:rFonts w:hint="default" w:ascii="Times New Roman" w:hAnsi="Times New Roman" w:cs="Times New Roman"/>
                <w:i/>
                <w:iCs/>
                <w:sz w:val="24"/>
                <w:u w:val="single" w:color="auto"/>
              </w:rPr>
              <w:t>×10</w:t>
            </w:r>
            <w:r>
              <w:rPr>
                <w:rFonts w:hint="eastAsia" w:ascii="Times New Roman" w:hAnsi="Times New Roman" w:cs="Times New Roman"/>
                <w:i/>
                <w:iCs/>
                <w:sz w:val="24"/>
                <w:u w:val="single" w:color="auto"/>
                <w:vertAlign w:val="superscript"/>
                <w:lang w:val="en-US" w:eastAsia="zh-CN"/>
              </w:rPr>
              <w:t>6</w:t>
            </w:r>
            <w:r>
              <w:rPr>
                <w:rFonts w:hint="default" w:ascii="Times New Roman" w:hAnsi="Times New Roman" w:cs="Times New Roman"/>
                <w:i/>
                <w:iCs/>
                <w:sz w:val="24"/>
                <w:u w:val="single" w:color="auto"/>
              </w:rPr>
              <w:t>m</w:t>
            </w:r>
            <w:r>
              <w:rPr>
                <w:rFonts w:hint="default" w:ascii="Times New Roman" w:hAnsi="Times New Roman" w:cs="Times New Roman"/>
                <w:i/>
                <w:iCs/>
                <w:sz w:val="24"/>
                <w:u w:val="single" w:color="auto"/>
                <w:vertAlign w:val="superscript"/>
              </w:rPr>
              <w:t>3</w:t>
            </w:r>
            <w:r>
              <w:rPr>
                <w:rFonts w:hint="default" w:ascii="Times New Roman" w:hAnsi="Times New Roman" w:cs="Times New Roman"/>
                <w:i/>
                <w:iCs/>
                <w:sz w:val="24"/>
                <w:u w:val="single" w:color="auto"/>
              </w:rPr>
              <w:t>/a</w:t>
            </w:r>
            <w:r>
              <w:rPr>
                <w:rFonts w:hint="default" w:ascii="Times New Roman" w:hAnsi="Times New Roman" w:cs="Times New Roman"/>
                <w:i/>
                <w:iCs/>
                <w:color w:val="auto"/>
                <w:u w:val="single" w:color="auto"/>
              </w:rPr>
              <w:t>，经布袋除尘器对烟气进行处理后（处理效率98%），烟气中</w:t>
            </w:r>
            <w:r>
              <w:rPr>
                <w:rFonts w:hint="default" w:ascii="Times New Roman" w:hAnsi="Times New Roman" w:cs="Times New Roman"/>
                <w:i/>
                <w:iCs/>
                <w:color w:val="auto"/>
                <w:u w:val="single" w:color="auto"/>
                <w:lang w:val="zh-CN"/>
              </w:rPr>
              <w:t>污染物</w:t>
            </w:r>
            <w:r>
              <w:rPr>
                <w:rFonts w:hint="default" w:ascii="Times New Roman" w:hAnsi="Times New Roman" w:cs="Times New Roman"/>
                <w:i/>
                <w:iCs/>
                <w:color w:val="auto"/>
                <w:u w:val="single" w:color="auto"/>
              </w:rPr>
              <w:t>排放量分别为颗粒物：0.0</w:t>
            </w:r>
            <w:r>
              <w:rPr>
                <w:rFonts w:hint="eastAsia" w:ascii="Times New Roman" w:hAnsi="Times New Roman" w:cs="Times New Roman"/>
                <w:i/>
                <w:iCs/>
                <w:color w:val="auto"/>
                <w:u w:val="single" w:color="auto"/>
                <w:lang w:val="en-US" w:eastAsia="zh-CN"/>
              </w:rPr>
              <w:t>12</w:t>
            </w:r>
            <w:r>
              <w:rPr>
                <w:rFonts w:hint="default" w:ascii="Times New Roman" w:hAnsi="Times New Roman" w:cs="Times New Roman"/>
                <w:i/>
                <w:iCs/>
                <w:color w:val="auto"/>
                <w:u w:val="single" w:color="auto"/>
              </w:rPr>
              <w:t>t/a、SO</w:t>
            </w:r>
            <w:r>
              <w:rPr>
                <w:rFonts w:hint="default" w:ascii="Times New Roman" w:hAnsi="Times New Roman" w:cs="Times New Roman"/>
                <w:i/>
                <w:iCs/>
                <w:color w:val="auto"/>
                <w:u w:val="single" w:color="auto"/>
                <w:vertAlign w:val="subscript"/>
              </w:rPr>
              <w:t>2</w:t>
            </w:r>
            <w:r>
              <w:rPr>
                <w:rFonts w:hint="default" w:ascii="Times New Roman" w:hAnsi="Times New Roman" w:cs="Times New Roman"/>
                <w:i/>
                <w:iCs/>
                <w:color w:val="auto"/>
                <w:u w:val="single" w:color="auto"/>
              </w:rPr>
              <w:t>：</w:t>
            </w:r>
            <w:r>
              <w:rPr>
                <w:rFonts w:hint="eastAsia" w:ascii="Times New Roman" w:hAnsi="Times New Roman" w:cs="Times New Roman"/>
                <w:i/>
                <w:iCs/>
                <w:color w:val="auto"/>
                <w:u w:val="single" w:color="auto"/>
                <w:lang w:val="en-US" w:eastAsia="zh-CN"/>
              </w:rPr>
              <w:t>0.612</w:t>
            </w:r>
            <w:r>
              <w:rPr>
                <w:rFonts w:hint="default" w:ascii="Times New Roman" w:hAnsi="Times New Roman" w:cs="Times New Roman"/>
                <w:i/>
                <w:iCs/>
                <w:color w:val="auto"/>
                <w:u w:val="single" w:color="auto"/>
              </w:rPr>
              <w:t>t/a、NOx：</w:t>
            </w:r>
            <w:r>
              <w:rPr>
                <w:rFonts w:hint="eastAsia" w:ascii="Times New Roman" w:hAnsi="Times New Roman" w:cs="Times New Roman"/>
                <w:i/>
                <w:iCs/>
                <w:color w:val="auto"/>
                <w:u w:val="single" w:color="auto"/>
                <w:lang w:val="en-US" w:eastAsia="zh-CN"/>
              </w:rPr>
              <w:t>1.224</w:t>
            </w:r>
            <w:r>
              <w:rPr>
                <w:rFonts w:hint="default" w:ascii="Times New Roman" w:hAnsi="Times New Roman" w:cs="Times New Roman"/>
                <w:i/>
                <w:iCs/>
                <w:color w:val="auto"/>
                <w:u w:val="single" w:color="auto"/>
              </w:rPr>
              <w:t>t/a；排放浓度分别为颗粒物：</w:t>
            </w:r>
            <w:r>
              <w:rPr>
                <w:rFonts w:hint="eastAsia" w:ascii="Times New Roman" w:hAnsi="Times New Roman" w:cs="Times New Roman"/>
                <w:i/>
                <w:iCs/>
                <w:color w:val="auto"/>
                <w:u w:val="single" w:color="auto"/>
                <w:lang w:val="en-US" w:eastAsia="zh-CN"/>
              </w:rPr>
              <w:t>2.14</w:t>
            </w:r>
            <w:r>
              <w:rPr>
                <w:rFonts w:hint="default" w:ascii="Times New Roman" w:hAnsi="Times New Roman" w:cs="Times New Roman"/>
                <w:i/>
                <w:iCs/>
                <w:color w:val="auto"/>
                <w:u w:val="single" w:color="auto"/>
              </w:rPr>
              <w:t>mg/m</w:t>
            </w:r>
            <w:r>
              <w:rPr>
                <w:rFonts w:hint="default" w:ascii="Times New Roman" w:hAnsi="Times New Roman" w:cs="Times New Roman"/>
                <w:i/>
                <w:iCs/>
                <w:color w:val="auto"/>
                <w:u w:val="single" w:color="auto"/>
                <w:vertAlign w:val="superscript"/>
              </w:rPr>
              <w:t>3</w:t>
            </w:r>
            <w:r>
              <w:rPr>
                <w:rFonts w:hint="default" w:ascii="Times New Roman" w:hAnsi="Times New Roman" w:cs="Times New Roman"/>
                <w:i/>
                <w:iCs/>
                <w:color w:val="auto"/>
                <w:u w:val="single" w:color="auto"/>
              </w:rPr>
              <w:t>、SO</w:t>
            </w:r>
            <w:r>
              <w:rPr>
                <w:rFonts w:hint="default" w:ascii="Times New Roman" w:hAnsi="Times New Roman" w:cs="Times New Roman"/>
                <w:i/>
                <w:iCs/>
                <w:color w:val="auto"/>
                <w:u w:val="single" w:color="auto"/>
                <w:vertAlign w:val="subscript"/>
              </w:rPr>
              <w:t>2</w:t>
            </w:r>
            <w:r>
              <w:rPr>
                <w:rFonts w:hint="default" w:ascii="Times New Roman" w:hAnsi="Times New Roman" w:cs="Times New Roman"/>
                <w:i/>
                <w:iCs/>
                <w:color w:val="auto"/>
                <w:u w:val="single" w:color="auto"/>
              </w:rPr>
              <w:t>：</w:t>
            </w:r>
            <w:r>
              <w:rPr>
                <w:rFonts w:hint="eastAsia" w:ascii="Times New Roman" w:hAnsi="Times New Roman" w:cs="Times New Roman"/>
                <w:i/>
                <w:iCs/>
                <w:color w:val="auto"/>
                <w:u w:val="single" w:color="auto"/>
                <w:lang w:val="en-US" w:eastAsia="zh-CN"/>
              </w:rPr>
              <w:t>108.90</w:t>
            </w:r>
            <w:r>
              <w:rPr>
                <w:rFonts w:hint="default" w:ascii="Times New Roman" w:hAnsi="Times New Roman" w:cs="Times New Roman"/>
                <w:i/>
                <w:iCs/>
                <w:color w:val="auto"/>
                <w:u w:val="single" w:color="auto"/>
              </w:rPr>
              <w:t>mg/m</w:t>
            </w:r>
            <w:r>
              <w:rPr>
                <w:rFonts w:hint="default" w:ascii="Times New Roman" w:hAnsi="Times New Roman" w:cs="Times New Roman"/>
                <w:i/>
                <w:iCs/>
                <w:color w:val="auto"/>
                <w:u w:val="single" w:color="auto"/>
                <w:vertAlign w:val="superscript"/>
              </w:rPr>
              <w:t>3</w:t>
            </w:r>
            <w:r>
              <w:rPr>
                <w:rFonts w:hint="default" w:ascii="Times New Roman" w:hAnsi="Times New Roman" w:cs="Times New Roman"/>
                <w:i/>
                <w:iCs/>
                <w:color w:val="auto"/>
                <w:u w:val="single" w:color="auto"/>
              </w:rPr>
              <w:t>、NOx：</w:t>
            </w:r>
            <w:r>
              <w:rPr>
                <w:rFonts w:hint="eastAsia" w:ascii="Times New Roman" w:hAnsi="Times New Roman" w:cs="Times New Roman"/>
                <w:i/>
                <w:iCs/>
                <w:color w:val="auto"/>
                <w:u w:val="single" w:color="auto"/>
                <w:lang w:val="en-US" w:eastAsia="zh-CN"/>
              </w:rPr>
              <w:t>217.79</w:t>
            </w:r>
            <w:r>
              <w:rPr>
                <w:rFonts w:hint="default" w:ascii="Times New Roman" w:hAnsi="Times New Roman" w:cs="Times New Roman"/>
                <w:i/>
                <w:iCs/>
                <w:color w:val="auto"/>
                <w:u w:val="single" w:color="auto"/>
              </w:rPr>
              <w:t>mg/m</w:t>
            </w:r>
            <w:r>
              <w:rPr>
                <w:rFonts w:hint="default" w:ascii="Times New Roman" w:hAnsi="Times New Roman" w:cs="Times New Roman"/>
                <w:i/>
                <w:iCs/>
                <w:color w:val="auto"/>
                <w:u w:val="single" w:color="auto"/>
                <w:vertAlign w:val="superscript"/>
              </w:rPr>
              <w:t>3</w:t>
            </w:r>
            <w:r>
              <w:rPr>
                <w:rFonts w:hint="default" w:ascii="Times New Roman" w:hAnsi="Times New Roman" w:cs="Times New Roman"/>
                <w:i/>
                <w:iCs/>
                <w:color w:val="auto"/>
                <w:u w:val="single" w:color="auto"/>
              </w:rPr>
              <w:t>；烟气经1根35m高的烟囱排放，能够满足《锅炉大气污染物排放标准》（GB13271-2014）表2中新建锅炉大气污染物排放浓度限值。</w:t>
            </w:r>
          </w:p>
          <w:p>
            <w:pPr>
              <w:adjustRightInd w:val="0"/>
              <w:snapToGrid w:val="0"/>
              <w:spacing w:line="360" w:lineRule="auto"/>
              <w:ind w:firstLine="480" w:firstLineChars="200"/>
              <w:rPr>
                <w:rFonts w:hint="eastAsia" w:ascii="Times New Roman" w:hAnsi="Times New Roman" w:eastAsia="宋体" w:cs="Times New Roman"/>
                <w:i w:val="0"/>
                <w:iCs w:val="0"/>
                <w:sz w:val="24"/>
                <w:u w:val="none" w:color="auto"/>
                <w:lang w:eastAsia="zh-CN"/>
              </w:rPr>
            </w:pPr>
            <w:r>
              <w:rPr>
                <w:rFonts w:hint="eastAsia" w:ascii="Times New Roman" w:hAnsi="Times New Roman" w:cs="Times New Roman"/>
                <w:i w:val="0"/>
                <w:iCs w:val="0"/>
                <w:sz w:val="24"/>
                <w:u w:val="none" w:color="auto"/>
                <w:lang w:eastAsia="zh-CN"/>
              </w:rPr>
              <w:t>②</w:t>
            </w:r>
            <w:r>
              <w:rPr>
                <w:rFonts w:hint="default" w:ascii="Times New Roman" w:hAnsi="Times New Roman" w:cs="Times New Roman"/>
                <w:i w:val="0"/>
                <w:iCs w:val="0"/>
                <w:sz w:val="24"/>
                <w:u w:val="none" w:color="auto"/>
              </w:rPr>
              <w:t>白山市江源区祖代鸡二厂</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lang w:eastAsia="zh-CN"/>
              </w:rPr>
              <w:t>厂</w:t>
            </w:r>
            <w:r>
              <w:rPr>
                <w:rFonts w:hint="eastAsia" w:ascii="Times New Roman" w:hAnsi="Times New Roman" w:cs="Times New Roman"/>
                <w:i w:val="0"/>
                <w:iCs w:val="0"/>
                <w:sz w:val="24"/>
                <w:u w:val="none" w:color="auto"/>
                <w:lang w:eastAsia="zh-CN"/>
              </w:rPr>
              <w:t>内新建</w:t>
            </w:r>
            <w:r>
              <w:rPr>
                <w:rFonts w:hint="default" w:ascii="Times New Roman" w:hAnsi="Times New Roman" w:cs="Times New Roman"/>
                <w:i w:val="0"/>
                <w:iCs w:val="0"/>
                <w:sz w:val="24"/>
                <w:u w:val="none" w:color="auto"/>
                <w:lang w:val="en-US" w:eastAsia="zh-CN"/>
              </w:rPr>
              <w:t>1</w:t>
            </w:r>
            <w:r>
              <w:rPr>
                <w:rFonts w:hint="default" w:ascii="Times New Roman" w:hAnsi="Times New Roman" w:cs="Times New Roman"/>
                <w:i w:val="0"/>
                <w:iCs w:val="0"/>
                <w:sz w:val="24"/>
                <w:u w:val="none" w:color="auto"/>
              </w:rPr>
              <w:t>台4t/h</w:t>
            </w:r>
            <w:r>
              <w:rPr>
                <w:rFonts w:hint="default" w:ascii="Times New Roman" w:hAnsi="Times New Roman" w:cs="Times New Roman"/>
                <w:i w:val="0"/>
                <w:iCs w:val="0"/>
                <w:sz w:val="24"/>
                <w:u w:val="none" w:color="auto"/>
                <w:lang w:eastAsia="zh-CN"/>
              </w:rPr>
              <w:t>及</w:t>
            </w:r>
            <w:r>
              <w:rPr>
                <w:rFonts w:hint="default" w:ascii="Times New Roman" w:hAnsi="Times New Roman" w:cs="Times New Roman"/>
                <w:i w:val="0"/>
                <w:iCs w:val="0"/>
                <w:sz w:val="24"/>
                <w:u w:val="none" w:color="auto"/>
                <w:lang w:val="en-US" w:eastAsia="zh-CN"/>
              </w:rPr>
              <w:t>1台2</w:t>
            </w:r>
            <w:r>
              <w:rPr>
                <w:rFonts w:hint="default" w:ascii="Times New Roman" w:hAnsi="Times New Roman" w:cs="Times New Roman"/>
                <w:i w:val="0"/>
                <w:iCs w:val="0"/>
                <w:sz w:val="24"/>
                <w:u w:val="none" w:color="auto"/>
              </w:rPr>
              <w:t>t/h生物质锅炉用于生产及冬季采暖供热，锅炉年运行</w:t>
            </w:r>
            <w:r>
              <w:rPr>
                <w:rFonts w:hint="default" w:ascii="Times New Roman" w:hAnsi="Times New Roman" w:cs="Times New Roman"/>
                <w:i w:val="0"/>
                <w:iCs w:val="0"/>
                <w:sz w:val="24"/>
                <w:u w:val="none" w:color="auto"/>
                <w:lang w:val="en-US" w:eastAsia="zh-CN"/>
              </w:rPr>
              <w:t>165</w:t>
            </w:r>
            <w:r>
              <w:rPr>
                <w:rFonts w:hint="default" w:ascii="Times New Roman" w:hAnsi="Times New Roman" w:cs="Times New Roman"/>
                <w:i w:val="0"/>
                <w:iCs w:val="0"/>
                <w:sz w:val="24"/>
                <w:u w:val="none" w:color="auto"/>
              </w:rPr>
              <w:t>天，每天</w:t>
            </w:r>
            <w:r>
              <w:rPr>
                <w:rFonts w:hint="default" w:ascii="Times New Roman" w:hAnsi="Times New Roman" w:cs="Times New Roman"/>
                <w:i w:val="0"/>
                <w:iCs w:val="0"/>
                <w:sz w:val="24"/>
                <w:u w:val="none" w:color="auto"/>
                <w:lang w:val="en-US" w:eastAsia="zh-CN"/>
              </w:rPr>
              <w:t>8</w:t>
            </w:r>
            <w:r>
              <w:rPr>
                <w:rFonts w:hint="default" w:ascii="Times New Roman" w:hAnsi="Times New Roman" w:cs="Times New Roman"/>
                <w:i w:val="0"/>
                <w:iCs w:val="0"/>
                <w:sz w:val="24"/>
                <w:u w:val="none" w:color="auto"/>
              </w:rPr>
              <w:t>h，共计</w:t>
            </w:r>
            <w:r>
              <w:rPr>
                <w:rFonts w:hint="default" w:ascii="Times New Roman" w:hAnsi="Times New Roman" w:cs="Times New Roman"/>
                <w:i w:val="0"/>
                <w:iCs w:val="0"/>
                <w:sz w:val="24"/>
                <w:u w:val="none" w:color="auto"/>
                <w:lang w:val="en-US" w:eastAsia="zh-CN"/>
              </w:rPr>
              <w:t>1320</w:t>
            </w:r>
            <w:r>
              <w:rPr>
                <w:rFonts w:hint="default" w:ascii="Times New Roman" w:hAnsi="Times New Roman" w:cs="Times New Roman"/>
                <w:i w:val="0"/>
                <w:iCs w:val="0"/>
                <w:sz w:val="24"/>
                <w:u w:val="none" w:color="auto"/>
              </w:rPr>
              <w:t>h，生物质年用量为</w:t>
            </w:r>
            <w:r>
              <w:rPr>
                <w:rFonts w:hint="default" w:ascii="Times New Roman" w:hAnsi="Times New Roman" w:cs="Times New Roman"/>
                <w:i w:val="0"/>
                <w:iCs w:val="0"/>
                <w:sz w:val="24"/>
                <w:u w:val="none" w:color="auto"/>
                <w:lang w:val="en-US" w:eastAsia="zh-CN"/>
              </w:rPr>
              <w:t>12</w:t>
            </w:r>
            <w:r>
              <w:rPr>
                <w:rFonts w:hint="default" w:ascii="Times New Roman" w:hAnsi="Times New Roman" w:cs="Times New Roman"/>
                <w:i w:val="0"/>
                <w:iCs w:val="0"/>
                <w:sz w:val="24"/>
                <w:u w:val="none" w:color="auto"/>
              </w:rPr>
              <w:t>00t，</w:t>
            </w:r>
            <w:r>
              <w:rPr>
                <w:rFonts w:hint="default" w:ascii="Times New Roman" w:hAnsi="Times New Roman" w:cs="Times New Roman"/>
                <w:i w:val="0"/>
                <w:iCs w:val="0"/>
                <w:sz w:val="24"/>
                <w:u w:val="none" w:color="auto"/>
                <w:lang w:eastAsia="zh-CN"/>
              </w:rPr>
              <w:t>每个厂</w:t>
            </w:r>
            <w:r>
              <w:rPr>
                <w:rFonts w:hint="default" w:ascii="Times New Roman" w:hAnsi="Times New Roman" w:cs="Times New Roman"/>
                <w:i w:val="0"/>
                <w:iCs w:val="0"/>
                <w:sz w:val="24"/>
                <w:u w:val="none" w:color="auto"/>
              </w:rPr>
              <w:t>新增1台布袋除尘器（除尘效率98%），锅炉烟气经1根35m高排气筒（DA00</w:t>
            </w:r>
            <w:r>
              <w:rPr>
                <w:rFonts w:hint="eastAsia" w:ascii="Times New Roman" w:hAnsi="Times New Roman" w:cs="Times New Roman"/>
                <w:i w:val="0"/>
                <w:iCs w:val="0"/>
                <w:sz w:val="24"/>
                <w:u w:val="none" w:color="auto"/>
                <w:lang w:val="en-US" w:eastAsia="zh-CN"/>
              </w:rPr>
              <w:t>2</w:t>
            </w:r>
            <w:r>
              <w:rPr>
                <w:rFonts w:hint="default" w:ascii="Times New Roman" w:hAnsi="Times New Roman" w:cs="Times New Roman"/>
                <w:i w:val="0"/>
                <w:iCs w:val="0"/>
                <w:sz w:val="24"/>
                <w:u w:val="none" w:color="auto"/>
              </w:rPr>
              <w:t>）排放。</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锅炉污染物排放量采用《污染源源强核算技术指南 锅炉》（HJ991-2018）中产污系数法，产污系数参考《排污许可证申请与核发技术规范  锅炉》（HJ953-2018）中“F.4燃生物质工业锅炉的废气产排污系数表”。</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根据《排污许可证申请与核发技术规范 锅炉》中基准烟气量经验公式速算法，具体公式如下：</w:t>
            </w:r>
          </w:p>
          <w:p>
            <w:pPr>
              <w:adjustRightInd w:val="0"/>
              <w:snapToGrid w:val="0"/>
              <w:spacing w:line="360" w:lineRule="auto"/>
              <w:jc w:val="center"/>
              <w:rPr>
                <w:rFonts w:hint="default" w:ascii="Times New Roman" w:hAnsi="Times New Roman" w:cs="Times New Roman"/>
                <w:i w:val="0"/>
                <w:iCs w:val="0"/>
                <w:sz w:val="24"/>
                <w:u w:val="none" w:color="auto"/>
              </w:rPr>
            </w:pPr>
            <w:r>
              <w:rPr>
                <w:rFonts w:hint="default" w:ascii="Times New Roman" w:hAnsi="Times New Roman" w:cs="Times New Roman"/>
                <w:i w:val="0"/>
                <w:iCs w:val="0"/>
                <w:u w:val="none" w:color="auto"/>
              </w:rPr>
              <w:drawing>
                <wp:inline distT="0" distB="0" distL="0" distR="0">
                  <wp:extent cx="1805940" cy="220980"/>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5940" cy="220980"/>
                          </a:xfrm>
                          <a:prstGeom prst="rect">
                            <a:avLst/>
                          </a:prstGeom>
                          <a:noFill/>
                          <a:ln>
                            <a:noFill/>
                          </a:ln>
                        </pic:spPr>
                      </pic:pic>
                    </a:graphicData>
                  </a:graphic>
                </wp:inline>
              </w:drawing>
            </w:r>
            <w:r>
              <w:rPr>
                <w:rFonts w:hint="default" w:ascii="Times New Roman" w:hAnsi="Times New Roman" w:cs="Times New Roman"/>
                <w:i w:val="0"/>
                <w:iCs w:val="0"/>
                <w:sz w:val="24"/>
                <w:u w:val="none" w:color="auto"/>
              </w:rPr>
              <w:t xml:space="preserve"> </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其中：Vgy：基准烟气量（Nm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/kg或Nm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w:t>
            </w:r>
          </w:p>
          <w:p>
            <w:pPr>
              <w:widowControl/>
              <w:snapToGrid w:val="0"/>
              <w:spacing w:line="360" w:lineRule="auto"/>
              <w:ind w:firstLine="1200" w:firstLineChars="5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Qnet，ar固体燃料/液体燃料收到基低位发热量（MJ/kg）</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经计算，锅炉产生的烟气量为</w:t>
            </w:r>
            <w:r>
              <w:rPr>
                <w:rFonts w:hint="eastAsia" w:ascii="Times New Roman" w:hAnsi="Times New Roman" w:cs="Times New Roman"/>
                <w:i w:val="0"/>
                <w:iCs w:val="0"/>
                <w:sz w:val="24"/>
                <w:u w:val="none" w:color="auto"/>
                <w:lang w:val="en-US" w:eastAsia="zh-CN"/>
              </w:rPr>
              <w:t>5.62</w:t>
            </w:r>
            <w:r>
              <w:rPr>
                <w:rFonts w:hint="default" w:ascii="Times New Roman" w:hAnsi="Times New Roman" w:cs="Times New Roman"/>
                <w:i w:val="0"/>
                <w:iCs w:val="0"/>
                <w:sz w:val="24"/>
                <w:u w:val="none" w:color="auto"/>
              </w:rPr>
              <w:t>×10</w:t>
            </w:r>
            <w:r>
              <w:rPr>
                <w:rFonts w:hint="eastAsia" w:ascii="Times New Roman" w:hAnsi="Times New Roman" w:cs="Times New Roman"/>
                <w:i w:val="0"/>
                <w:iCs w:val="0"/>
                <w:sz w:val="24"/>
                <w:u w:val="none" w:color="auto"/>
                <w:vertAlign w:val="superscript"/>
                <w:lang w:val="en-US" w:eastAsia="zh-CN"/>
              </w:rPr>
              <w:t>6</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/a。</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本项目锅炉烟气污染物中各污染物产生情况，排放情况详见下表。</w:t>
            </w:r>
          </w:p>
          <w:p>
            <w:pPr>
              <w:jc w:val="center"/>
              <w:rPr>
                <w:rFonts w:hint="default" w:ascii="Times New Roman" w:hAnsi="Times New Roman" w:cs="Times New Roman"/>
                <w:b/>
                <w:i w:val="0"/>
                <w:iCs w:val="0"/>
                <w:u w:val="none" w:color="auto"/>
              </w:rPr>
            </w:pPr>
            <w:r>
              <w:rPr>
                <w:rFonts w:hint="default" w:ascii="Times New Roman" w:hAnsi="Times New Roman" w:cs="Times New Roman"/>
                <w:b/>
                <w:i w:val="0"/>
                <w:iCs w:val="0"/>
                <w:u w:val="none" w:color="auto"/>
              </w:rPr>
              <w:t>表2</w:t>
            </w:r>
            <w:r>
              <w:rPr>
                <w:rFonts w:hint="eastAsia" w:ascii="Times New Roman" w:hAnsi="Times New Roman" w:cs="Times New Roman"/>
                <w:b/>
                <w:i w:val="0"/>
                <w:iCs w:val="0"/>
                <w:u w:val="none" w:color="auto"/>
                <w:lang w:val="en-US" w:eastAsia="zh-CN"/>
              </w:rPr>
              <w:t>0</w:t>
            </w:r>
            <w:r>
              <w:rPr>
                <w:rFonts w:hint="default" w:ascii="Times New Roman" w:hAnsi="Times New Roman" w:cs="Times New Roman"/>
                <w:b/>
                <w:i w:val="0"/>
                <w:iCs w:val="0"/>
                <w:u w:val="none" w:color="auto"/>
              </w:rPr>
              <w:t xml:space="preserve">  各污染物产排污系数</w:t>
            </w:r>
          </w:p>
          <w:tbl>
            <w:tblPr>
              <w:tblStyle w:val="18"/>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73"/>
              <w:gridCol w:w="839"/>
              <w:gridCol w:w="823"/>
              <w:gridCol w:w="2261"/>
              <w:gridCol w:w="1467"/>
              <w:gridCol w:w="1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tcBorders>
                    <w:top w:val="single" w:color="auto" w:sz="12"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产品名称</w:t>
                  </w:r>
                </w:p>
              </w:tc>
              <w:tc>
                <w:tcPr>
                  <w:tcW w:w="483"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原料名称</w:t>
                  </w:r>
                </w:p>
              </w:tc>
              <w:tc>
                <w:tcPr>
                  <w:tcW w:w="52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工艺名称</w:t>
                  </w:r>
                </w:p>
              </w:tc>
              <w:tc>
                <w:tcPr>
                  <w:tcW w:w="51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规模等级</w:t>
                  </w:r>
                </w:p>
              </w:tc>
              <w:tc>
                <w:tcPr>
                  <w:tcW w:w="1412"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污染物指标</w:t>
                  </w:r>
                </w:p>
              </w:tc>
              <w:tc>
                <w:tcPr>
                  <w:tcW w:w="916"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单位</w:t>
                  </w:r>
                </w:p>
              </w:tc>
              <w:tc>
                <w:tcPr>
                  <w:tcW w:w="657" w:type="pct"/>
                  <w:tcBorders>
                    <w:top w:val="single" w:color="auto" w:sz="12"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产污</w:t>
                  </w:r>
                </w:p>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490" w:type="pct"/>
                  <w:vMerge w:val="restar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蒸汽/热水/其它</w:t>
                  </w:r>
                </w:p>
              </w:tc>
              <w:tc>
                <w:tcPr>
                  <w:tcW w:w="483"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生物质</w:t>
                  </w:r>
                </w:p>
              </w:tc>
              <w:tc>
                <w:tcPr>
                  <w:tcW w:w="52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室燃</w:t>
                  </w:r>
                </w:p>
              </w:tc>
              <w:tc>
                <w:tcPr>
                  <w:tcW w:w="51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所有规模</w:t>
                  </w: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颗粒物（成型燃料）</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二氧化硫</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千克/吨燃料</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17S*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1412"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氮氧化物</w:t>
                  </w:r>
                </w:p>
              </w:tc>
              <w:tc>
                <w:tcPr>
                  <w:tcW w:w="916"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千克/吨燃料</w:t>
                  </w:r>
                </w:p>
              </w:tc>
              <w:tc>
                <w:tcPr>
                  <w:tcW w:w="657" w:type="pct"/>
                  <w:tcBorders>
                    <w:top w:val="single" w:color="auto" w:sz="4" w:space="0"/>
                    <w:left w:val="single" w:color="auto" w:sz="4" w:space="0"/>
                    <w:bottom w:val="single" w:color="auto" w:sz="12"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1.02</w:t>
                  </w:r>
                </w:p>
              </w:tc>
            </w:tr>
          </w:tbl>
          <w:p>
            <w:pPr>
              <w:ind w:firstLine="422" w:firstLineChars="200"/>
              <w:jc w:val="center"/>
              <w:rPr>
                <w:rFonts w:hint="default" w:ascii="Times New Roman" w:hAnsi="Times New Roman" w:cs="Times New Roman"/>
                <w:b/>
                <w:i/>
                <w:iCs/>
                <w:u w:val="single" w:color="auto"/>
              </w:rPr>
            </w:pPr>
            <w:r>
              <w:rPr>
                <w:rFonts w:hint="default" w:ascii="Times New Roman" w:hAnsi="Times New Roman" w:cs="Times New Roman"/>
                <w:b/>
                <w:i/>
                <w:iCs/>
                <w:u w:val="single" w:color="auto"/>
              </w:rPr>
              <w:t>表2</w:t>
            </w:r>
            <w:r>
              <w:rPr>
                <w:rFonts w:hint="eastAsia" w:ascii="Times New Roman" w:hAnsi="Times New Roman" w:cs="Times New Roman"/>
                <w:b/>
                <w:i/>
                <w:iCs/>
                <w:u w:val="single" w:color="auto"/>
                <w:lang w:val="en-US" w:eastAsia="zh-CN"/>
              </w:rPr>
              <w:t>1</w:t>
            </w:r>
            <w:r>
              <w:rPr>
                <w:rFonts w:hint="default" w:ascii="Times New Roman" w:hAnsi="Times New Roman" w:cs="Times New Roman"/>
                <w:b/>
                <w:i/>
                <w:iCs/>
                <w:u w:val="single" w:color="auto"/>
              </w:rPr>
              <w:t xml:space="preserve">  本项目锅炉烟气排放情况</w:t>
            </w:r>
          </w:p>
          <w:tbl>
            <w:tblPr>
              <w:tblStyle w:val="18"/>
              <w:tblW w:w="49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95"/>
              <w:gridCol w:w="1348"/>
              <w:gridCol w:w="1117"/>
              <w:gridCol w:w="1654"/>
              <w:gridCol w:w="13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vMerge w:val="restart"/>
                  <w:tcBorders>
                    <w:top w:val="single" w:color="auto" w:sz="12" w:space="0"/>
                    <w:left w:val="nil"/>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污染物名称</w:t>
                  </w:r>
                </w:p>
              </w:tc>
              <w:tc>
                <w:tcPr>
                  <w:tcW w:w="1776" w:type="pct"/>
                  <w:gridSpan w:val="2"/>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产生情况</w:t>
                  </w:r>
                </w:p>
              </w:tc>
              <w:tc>
                <w:tcPr>
                  <w:tcW w:w="698" w:type="pct"/>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治理措施</w:t>
                  </w:r>
                </w:p>
              </w:tc>
              <w:tc>
                <w:tcPr>
                  <w:tcW w:w="1883" w:type="pct"/>
                  <w:gridSpan w:val="2"/>
                  <w:tcBorders>
                    <w:top w:val="single" w:color="auto" w:sz="12" w:space="0"/>
                    <w:left w:val="single" w:color="auto" w:sz="4" w:space="0"/>
                    <w:bottom w:val="single" w:color="auto" w:sz="4" w:space="0"/>
                    <w:right w:val="nil"/>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12" w:space="0"/>
                    <w:left w:val="nil"/>
                    <w:bottom w:val="single" w:color="auto" w:sz="4"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产生量（t/a）</w:t>
                  </w:r>
                </w:p>
              </w:tc>
              <w:tc>
                <w:tcPr>
                  <w:tcW w:w="698"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布袋除尘器（效率98%）</w:t>
                  </w: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50"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烟气量</w:t>
                  </w:r>
                </w:p>
              </w:tc>
              <w:tc>
                <w:tcPr>
                  <w:tcW w:w="1776" w:type="pct"/>
                  <w:gridSpan w:val="2"/>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883" w:type="pct"/>
                  <w:gridSpan w:val="2"/>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万m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颗粒物</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106.76</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2.14</w:t>
                  </w:r>
                </w:p>
              </w:tc>
              <w:tc>
                <w:tcPr>
                  <w:tcW w:w="850" w:type="pct"/>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default" w:ascii="Times New Roman" w:hAnsi="Times New Roman" w:cs="Times New Roman"/>
                      <w:i/>
                      <w:iCs/>
                      <w:kern w:val="0"/>
                      <w:u w:val="single" w:color="auto"/>
                    </w:rPr>
                    <w:t>0.0</w:t>
                  </w:r>
                  <w:r>
                    <w:rPr>
                      <w:rFonts w:hint="eastAsia" w:ascii="Times New Roman" w:hAnsi="Times New Roman" w:cs="Times New Roman"/>
                      <w:i/>
                      <w:iCs/>
                      <w:kern w:val="0"/>
                      <w:u w:val="single" w:color="auto"/>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SO</w:t>
                  </w:r>
                  <w:r>
                    <w:rPr>
                      <w:rFonts w:hint="default" w:ascii="Times New Roman" w:hAnsi="Times New Roman" w:cs="Times New Roman"/>
                      <w:i/>
                      <w:iCs/>
                      <w:kern w:val="0"/>
                      <w:u w:val="single" w:color="auto"/>
                      <w:vertAlign w:val="subscript"/>
                    </w:rPr>
                    <w:t>2</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0.612</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1334" w:type="dxa"/>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0.612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NOx</w:t>
                  </w:r>
                </w:p>
              </w:tc>
              <w:tc>
                <w:tcPr>
                  <w:tcW w:w="934"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217.79</w:t>
                  </w:r>
                </w:p>
              </w:tc>
              <w:tc>
                <w:tcPr>
                  <w:tcW w:w="841"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1.224</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217.79</w:t>
                  </w:r>
                </w:p>
              </w:tc>
              <w:tc>
                <w:tcPr>
                  <w:tcW w:w="1334" w:type="dxa"/>
                  <w:tcBorders>
                    <w:top w:val="single" w:color="auto" w:sz="4" w:space="0"/>
                    <w:left w:val="single" w:color="auto" w:sz="4" w:space="0"/>
                    <w:bottom w:val="single" w:color="auto" w:sz="12"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1.224</w:t>
                  </w:r>
                </w:p>
              </w:tc>
            </w:tr>
          </w:tbl>
          <w:p>
            <w:pPr>
              <w:snapToGrid w:val="0"/>
              <w:spacing w:line="360" w:lineRule="auto"/>
              <w:ind w:firstLine="480" w:firstLineChars="200"/>
              <w:rPr>
                <w:rFonts w:hint="default" w:ascii="Times New Roman" w:hAnsi="Times New Roman" w:cs="Times New Roman"/>
                <w:i/>
                <w:iCs/>
                <w:kern w:val="0"/>
                <w:sz w:val="24"/>
                <w:szCs w:val="24"/>
                <w:u w:val="single" w:color="auto"/>
              </w:rPr>
            </w:pPr>
            <w:r>
              <w:rPr>
                <w:rFonts w:hint="default" w:ascii="Times New Roman" w:hAnsi="Times New Roman" w:cs="Times New Roman"/>
                <w:i/>
                <w:iCs/>
                <w:color w:val="auto"/>
                <w:sz w:val="24"/>
                <w:szCs w:val="24"/>
                <w:u w:val="single" w:color="auto"/>
              </w:rPr>
              <w:t>由计算结果可以看出，本项目生物质锅炉干烟气产生量为</w:t>
            </w:r>
            <w:r>
              <w:rPr>
                <w:rFonts w:hint="eastAsia" w:ascii="Times New Roman" w:hAnsi="Times New Roman" w:cs="Times New Roman"/>
                <w:i/>
                <w:iCs/>
                <w:sz w:val="24"/>
                <w:szCs w:val="24"/>
                <w:u w:val="single" w:color="auto"/>
                <w:lang w:val="en-US" w:eastAsia="zh-CN"/>
              </w:rPr>
              <w:t>5.62</w:t>
            </w:r>
            <w:r>
              <w:rPr>
                <w:rFonts w:hint="default" w:ascii="Times New Roman" w:hAnsi="Times New Roman" w:cs="Times New Roman"/>
                <w:i/>
                <w:iCs/>
                <w:sz w:val="24"/>
                <w:szCs w:val="24"/>
                <w:u w:val="single" w:color="auto"/>
              </w:rPr>
              <w:t>×10</w:t>
            </w:r>
            <w:r>
              <w:rPr>
                <w:rFonts w:hint="eastAsia" w:ascii="Times New Roman" w:hAnsi="Times New Roman" w:cs="Times New Roman"/>
                <w:i/>
                <w:iCs/>
                <w:sz w:val="24"/>
                <w:szCs w:val="24"/>
                <w:u w:val="single" w:color="auto"/>
                <w:vertAlign w:val="superscript"/>
                <w:lang w:val="en-US" w:eastAsia="zh-CN"/>
              </w:rPr>
              <w:t>6</w:t>
            </w:r>
            <w:r>
              <w:rPr>
                <w:rFonts w:hint="default" w:ascii="Times New Roman" w:hAnsi="Times New Roman" w:cs="Times New Roman"/>
                <w:i/>
                <w:iCs/>
                <w:sz w:val="24"/>
                <w:szCs w:val="24"/>
                <w:u w:val="single" w:color="auto"/>
              </w:rPr>
              <w:t>m</w:t>
            </w:r>
            <w:r>
              <w:rPr>
                <w:rFonts w:hint="default" w:ascii="Times New Roman" w:hAnsi="Times New Roman" w:cs="Times New Roman"/>
                <w:i/>
                <w:iCs/>
                <w:sz w:val="24"/>
                <w:szCs w:val="24"/>
                <w:u w:val="single" w:color="auto"/>
                <w:vertAlign w:val="superscript"/>
              </w:rPr>
              <w:t>3</w:t>
            </w:r>
            <w:r>
              <w:rPr>
                <w:rFonts w:hint="default" w:ascii="Times New Roman" w:hAnsi="Times New Roman" w:cs="Times New Roman"/>
                <w:i/>
                <w:iCs/>
                <w:sz w:val="24"/>
                <w:szCs w:val="24"/>
                <w:u w:val="single" w:color="auto"/>
              </w:rPr>
              <w:t>/a</w:t>
            </w:r>
            <w:r>
              <w:rPr>
                <w:rFonts w:hint="default" w:ascii="Times New Roman" w:hAnsi="Times New Roman" w:cs="Times New Roman"/>
                <w:i/>
                <w:iCs/>
                <w:color w:val="auto"/>
                <w:sz w:val="24"/>
                <w:szCs w:val="24"/>
                <w:u w:val="single" w:color="auto"/>
              </w:rPr>
              <w:t>，经布袋除尘器对烟气进行处理后（处理效率98%），烟气中</w:t>
            </w:r>
            <w:r>
              <w:rPr>
                <w:rFonts w:hint="default" w:ascii="Times New Roman" w:hAnsi="Times New Roman" w:cs="Times New Roman"/>
                <w:i/>
                <w:iCs/>
                <w:color w:val="auto"/>
                <w:sz w:val="24"/>
                <w:szCs w:val="24"/>
                <w:u w:val="single" w:color="auto"/>
                <w:lang w:val="zh-CN"/>
              </w:rPr>
              <w:t>污染物</w:t>
            </w:r>
            <w:r>
              <w:rPr>
                <w:rFonts w:hint="default" w:ascii="Times New Roman" w:hAnsi="Times New Roman" w:cs="Times New Roman"/>
                <w:i/>
                <w:iCs/>
                <w:color w:val="auto"/>
                <w:sz w:val="24"/>
                <w:szCs w:val="24"/>
                <w:u w:val="single" w:color="auto"/>
              </w:rPr>
              <w:t>排放量分别为颗粒物：0.0</w:t>
            </w:r>
            <w:r>
              <w:rPr>
                <w:rFonts w:hint="eastAsia" w:ascii="Times New Roman" w:hAnsi="Times New Roman" w:cs="Times New Roman"/>
                <w:i/>
                <w:iCs/>
                <w:color w:val="auto"/>
                <w:sz w:val="24"/>
                <w:szCs w:val="24"/>
                <w:u w:val="single" w:color="auto"/>
                <w:lang w:val="en-US" w:eastAsia="zh-CN"/>
              </w:rPr>
              <w:t>12</w:t>
            </w:r>
            <w:r>
              <w:rPr>
                <w:rFonts w:hint="default" w:ascii="Times New Roman" w:hAnsi="Times New Roman" w:cs="Times New Roman"/>
                <w:i/>
                <w:iCs/>
                <w:color w:val="auto"/>
                <w:sz w:val="24"/>
                <w:szCs w:val="24"/>
                <w:u w:val="single" w:color="auto"/>
              </w:rPr>
              <w:t>t/a、SO</w:t>
            </w:r>
            <w:r>
              <w:rPr>
                <w:rFonts w:hint="default" w:ascii="Times New Roman" w:hAnsi="Times New Roman" w:cs="Times New Roman"/>
                <w:i/>
                <w:iCs/>
                <w:color w:val="auto"/>
                <w:sz w:val="24"/>
                <w:szCs w:val="24"/>
                <w:u w:val="single" w:color="auto"/>
                <w:vertAlign w:val="subscript"/>
              </w:rPr>
              <w:t>2</w:t>
            </w:r>
            <w:r>
              <w:rPr>
                <w:rFonts w:hint="default" w:ascii="Times New Roman" w:hAnsi="Times New Roman" w:cs="Times New Roman"/>
                <w:i/>
                <w:iCs/>
                <w:color w:val="auto"/>
                <w:sz w:val="24"/>
                <w:szCs w:val="24"/>
                <w:u w:val="single" w:color="auto"/>
              </w:rPr>
              <w:t>：</w:t>
            </w:r>
            <w:r>
              <w:rPr>
                <w:rFonts w:hint="eastAsia" w:ascii="Times New Roman" w:hAnsi="Times New Roman" w:cs="Times New Roman"/>
                <w:i/>
                <w:iCs/>
                <w:color w:val="auto"/>
                <w:sz w:val="24"/>
                <w:szCs w:val="24"/>
                <w:u w:val="single" w:color="auto"/>
                <w:lang w:val="en-US" w:eastAsia="zh-CN"/>
              </w:rPr>
              <w:t>0.612</w:t>
            </w:r>
            <w:r>
              <w:rPr>
                <w:rFonts w:hint="default" w:ascii="Times New Roman" w:hAnsi="Times New Roman" w:cs="Times New Roman"/>
                <w:i/>
                <w:iCs/>
                <w:color w:val="auto"/>
                <w:sz w:val="24"/>
                <w:szCs w:val="24"/>
                <w:u w:val="single" w:color="auto"/>
              </w:rPr>
              <w:t>t/a、NOx：</w:t>
            </w:r>
            <w:r>
              <w:rPr>
                <w:rFonts w:hint="eastAsia" w:ascii="Times New Roman" w:hAnsi="Times New Roman" w:cs="Times New Roman"/>
                <w:i/>
                <w:iCs/>
                <w:color w:val="auto"/>
                <w:sz w:val="24"/>
                <w:szCs w:val="24"/>
                <w:u w:val="single" w:color="auto"/>
                <w:lang w:val="en-US" w:eastAsia="zh-CN"/>
              </w:rPr>
              <w:t>1.224</w:t>
            </w:r>
            <w:r>
              <w:rPr>
                <w:rFonts w:hint="default" w:ascii="Times New Roman" w:hAnsi="Times New Roman" w:cs="Times New Roman"/>
                <w:i/>
                <w:iCs/>
                <w:color w:val="auto"/>
                <w:sz w:val="24"/>
                <w:szCs w:val="24"/>
                <w:u w:val="single" w:color="auto"/>
              </w:rPr>
              <w:t>t/a；排放浓度分别为颗粒物：</w:t>
            </w:r>
            <w:r>
              <w:rPr>
                <w:rFonts w:hint="eastAsia" w:ascii="Times New Roman" w:hAnsi="Times New Roman" w:cs="Times New Roman"/>
                <w:i/>
                <w:iCs/>
                <w:color w:val="auto"/>
                <w:sz w:val="24"/>
                <w:szCs w:val="24"/>
                <w:u w:val="single" w:color="auto"/>
                <w:lang w:val="en-US" w:eastAsia="zh-CN"/>
              </w:rPr>
              <w:t>2.14</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、SO</w:t>
            </w:r>
            <w:r>
              <w:rPr>
                <w:rFonts w:hint="default" w:ascii="Times New Roman" w:hAnsi="Times New Roman" w:cs="Times New Roman"/>
                <w:i/>
                <w:iCs/>
                <w:color w:val="auto"/>
                <w:sz w:val="24"/>
                <w:szCs w:val="24"/>
                <w:u w:val="single" w:color="auto"/>
                <w:vertAlign w:val="subscript"/>
              </w:rPr>
              <w:t>2</w:t>
            </w:r>
            <w:r>
              <w:rPr>
                <w:rFonts w:hint="default" w:ascii="Times New Roman" w:hAnsi="Times New Roman" w:cs="Times New Roman"/>
                <w:i/>
                <w:iCs/>
                <w:color w:val="auto"/>
                <w:sz w:val="24"/>
                <w:szCs w:val="24"/>
                <w:u w:val="single" w:color="auto"/>
              </w:rPr>
              <w:t>：</w:t>
            </w:r>
            <w:r>
              <w:rPr>
                <w:rFonts w:hint="eastAsia" w:ascii="Times New Roman" w:hAnsi="Times New Roman" w:cs="Times New Roman"/>
                <w:i/>
                <w:iCs/>
                <w:color w:val="auto"/>
                <w:sz w:val="24"/>
                <w:szCs w:val="24"/>
                <w:u w:val="single" w:color="auto"/>
                <w:lang w:val="en-US" w:eastAsia="zh-CN"/>
              </w:rPr>
              <w:t>108.90</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、NOx：</w:t>
            </w:r>
            <w:r>
              <w:rPr>
                <w:rFonts w:hint="eastAsia" w:ascii="Times New Roman" w:hAnsi="Times New Roman" w:cs="Times New Roman"/>
                <w:i/>
                <w:iCs/>
                <w:color w:val="auto"/>
                <w:sz w:val="24"/>
                <w:szCs w:val="24"/>
                <w:u w:val="single" w:color="auto"/>
                <w:lang w:val="en-US" w:eastAsia="zh-CN"/>
              </w:rPr>
              <w:t>217.79</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；烟气经1根35m高的烟囱排放，能够满足《锅炉大气污染物排放标准》（GB13271-2014）表2中新建锅炉大气污染物排放浓度限值。</w:t>
            </w:r>
          </w:p>
          <w:p>
            <w:pPr>
              <w:adjustRightInd w:val="0"/>
              <w:snapToGrid w:val="0"/>
              <w:spacing w:line="360" w:lineRule="auto"/>
              <w:ind w:firstLine="480" w:firstLineChars="200"/>
              <w:rPr>
                <w:rFonts w:hint="eastAsia" w:ascii="Times New Roman" w:hAnsi="Times New Roman" w:eastAsia="宋体" w:cs="Times New Roman"/>
                <w:i w:val="0"/>
                <w:iCs w:val="0"/>
                <w:sz w:val="24"/>
                <w:u w:val="none" w:color="auto"/>
                <w:lang w:eastAsia="zh-CN"/>
              </w:rPr>
            </w:pPr>
            <w:r>
              <w:rPr>
                <w:rFonts w:hint="eastAsia" w:ascii="Times New Roman" w:hAnsi="Times New Roman" w:cs="Times New Roman"/>
                <w:i w:val="0"/>
                <w:iCs w:val="0"/>
                <w:sz w:val="24"/>
                <w:u w:val="none" w:color="auto"/>
                <w:lang w:eastAsia="zh-CN"/>
              </w:rPr>
              <w:t>③祖代鸡雏厂</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lang w:eastAsia="zh-CN"/>
              </w:rPr>
              <w:t>厂</w:t>
            </w:r>
            <w:r>
              <w:rPr>
                <w:rFonts w:hint="eastAsia" w:ascii="Times New Roman" w:hAnsi="Times New Roman" w:cs="Times New Roman"/>
                <w:i w:val="0"/>
                <w:iCs w:val="0"/>
                <w:sz w:val="24"/>
                <w:u w:val="none" w:color="auto"/>
                <w:lang w:eastAsia="zh-CN"/>
              </w:rPr>
              <w:t>内新建</w:t>
            </w:r>
            <w:r>
              <w:rPr>
                <w:rFonts w:hint="default" w:ascii="Times New Roman" w:hAnsi="Times New Roman" w:cs="Times New Roman"/>
                <w:i w:val="0"/>
                <w:iCs w:val="0"/>
                <w:sz w:val="24"/>
                <w:u w:val="none" w:color="auto"/>
                <w:lang w:val="en-US" w:eastAsia="zh-CN"/>
              </w:rPr>
              <w:t>1</w:t>
            </w:r>
            <w:r>
              <w:rPr>
                <w:rFonts w:hint="default" w:ascii="Times New Roman" w:hAnsi="Times New Roman" w:cs="Times New Roman"/>
                <w:i w:val="0"/>
                <w:iCs w:val="0"/>
                <w:sz w:val="24"/>
                <w:u w:val="none" w:color="auto"/>
              </w:rPr>
              <w:t>台4t/h</w:t>
            </w:r>
            <w:r>
              <w:rPr>
                <w:rFonts w:hint="default" w:ascii="Times New Roman" w:hAnsi="Times New Roman" w:cs="Times New Roman"/>
                <w:i w:val="0"/>
                <w:iCs w:val="0"/>
                <w:sz w:val="24"/>
                <w:u w:val="none" w:color="auto"/>
                <w:lang w:eastAsia="zh-CN"/>
              </w:rPr>
              <w:t>及</w:t>
            </w:r>
            <w:r>
              <w:rPr>
                <w:rFonts w:hint="default" w:ascii="Times New Roman" w:hAnsi="Times New Roman" w:cs="Times New Roman"/>
                <w:i w:val="0"/>
                <w:iCs w:val="0"/>
                <w:sz w:val="24"/>
                <w:u w:val="none" w:color="auto"/>
                <w:lang w:val="en-US" w:eastAsia="zh-CN"/>
              </w:rPr>
              <w:t>1台2</w:t>
            </w:r>
            <w:r>
              <w:rPr>
                <w:rFonts w:hint="default" w:ascii="Times New Roman" w:hAnsi="Times New Roman" w:cs="Times New Roman"/>
                <w:i w:val="0"/>
                <w:iCs w:val="0"/>
                <w:sz w:val="24"/>
                <w:u w:val="none" w:color="auto"/>
              </w:rPr>
              <w:t>t/h生物质锅炉用于生产及冬季采暖供热，锅炉年运行</w:t>
            </w:r>
            <w:r>
              <w:rPr>
                <w:rFonts w:hint="default" w:ascii="Times New Roman" w:hAnsi="Times New Roman" w:cs="Times New Roman"/>
                <w:i w:val="0"/>
                <w:iCs w:val="0"/>
                <w:sz w:val="24"/>
                <w:u w:val="none" w:color="auto"/>
                <w:lang w:val="en-US" w:eastAsia="zh-CN"/>
              </w:rPr>
              <w:t>165</w:t>
            </w:r>
            <w:r>
              <w:rPr>
                <w:rFonts w:hint="default" w:ascii="Times New Roman" w:hAnsi="Times New Roman" w:cs="Times New Roman"/>
                <w:i w:val="0"/>
                <w:iCs w:val="0"/>
                <w:sz w:val="24"/>
                <w:u w:val="none" w:color="auto"/>
              </w:rPr>
              <w:t>天，每天</w:t>
            </w:r>
            <w:r>
              <w:rPr>
                <w:rFonts w:hint="default" w:ascii="Times New Roman" w:hAnsi="Times New Roman" w:cs="Times New Roman"/>
                <w:i w:val="0"/>
                <w:iCs w:val="0"/>
                <w:sz w:val="24"/>
                <w:u w:val="none" w:color="auto"/>
                <w:lang w:val="en-US" w:eastAsia="zh-CN"/>
              </w:rPr>
              <w:t>8</w:t>
            </w:r>
            <w:r>
              <w:rPr>
                <w:rFonts w:hint="default" w:ascii="Times New Roman" w:hAnsi="Times New Roman" w:cs="Times New Roman"/>
                <w:i w:val="0"/>
                <w:iCs w:val="0"/>
                <w:sz w:val="24"/>
                <w:u w:val="none" w:color="auto"/>
              </w:rPr>
              <w:t>h，共计</w:t>
            </w:r>
            <w:r>
              <w:rPr>
                <w:rFonts w:hint="default" w:ascii="Times New Roman" w:hAnsi="Times New Roman" w:cs="Times New Roman"/>
                <w:i w:val="0"/>
                <w:iCs w:val="0"/>
                <w:sz w:val="24"/>
                <w:u w:val="none" w:color="auto"/>
                <w:lang w:val="en-US" w:eastAsia="zh-CN"/>
              </w:rPr>
              <w:t>1320</w:t>
            </w:r>
            <w:r>
              <w:rPr>
                <w:rFonts w:hint="default" w:ascii="Times New Roman" w:hAnsi="Times New Roman" w:cs="Times New Roman"/>
                <w:i w:val="0"/>
                <w:iCs w:val="0"/>
                <w:sz w:val="24"/>
                <w:u w:val="none" w:color="auto"/>
              </w:rPr>
              <w:t>h，生物质年用量为</w:t>
            </w:r>
            <w:r>
              <w:rPr>
                <w:rFonts w:hint="default" w:ascii="Times New Roman" w:hAnsi="Times New Roman" w:cs="Times New Roman"/>
                <w:i w:val="0"/>
                <w:iCs w:val="0"/>
                <w:sz w:val="24"/>
                <w:u w:val="none" w:color="auto"/>
                <w:lang w:val="en-US" w:eastAsia="zh-CN"/>
              </w:rPr>
              <w:t>12</w:t>
            </w:r>
            <w:r>
              <w:rPr>
                <w:rFonts w:hint="default" w:ascii="Times New Roman" w:hAnsi="Times New Roman" w:cs="Times New Roman"/>
                <w:i w:val="0"/>
                <w:iCs w:val="0"/>
                <w:sz w:val="24"/>
                <w:u w:val="none" w:color="auto"/>
              </w:rPr>
              <w:t>00t，</w:t>
            </w:r>
            <w:r>
              <w:rPr>
                <w:rFonts w:hint="default" w:ascii="Times New Roman" w:hAnsi="Times New Roman" w:cs="Times New Roman"/>
                <w:i w:val="0"/>
                <w:iCs w:val="0"/>
                <w:sz w:val="24"/>
                <w:u w:val="none" w:color="auto"/>
                <w:lang w:eastAsia="zh-CN"/>
              </w:rPr>
              <w:t>每个厂</w:t>
            </w:r>
            <w:r>
              <w:rPr>
                <w:rFonts w:hint="default" w:ascii="Times New Roman" w:hAnsi="Times New Roman" w:cs="Times New Roman"/>
                <w:i w:val="0"/>
                <w:iCs w:val="0"/>
                <w:sz w:val="24"/>
                <w:u w:val="none" w:color="auto"/>
              </w:rPr>
              <w:t>新增1台布袋除尘器（除尘效率98%），锅炉烟气经1根35m高排气筒（DA00</w:t>
            </w:r>
            <w:r>
              <w:rPr>
                <w:rFonts w:hint="eastAsia" w:ascii="Times New Roman" w:hAnsi="Times New Roman" w:cs="Times New Roman"/>
                <w:i w:val="0"/>
                <w:iCs w:val="0"/>
                <w:sz w:val="24"/>
                <w:u w:val="none" w:color="auto"/>
                <w:lang w:val="en-US" w:eastAsia="zh-CN"/>
              </w:rPr>
              <w:t>3</w:t>
            </w:r>
            <w:r>
              <w:rPr>
                <w:rFonts w:hint="default" w:ascii="Times New Roman" w:hAnsi="Times New Roman" w:cs="Times New Roman"/>
                <w:i w:val="0"/>
                <w:iCs w:val="0"/>
                <w:sz w:val="24"/>
                <w:u w:val="none" w:color="auto"/>
              </w:rPr>
              <w:t>）排放。</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锅炉污染物排放量采用《污染源源强核算技术指南 锅炉》（HJ991-2018）中产污系数法，产污系数参考《排污许可证申请与核发技术规范  锅炉》（HJ953-2018）中“F.4燃生物质工业锅炉的废气产排污系数表”。</w:t>
            </w:r>
          </w:p>
          <w:p>
            <w:pPr>
              <w:adjustRightInd w:val="0"/>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根据《排污许可证申请与核发技术规范 锅炉》中基准烟气量经验公式速算法，具体公式如下：</w:t>
            </w:r>
          </w:p>
          <w:p>
            <w:pPr>
              <w:adjustRightInd w:val="0"/>
              <w:snapToGrid w:val="0"/>
              <w:spacing w:line="360" w:lineRule="auto"/>
              <w:jc w:val="center"/>
              <w:rPr>
                <w:rFonts w:hint="default" w:ascii="Times New Roman" w:hAnsi="Times New Roman" w:cs="Times New Roman"/>
                <w:i w:val="0"/>
                <w:iCs w:val="0"/>
                <w:sz w:val="24"/>
                <w:u w:val="none" w:color="auto"/>
              </w:rPr>
            </w:pPr>
            <w:r>
              <w:rPr>
                <w:rFonts w:hint="default" w:ascii="Times New Roman" w:hAnsi="Times New Roman" w:cs="Times New Roman"/>
                <w:i w:val="0"/>
                <w:iCs w:val="0"/>
                <w:u w:val="none" w:color="auto"/>
              </w:rPr>
              <w:drawing>
                <wp:inline distT="0" distB="0" distL="0" distR="0">
                  <wp:extent cx="1805940" cy="220980"/>
                  <wp:effectExtent l="0" t="0" r="38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5940" cy="220980"/>
                          </a:xfrm>
                          <a:prstGeom prst="rect">
                            <a:avLst/>
                          </a:prstGeom>
                          <a:noFill/>
                          <a:ln>
                            <a:noFill/>
                          </a:ln>
                        </pic:spPr>
                      </pic:pic>
                    </a:graphicData>
                  </a:graphic>
                </wp:inline>
              </w:drawing>
            </w:r>
            <w:r>
              <w:rPr>
                <w:rFonts w:hint="default" w:ascii="Times New Roman" w:hAnsi="Times New Roman" w:cs="Times New Roman"/>
                <w:i w:val="0"/>
                <w:iCs w:val="0"/>
                <w:sz w:val="24"/>
                <w:u w:val="none" w:color="auto"/>
              </w:rPr>
              <w:t xml:space="preserve"> </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其中：Vgy：基准烟气量（Nm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/kg或Nm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w:t>
            </w:r>
          </w:p>
          <w:p>
            <w:pPr>
              <w:widowControl/>
              <w:snapToGrid w:val="0"/>
              <w:spacing w:line="360" w:lineRule="auto"/>
              <w:ind w:firstLine="1200" w:firstLineChars="5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Qnet，ar固体燃料/液体燃料收到基低位发热量（MJ/kg）</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经计算，锅炉产生的烟气量为</w:t>
            </w:r>
            <w:r>
              <w:rPr>
                <w:rFonts w:hint="eastAsia" w:ascii="Times New Roman" w:hAnsi="Times New Roman" w:cs="Times New Roman"/>
                <w:i w:val="0"/>
                <w:iCs w:val="0"/>
                <w:sz w:val="24"/>
                <w:u w:val="none" w:color="auto"/>
                <w:lang w:val="en-US" w:eastAsia="zh-CN"/>
              </w:rPr>
              <w:t>5.62</w:t>
            </w:r>
            <w:r>
              <w:rPr>
                <w:rFonts w:hint="default" w:ascii="Times New Roman" w:hAnsi="Times New Roman" w:cs="Times New Roman"/>
                <w:i w:val="0"/>
                <w:iCs w:val="0"/>
                <w:sz w:val="24"/>
                <w:u w:val="none" w:color="auto"/>
              </w:rPr>
              <w:t>×10</w:t>
            </w:r>
            <w:r>
              <w:rPr>
                <w:rFonts w:hint="eastAsia" w:ascii="Times New Roman" w:hAnsi="Times New Roman" w:cs="Times New Roman"/>
                <w:i w:val="0"/>
                <w:iCs w:val="0"/>
                <w:sz w:val="24"/>
                <w:u w:val="none" w:color="auto"/>
                <w:vertAlign w:val="superscript"/>
                <w:lang w:val="en-US" w:eastAsia="zh-CN"/>
              </w:rPr>
              <w:t>6</w:t>
            </w:r>
            <w:r>
              <w:rPr>
                <w:rFonts w:hint="default" w:ascii="Times New Roman" w:hAnsi="Times New Roman" w:cs="Times New Roman"/>
                <w:i w:val="0"/>
                <w:iCs w:val="0"/>
                <w:sz w:val="24"/>
                <w:u w:val="none" w:color="auto"/>
              </w:rPr>
              <w:t>m</w:t>
            </w:r>
            <w:r>
              <w:rPr>
                <w:rFonts w:hint="default" w:ascii="Times New Roman" w:hAnsi="Times New Roman" w:cs="Times New Roman"/>
                <w:i w:val="0"/>
                <w:iCs w:val="0"/>
                <w:sz w:val="24"/>
                <w:u w:val="none" w:color="auto"/>
                <w:vertAlign w:val="superscript"/>
              </w:rPr>
              <w:t>3</w:t>
            </w:r>
            <w:r>
              <w:rPr>
                <w:rFonts w:hint="default" w:ascii="Times New Roman" w:hAnsi="Times New Roman" w:cs="Times New Roman"/>
                <w:i w:val="0"/>
                <w:iCs w:val="0"/>
                <w:sz w:val="24"/>
                <w:u w:val="none" w:color="auto"/>
              </w:rPr>
              <w:t>/a。</w:t>
            </w:r>
          </w:p>
          <w:p>
            <w:pPr>
              <w:widowControl/>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本项目锅炉烟气污染物中各污染物产生情况，排放情况详见下表。</w:t>
            </w:r>
          </w:p>
          <w:p>
            <w:pPr>
              <w:jc w:val="center"/>
              <w:rPr>
                <w:rFonts w:hint="default" w:ascii="Times New Roman" w:hAnsi="Times New Roman" w:cs="Times New Roman"/>
                <w:b/>
                <w:i w:val="0"/>
                <w:iCs w:val="0"/>
                <w:u w:val="none" w:color="auto"/>
              </w:rPr>
            </w:pPr>
            <w:r>
              <w:rPr>
                <w:rFonts w:hint="default" w:ascii="Times New Roman" w:hAnsi="Times New Roman" w:cs="Times New Roman"/>
                <w:b/>
                <w:i w:val="0"/>
                <w:iCs w:val="0"/>
                <w:u w:val="none" w:color="auto"/>
              </w:rPr>
              <w:t>表2</w:t>
            </w:r>
            <w:r>
              <w:rPr>
                <w:rFonts w:hint="eastAsia" w:ascii="Times New Roman" w:hAnsi="Times New Roman" w:cs="Times New Roman"/>
                <w:b/>
                <w:i w:val="0"/>
                <w:iCs w:val="0"/>
                <w:u w:val="none" w:color="auto"/>
                <w:lang w:val="en-US" w:eastAsia="zh-CN"/>
              </w:rPr>
              <w:t>2</w:t>
            </w:r>
            <w:r>
              <w:rPr>
                <w:rFonts w:hint="default" w:ascii="Times New Roman" w:hAnsi="Times New Roman" w:cs="Times New Roman"/>
                <w:b/>
                <w:i w:val="0"/>
                <w:iCs w:val="0"/>
                <w:u w:val="none" w:color="auto"/>
              </w:rPr>
              <w:t xml:space="preserve">  各污染物产排污系数</w:t>
            </w:r>
          </w:p>
          <w:tbl>
            <w:tblPr>
              <w:tblStyle w:val="18"/>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73"/>
              <w:gridCol w:w="839"/>
              <w:gridCol w:w="823"/>
              <w:gridCol w:w="2261"/>
              <w:gridCol w:w="1467"/>
              <w:gridCol w:w="1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tcBorders>
                    <w:top w:val="single" w:color="auto" w:sz="12"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产品名称</w:t>
                  </w:r>
                </w:p>
              </w:tc>
              <w:tc>
                <w:tcPr>
                  <w:tcW w:w="483"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原料名称</w:t>
                  </w:r>
                </w:p>
              </w:tc>
              <w:tc>
                <w:tcPr>
                  <w:tcW w:w="52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工艺名称</w:t>
                  </w:r>
                </w:p>
              </w:tc>
              <w:tc>
                <w:tcPr>
                  <w:tcW w:w="514"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规模等级</w:t>
                  </w:r>
                </w:p>
              </w:tc>
              <w:tc>
                <w:tcPr>
                  <w:tcW w:w="1412"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污染物指标</w:t>
                  </w:r>
                </w:p>
              </w:tc>
              <w:tc>
                <w:tcPr>
                  <w:tcW w:w="916" w:type="pct"/>
                  <w:tcBorders>
                    <w:top w:val="single" w:color="auto" w:sz="12"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单位</w:t>
                  </w:r>
                </w:p>
              </w:tc>
              <w:tc>
                <w:tcPr>
                  <w:tcW w:w="657" w:type="pct"/>
                  <w:tcBorders>
                    <w:top w:val="single" w:color="auto" w:sz="12"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产污</w:t>
                  </w:r>
                </w:p>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蒸汽/热水/其它</w:t>
                  </w:r>
                </w:p>
              </w:tc>
              <w:tc>
                <w:tcPr>
                  <w:tcW w:w="483"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生物质</w:t>
                  </w:r>
                </w:p>
              </w:tc>
              <w:tc>
                <w:tcPr>
                  <w:tcW w:w="52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室燃</w:t>
                  </w:r>
                </w:p>
              </w:tc>
              <w:tc>
                <w:tcPr>
                  <w:tcW w:w="514"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所有规模</w:t>
                  </w: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颗粒物（成型燃料）</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1412"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二氧化硫</w:t>
                  </w:r>
                </w:p>
              </w:tc>
              <w:tc>
                <w:tcPr>
                  <w:tcW w:w="916"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千克/吨燃料</w:t>
                  </w:r>
                </w:p>
              </w:tc>
              <w:tc>
                <w:tcPr>
                  <w:tcW w:w="657"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17S*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kern w:val="0"/>
                      <w:u w:val="none" w:color="auto"/>
                    </w:rPr>
                  </w:pPr>
                </w:p>
              </w:tc>
              <w:tc>
                <w:tcPr>
                  <w:tcW w:w="1412"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氮氧化物</w:t>
                  </w:r>
                </w:p>
              </w:tc>
              <w:tc>
                <w:tcPr>
                  <w:tcW w:w="916" w:type="pc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千克/吨燃料</w:t>
                  </w:r>
                </w:p>
              </w:tc>
              <w:tc>
                <w:tcPr>
                  <w:tcW w:w="657" w:type="pct"/>
                  <w:tcBorders>
                    <w:top w:val="single" w:color="auto" w:sz="4" w:space="0"/>
                    <w:left w:val="single" w:color="auto" w:sz="4" w:space="0"/>
                    <w:bottom w:val="single" w:color="auto" w:sz="12" w:space="0"/>
                    <w:right w:val="nil"/>
                  </w:tcBorders>
                  <w:vAlign w:val="center"/>
                </w:tcPr>
                <w:p>
                  <w:pPr>
                    <w:widowControl/>
                    <w:spacing w:line="60" w:lineRule="atLeast"/>
                    <w:jc w:val="center"/>
                    <w:rPr>
                      <w:rFonts w:hint="default" w:ascii="Times New Roman" w:hAnsi="Times New Roman" w:cs="Times New Roman"/>
                      <w:i w:val="0"/>
                      <w:iCs w:val="0"/>
                      <w:kern w:val="0"/>
                      <w:u w:val="none" w:color="auto"/>
                    </w:rPr>
                  </w:pPr>
                  <w:r>
                    <w:rPr>
                      <w:rFonts w:hint="default" w:ascii="Times New Roman" w:hAnsi="Times New Roman" w:cs="Times New Roman"/>
                      <w:i w:val="0"/>
                      <w:iCs w:val="0"/>
                      <w:kern w:val="0"/>
                      <w:u w:val="none" w:color="auto"/>
                    </w:rPr>
                    <w:t>1.02</w:t>
                  </w:r>
                </w:p>
              </w:tc>
            </w:tr>
          </w:tbl>
          <w:p>
            <w:pPr>
              <w:ind w:firstLine="422" w:firstLineChars="200"/>
              <w:jc w:val="center"/>
              <w:rPr>
                <w:rFonts w:hint="default" w:ascii="Times New Roman" w:hAnsi="Times New Roman" w:cs="Times New Roman"/>
                <w:b/>
                <w:i/>
                <w:iCs/>
                <w:u w:val="single" w:color="auto"/>
              </w:rPr>
            </w:pPr>
            <w:r>
              <w:rPr>
                <w:rFonts w:hint="default" w:ascii="Times New Roman" w:hAnsi="Times New Roman" w:cs="Times New Roman"/>
                <w:b/>
                <w:i/>
                <w:iCs/>
                <w:u w:val="single" w:color="auto"/>
              </w:rPr>
              <w:t>表2</w:t>
            </w:r>
            <w:r>
              <w:rPr>
                <w:rFonts w:hint="eastAsia" w:ascii="Times New Roman" w:hAnsi="Times New Roman" w:cs="Times New Roman"/>
                <w:b/>
                <w:i/>
                <w:iCs/>
                <w:u w:val="single" w:color="auto"/>
                <w:lang w:val="en-US" w:eastAsia="zh-CN"/>
              </w:rPr>
              <w:t>3</w:t>
            </w:r>
            <w:r>
              <w:rPr>
                <w:rFonts w:hint="default" w:ascii="Times New Roman" w:hAnsi="Times New Roman" w:cs="Times New Roman"/>
                <w:b/>
                <w:i/>
                <w:iCs/>
                <w:u w:val="single" w:color="auto"/>
              </w:rPr>
              <w:t xml:space="preserve">  本项目锅炉烟气排放情况</w:t>
            </w:r>
          </w:p>
          <w:tbl>
            <w:tblPr>
              <w:tblStyle w:val="18"/>
              <w:tblW w:w="49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95"/>
              <w:gridCol w:w="1348"/>
              <w:gridCol w:w="1117"/>
              <w:gridCol w:w="1654"/>
              <w:gridCol w:w="13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vMerge w:val="restart"/>
                  <w:tcBorders>
                    <w:top w:val="single" w:color="auto" w:sz="12" w:space="0"/>
                    <w:left w:val="nil"/>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污染物名称</w:t>
                  </w:r>
                </w:p>
              </w:tc>
              <w:tc>
                <w:tcPr>
                  <w:tcW w:w="1776" w:type="pct"/>
                  <w:gridSpan w:val="2"/>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产生情况</w:t>
                  </w:r>
                </w:p>
              </w:tc>
              <w:tc>
                <w:tcPr>
                  <w:tcW w:w="698" w:type="pct"/>
                  <w:tcBorders>
                    <w:top w:val="single" w:color="auto" w:sz="1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治理措施</w:t>
                  </w:r>
                </w:p>
              </w:tc>
              <w:tc>
                <w:tcPr>
                  <w:tcW w:w="1883" w:type="pct"/>
                  <w:gridSpan w:val="2"/>
                  <w:tcBorders>
                    <w:top w:val="single" w:color="auto" w:sz="12" w:space="0"/>
                    <w:left w:val="single" w:color="auto" w:sz="4" w:space="0"/>
                    <w:bottom w:val="single" w:color="auto" w:sz="4" w:space="0"/>
                    <w:right w:val="nil"/>
                  </w:tcBorders>
                  <w:vAlign w:val="center"/>
                </w:tcPr>
                <w:p>
                  <w:pPr>
                    <w:widowControl/>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0" w:type="auto"/>
                  <w:vMerge w:val="continue"/>
                  <w:tcBorders>
                    <w:top w:val="single" w:color="auto" w:sz="12" w:space="0"/>
                    <w:left w:val="nil"/>
                    <w:bottom w:val="single" w:color="auto" w:sz="4"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产生量（t/a）</w:t>
                  </w:r>
                </w:p>
              </w:tc>
              <w:tc>
                <w:tcPr>
                  <w:tcW w:w="698" w:type="pct"/>
                  <w:vMerge w:val="restart"/>
                  <w:tcBorders>
                    <w:top w:val="single" w:color="auto" w:sz="4" w:space="0"/>
                    <w:left w:val="single" w:color="auto" w:sz="4" w:space="0"/>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布袋除尘器（效率98%）</w:t>
                  </w: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浓度（mg/m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w:t>
                  </w:r>
                </w:p>
              </w:tc>
              <w:tc>
                <w:tcPr>
                  <w:tcW w:w="850" w:type="pct"/>
                  <w:tcBorders>
                    <w:top w:val="single" w:color="auto" w:sz="4" w:space="0"/>
                    <w:left w:val="single" w:color="auto" w:sz="4" w:space="0"/>
                    <w:bottom w:val="single" w:color="auto" w:sz="4" w:space="0"/>
                    <w:right w:val="nil"/>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烟气量</w:t>
                  </w:r>
                </w:p>
              </w:tc>
              <w:tc>
                <w:tcPr>
                  <w:tcW w:w="1776" w:type="pct"/>
                  <w:gridSpan w:val="2"/>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883" w:type="pct"/>
                  <w:gridSpan w:val="2"/>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lang w:val="en-US" w:eastAsia="zh-CN"/>
                    </w:rPr>
                    <w:t>5.62</w:t>
                  </w:r>
                  <w:r>
                    <w:rPr>
                      <w:rFonts w:hint="default" w:ascii="Times New Roman" w:hAnsi="Times New Roman" w:cs="Times New Roman"/>
                      <w:i/>
                      <w:iCs/>
                      <w:kern w:val="0"/>
                      <w:u w:val="single" w:color="auto"/>
                    </w:rPr>
                    <w:t>×10</w:t>
                  </w:r>
                  <w:r>
                    <w:rPr>
                      <w:rFonts w:hint="default" w:ascii="Times New Roman" w:hAnsi="Times New Roman" w:cs="Times New Roman"/>
                      <w:i/>
                      <w:iCs/>
                      <w:kern w:val="0"/>
                      <w:u w:val="single" w:color="auto"/>
                      <w:vertAlign w:val="superscript"/>
                      <w:lang w:val="en-US" w:eastAsia="zh-CN"/>
                    </w:rPr>
                    <w:t>6</w:t>
                  </w:r>
                  <w:r>
                    <w:rPr>
                      <w:rFonts w:hint="default" w:ascii="Times New Roman" w:hAnsi="Times New Roman" w:cs="Times New Roman"/>
                      <w:i/>
                      <w:iCs/>
                      <w:kern w:val="0"/>
                      <w:u w:val="single" w:color="auto"/>
                    </w:rPr>
                    <w:t>万m</w:t>
                  </w:r>
                  <w:r>
                    <w:rPr>
                      <w:rFonts w:hint="default" w:ascii="Times New Roman" w:hAnsi="Times New Roman" w:cs="Times New Roman"/>
                      <w:i/>
                      <w:iCs/>
                      <w:kern w:val="0"/>
                      <w:u w:val="single" w:color="auto"/>
                      <w:vertAlign w:val="superscript"/>
                    </w:rPr>
                    <w:t>3</w:t>
                  </w:r>
                  <w:r>
                    <w:rPr>
                      <w:rFonts w:hint="default" w:ascii="Times New Roman" w:hAnsi="Times New Roman" w:cs="Times New Roman"/>
                      <w:i/>
                      <w:iCs/>
                      <w:kern w:val="0"/>
                      <w:u w:val="single" w:color="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tcBorders>
                    <w:top w:val="single" w:color="auto" w:sz="4" w:space="0"/>
                    <w:left w:val="nil"/>
                    <w:bottom w:val="single" w:color="auto" w:sz="4"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颗粒物</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106.76</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033"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2.14</w:t>
                  </w:r>
                </w:p>
              </w:tc>
              <w:tc>
                <w:tcPr>
                  <w:tcW w:w="850" w:type="pct"/>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default" w:ascii="Times New Roman" w:hAnsi="Times New Roman" w:cs="Times New Roman"/>
                      <w:i/>
                      <w:iCs/>
                      <w:kern w:val="0"/>
                      <w:u w:val="single" w:color="auto"/>
                    </w:rPr>
                    <w:t>0.0</w:t>
                  </w:r>
                  <w:r>
                    <w:rPr>
                      <w:rFonts w:hint="eastAsia" w:ascii="Times New Roman" w:hAnsi="Times New Roman" w:cs="Times New Roman"/>
                      <w:i/>
                      <w:iCs/>
                      <w:kern w:val="0"/>
                      <w:u w:val="single" w:color="auto"/>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SO</w:t>
                  </w:r>
                  <w:r>
                    <w:rPr>
                      <w:rFonts w:hint="default" w:ascii="Times New Roman" w:hAnsi="Times New Roman" w:cs="Times New Roman"/>
                      <w:i/>
                      <w:iCs/>
                      <w:kern w:val="0"/>
                      <w:u w:val="single" w:color="auto"/>
                      <w:vertAlign w:val="subscript"/>
                    </w:rPr>
                    <w:t>2</w:t>
                  </w:r>
                </w:p>
              </w:tc>
              <w:tc>
                <w:tcPr>
                  <w:tcW w:w="934"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841" w:type="pct"/>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0.612</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108.90</w:t>
                  </w:r>
                </w:p>
              </w:tc>
              <w:tc>
                <w:tcPr>
                  <w:tcW w:w="1334" w:type="dxa"/>
                  <w:tcBorders>
                    <w:top w:val="single" w:color="auto" w:sz="4" w:space="0"/>
                    <w:left w:val="single" w:color="auto" w:sz="4" w:space="0"/>
                    <w:bottom w:val="single" w:color="auto" w:sz="4"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0.612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pct"/>
                  <w:tcBorders>
                    <w:top w:val="single" w:color="auto" w:sz="4" w:space="0"/>
                    <w:left w:val="nil"/>
                    <w:bottom w:val="single" w:color="auto" w:sz="12" w:space="0"/>
                    <w:right w:val="single" w:color="auto" w:sz="4" w:space="0"/>
                  </w:tcBorders>
                  <w:vAlign w:val="center"/>
                </w:tcPr>
                <w:p>
                  <w:pPr>
                    <w:widowControl/>
                    <w:spacing w:line="60" w:lineRule="atLeast"/>
                    <w:jc w:val="center"/>
                    <w:rPr>
                      <w:rFonts w:hint="default" w:ascii="Times New Roman" w:hAnsi="Times New Roman" w:cs="Times New Roman"/>
                      <w:i/>
                      <w:iCs/>
                      <w:kern w:val="0"/>
                      <w:u w:val="single" w:color="auto"/>
                    </w:rPr>
                  </w:pPr>
                  <w:r>
                    <w:rPr>
                      <w:rFonts w:hint="default" w:ascii="Times New Roman" w:hAnsi="Times New Roman" w:cs="Times New Roman"/>
                      <w:i/>
                      <w:iCs/>
                      <w:kern w:val="0"/>
                      <w:u w:val="single" w:color="auto"/>
                    </w:rPr>
                    <w:t>NOx</w:t>
                  </w:r>
                </w:p>
              </w:tc>
              <w:tc>
                <w:tcPr>
                  <w:tcW w:w="934"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217.79</w:t>
                  </w:r>
                </w:p>
              </w:tc>
              <w:tc>
                <w:tcPr>
                  <w:tcW w:w="841" w:type="pct"/>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eastAsia="宋体" w:cs="Times New Roman"/>
                      <w:i/>
                      <w:iCs/>
                      <w:kern w:val="0"/>
                      <w:u w:val="single" w:color="auto"/>
                      <w:lang w:val="en-US" w:eastAsia="zh-CN"/>
                    </w:rPr>
                  </w:pPr>
                  <w:r>
                    <w:rPr>
                      <w:rFonts w:hint="eastAsia" w:ascii="Times New Roman" w:hAnsi="Times New Roman" w:cs="Times New Roman"/>
                      <w:i/>
                      <w:iCs/>
                      <w:kern w:val="0"/>
                      <w:u w:val="single" w:color="auto"/>
                      <w:lang w:val="en-US" w:eastAsia="zh-CN"/>
                    </w:rPr>
                    <w:t>1.224</w:t>
                  </w: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iCs/>
                      <w:kern w:val="0"/>
                      <w:u w:val="single" w:color="auto"/>
                    </w:rPr>
                  </w:pPr>
                </w:p>
              </w:tc>
              <w:tc>
                <w:tcPr>
                  <w:tcW w:w="1621" w:type="dxa"/>
                  <w:tcBorders>
                    <w:top w:val="single" w:color="auto" w:sz="4" w:space="0"/>
                    <w:left w:val="single" w:color="auto" w:sz="4" w:space="0"/>
                    <w:bottom w:val="single" w:color="auto" w:sz="12" w:space="0"/>
                    <w:right w:val="single" w:color="auto" w:sz="4" w:space="0"/>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217.79</w:t>
                  </w:r>
                </w:p>
              </w:tc>
              <w:tc>
                <w:tcPr>
                  <w:tcW w:w="1334" w:type="dxa"/>
                  <w:tcBorders>
                    <w:top w:val="single" w:color="auto" w:sz="4" w:space="0"/>
                    <w:left w:val="single" w:color="auto" w:sz="4" w:space="0"/>
                    <w:bottom w:val="single" w:color="auto" w:sz="12" w:space="0"/>
                    <w:right w:val="nil"/>
                  </w:tcBorders>
                  <w:vAlign w:val="center"/>
                </w:tcPr>
                <w:p>
                  <w:pPr>
                    <w:widowControl/>
                    <w:spacing w:line="80" w:lineRule="atLeast"/>
                    <w:jc w:val="center"/>
                    <w:rPr>
                      <w:rFonts w:hint="default" w:ascii="Times New Roman" w:hAnsi="Times New Roman" w:cs="Times New Roman"/>
                      <w:i/>
                      <w:iCs/>
                      <w:kern w:val="0"/>
                      <w:u w:val="single" w:color="auto"/>
                    </w:rPr>
                  </w:pPr>
                  <w:r>
                    <w:rPr>
                      <w:rFonts w:hint="eastAsia" w:ascii="Times New Roman" w:hAnsi="Times New Roman" w:cs="Times New Roman"/>
                      <w:i/>
                      <w:iCs/>
                      <w:kern w:val="0"/>
                      <w:u w:val="single" w:color="auto"/>
                      <w:lang w:val="en-US" w:eastAsia="zh-CN"/>
                    </w:rPr>
                    <w:t>1.224</w:t>
                  </w:r>
                </w:p>
              </w:tc>
            </w:tr>
          </w:tbl>
          <w:p>
            <w:pPr>
              <w:snapToGrid w:val="0"/>
              <w:spacing w:line="360" w:lineRule="auto"/>
              <w:ind w:firstLine="480" w:firstLineChars="200"/>
              <w:rPr>
                <w:rFonts w:hint="default" w:ascii="Times New Roman" w:hAnsi="Times New Roman" w:cs="Times New Roman"/>
                <w:i/>
                <w:iCs/>
                <w:kern w:val="0"/>
                <w:sz w:val="24"/>
                <w:szCs w:val="24"/>
                <w:u w:val="single" w:color="auto"/>
              </w:rPr>
            </w:pPr>
            <w:r>
              <w:rPr>
                <w:rFonts w:hint="default" w:ascii="Times New Roman" w:hAnsi="Times New Roman" w:cs="Times New Roman"/>
                <w:i/>
                <w:iCs/>
                <w:color w:val="auto"/>
                <w:sz w:val="24"/>
                <w:szCs w:val="24"/>
                <w:u w:val="single" w:color="auto"/>
              </w:rPr>
              <w:t>由计算结果可以看出，本项目生物质锅炉干烟气产生量为</w:t>
            </w:r>
            <w:r>
              <w:rPr>
                <w:rFonts w:hint="eastAsia" w:ascii="Times New Roman" w:hAnsi="Times New Roman" w:cs="Times New Roman"/>
                <w:i/>
                <w:iCs/>
                <w:sz w:val="24"/>
                <w:szCs w:val="24"/>
                <w:u w:val="single" w:color="auto"/>
                <w:lang w:val="en-US" w:eastAsia="zh-CN"/>
              </w:rPr>
              <w:t>5.62</w:t>
            </w:r>
            <w:r>
              <w:rPr>
                <w:rFonts w:hint="default" w:ascii="Times New Roman" w:hAnsi="Times New Roman" w:cs="Times New Roman"/>
                <w:i/>
                <w:iCs/>
                <w:sz w:val="24"/>
                <w:szCs w:val="24"/>
                <w:u w:val="single" w:color="auto"/>
              </w:rPr>
              <w:t>×10</w:t>
            </w:r>
            <w:r>
              <w:rPr>
                <w:rFonts w:hint="eastAsia" w:ascii="Times New Roman" w:hAnsi="Times New Roman" w:cs="Times New Roman"/>
                <w:i/>
                <w:iCs/>
                <w:sz w:val="24"/>
                <w:szCs w:val="24"/>
                <w:u w:val="single" w:color="auto"/>
                <w:vertAlign w:val="superscript"/>
                <w:lang w:val="en-US" w:eastAsia="zh-CN"/>
              </w:rPr>
              <w:t>6</w:t>
            </w:r>
            <w:r>
              <w:rPr>
                <w:rFonts w:hint="default" w:ascii="Times New Roman" w:hAnsi="Times New Roman" w:cs="Times New Roman"/>
                <w:i/>
                <w:iCs/>
                <w:sz w:val="24"/>
                <w:szCs w:val="24"/>
                <w:u w:val="single" w:color="auto"/>
              </w:rPr>
              <w:t>m</w:t>
            </w:r>
            <w:r>
              <w:rPr>
                <w:rFonts w:hint="default" w:ascii="Times New Roman" w:hAnsi="Times New Roman" w:cs="Times New Roman"/>
                <w:i/>
                <w:iCs/>
                <w:sz w:val="24"/>
                <w:szCs w:val="24"/>
                <w:u w:val="single" w:color="auto"/>
                <w:vertAlign w:val="superscript"/>
              </w:rPr>
              <w:t>3</w:t>
            </w:r>
            <w:r>
              <w:rPr>
                <w:rFonts w:hint="default" w:ascii="Times New Roman" w:hAnsi="Times New Roman" w:cs="Times New Roman"/>
                <w:i/>
                <w:iCs/>
                <w:sz w:val="24"/>
                <w:szCs w:val="24"/>
                <w:u w:val="single" w:color="auto"/>
              </w:rPr>
              <w:t>/a</w:t>
            </w:r>
            <w:r>
              <w:rPr>
                <w:rFonts w:hint="default" w:ascii="Times New Roman" w:hAnsi="Times New Roman" w:cs="Times New Roman"/>
                <w:i/>
                <w:iCs/>
                <w:color w:val="auto"/>
                <w:sz w:val="24"/>
                <w:szCs w:val="24"/>
                <w:u w:val="single" w:color="auto"/>
              </w:rPr>
              <w:t>，经布袋除尘器对烟气进行处理后（处理效率98%），烟气中</w:t>
            </w:r>
            <w:r>
              <w:rPr>
                <w:rFonts w:hint="default" w:ascii="Times New Roman" w:hAnsi="Times New Roman" w:cs="Times New Roman"/>
                <w:i/>
                <w:iCs/>
                <w:color w:val="auto"/>
                <w:sz w:val="24"/>
                <w:szCs w:val="24"/>
                <w:u w:val="single" w:color="auto"/>
                <w:lang w:val="zh-CN"/>
              </w:rPr>
              <w:t>污染物</w:t>
            </w:r>
            <w:r>
              <w:rPr>
                <w:rFonts w:hint="default" w:ascii="Times New Roman" w:hAnsi="Times New Roman" w:cs="Times New Roman"/>
                <w:i/>
                <w:iCs/>
                <w:color w:val="auto"/>
                <w:sz w:val="24"/>
                <w:szCs w:val="24"/>
                <w:u w:val="single" w:color="auto"/>
              </w:rPr>
              <w:t>排放量分别为颗粒物：0.0</w:t>
            </w:r>
            <w:r>
              <w:rPr>
                <w:rFonts w:hint="eastAsia" w:ascii="Times New Roman" w:hAnsi="Times New Roman" w:cs="Times New Roman"/>
                <w:i/>
                <w:iCs/>
                <w:color w:val="auto"/>
                <w:sz w:val="24"/>
                <w:szCs w:val="24"/>
                <w:u w:val="single" w:color="auto"/>
                <w:lang w:val="en-US" w:eastAsia="zh-CN"/>
              </w:rPr>
              <w:t>12</w:t>
            </w:r>
            <w:r>
              <w:rPr>
                <w:rFonts w:hint="default" w:ascii="Times New Roman" w:hAnsi="Times New Roman" w:cs="Times New Roman"/>
                <w:i/>
                <w:iCs/>
                <w:color w:val="auto"/>
                <w:sz w:val="24"/>
                <w:szCs w:val="24"/>
                <w:u w:val="single" w:color="auto"/>
              </w:rPr>
              <w:t>t/a、SO</w:t>
            </w:r>
            <w:r>
              <w:rPr>
                <w:rFonts w:hint="default" w:ascii="Times New Roman" w:hAnsi="Times New Roman" w:cs="Times New Roman"/>
                <w:i/>
                <w:iCs/>
                <w:color w:val="auto"/>
                <w:sz w:val="24"/>
                <w:szCs w:val="24"/>
                <w:u w:val="single" w:color="auto"/>
                <w:vertAlign w:val="subscript"/>
              </w:rPr>
              <w:t>2</w:t>
            </w:r>
            <w:r>
              <w:rPr>
                <w:rFonts w:hint="default" w:ascii="Times New Roman" w:hAnsi="Times New Roman" w:cs="Times New Roman"/>
                <w:i/>
                <w:iCs/>
                <w:color w:val="auto"/>
                <w:sz w:val="24"/>
                <w:szCs w:val="24"/>
                <w:u w:val="single" w:color="auto"/>
              </w:rPr>
              <w:t>：</w:t>
            </w:r>
            <w:r>
              <w:rPr>
                <w:rFonts w:hint="eastAsia" w:ascii="Times New Roman" w:hAnsi="Times New Roman" w:cs="Times New Roman"/>
                <w:i/>
                <w:iCs/>
                <w:color w:val="auto"/>
                <w:sz w:val="24"/>
                <w:szCs w:val="24"/>
                <w:u w:val="single" w:color="auto"/>
                <w:lang w:val="en-US" w:eastAsia="zh-CN"/>
              </w:rPr>
              <w:t>0.612</w:t>
            </w:r>
            <w:r>
              <w:rPr>
                <w:rFonts w:hint="default" w:ascii="Times New Roman" w:hAnsi="Times New Roman" w:cs="Times New Roman"/>
                <w:i/>
                <w:iCs/>
                <w:color w:val="auto"/>
                <w:sz w:val="24"/>
                <w:szCs w:val="24"/>
                <w:u w:val="single" w:color="auto"/>
              </w:rPr>
              <w:t>t/a、NOx：</w:t>
            </w:r>
            <w:r>
              <w:rPr>
                <w:rFonts w:hint="eastAsia" w:ascii="Times New Roman" w:hAnsi="Times New Roman" w:cs="Times New Roman"/>
                <w:i/>
                <w:iCs/>
                <w:color w:val="auto"/>
                <w:sz w:val="24"/>
                <w:szCs w:val="24"/>
                <w:u w:val="single" w:color="auto"/>
                <w:lang w:val="en-US" w:eastAsia="zh-CN"/>
              </w:rPr>
              <w:t>1.224</w:t>
            </w:r>
            <w:r>
              <w:rPr>
                <w:rFonts w:hint="default" w:ascii="Times New Roman" w:hAnsi="Times New Roman" w:cs="Times New Roman"/>
                <w:i/>
                <w:iCs/>
                <w:color w:val="auto"/>
                <w:sz w:val="24"/>
                <w:szCs w:val="24"/>
                <w:u w:val="single" w:color="auto"/>
              </w:rPr>
              <w:t>t/a；排放浓度分别为颗粒物：</w:t>
            </w:r>
            <w:r>
              <w:rPr>
                <w:rFonts w:hint="eastAsia" w:ascii="Times New Roman" w:hAnsi="Times New Roman" w:cs="Times New Roman"/>
                <w:i/>
                <w:iCs/>
                <w:color w:val="auto"/>
                <w:sz w:val="24"/>
                <w:szCs w:val="24"/>
                <w:u w:val="single" w:color="auto"/>
                <w:lang w:val="en-US" w:eastAsia="zh-CN"/>
              </w:rPr>
              <w:t>2.14</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、SO</w:t>
            </w:r>
            <w:r>
              <w:rPr>
                <w:rFonts w:hint="default" w:ascii="Times New Roman" w:hAnsi="Times New Roman" w:cs="Times New Roman"/>
                <w:i/>
                <w:iCs/>
                <w:color w:val="auto"/>
                <w:sz w:val="24"/>
                <w:szCs w:val="24"/>
                <w:u w:val="single" w:color="auto"/>
                <w:vertAlign w:val="subscript"/>
              </w:rPr>
              <w:t>2</w:t>
            </w:r>
            <w:r>
              <w:rPr>
                <w:rFonts w:hint="default" w:ascii="Times New Roman" w:hAnsi="Times New Roman" w:cs="Times New Roman"/>
                <w:i/>
                <w:iCs/>
                <w:color w:val="auto"/>
                <w:sz w:val="24"/>
                <w:szCs w:val="24"/>
                <w:u w:val="single" w:color="auto"/>
              </w:rPr>
              <w:t>：</w:t>
            </w:r>
            <w:r>
              <w:rPr>
                <w:rFonts w:hint="eastAsia" w:ascii="Times New Roman" w:hAnsi="Times New Roman" w:cs="Times New Roman"/>
                <w:i/>
                <w:iCs/>
                <w:color w:val="auto"/>
                <w:sz w:val="24"/>
                <w:szCs w:val="24"/>
                <w:u w:val="single" w:color="auto"/>
                <w:lang w:val="en-US" w:eastAsia="zh-CN"/>
              </w:rPr>
              <w:t>108.90</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、NOx：</w:t>
            </w:r>
            <w:r>
              <w:rPr>
                <w:rFonts w:hint="eastAsia" w:ascii="Times New Roman" w:hAnsi="Times New Roman" w:cs="Times New Roman"/>
                <w:i/>
                <w:iCs/>
                <w:color w:val="auto"/>
                <w:sz w:val="24"/>
                <w:szCs w:val="24"/>
                <w:u w:val="single" w:color="auto"/>
                <w:lang w:val="en-US" w:eastAsia="zh-CN"/>
              </w:rPr>
              <w:t>217.79</w:t>
            </w:r>
            <w:r>
              <w:rPr>
                <w:rFonts w:hint="default" w:ascii="Times New Roman" w:hAnsi="Times New Roman" w:cs="Times New Roman"/>
                <w:i/>
                <w:iCs/>
                <w:color w:val="auto"/>
                <w:sz w:val="24"/>
                <w:szCs w:val="24"/>
                <w:u w:val="single" w:color="auto"/>
              </w:rPr>
              <w:t>mg/m</w:t>
            </w:r>
            <w:r>
              <w:rPr>
                <w:rFonts w:hint="default" w:ascii="Times New Roman" w:hAnsi="Times New Roman" w:cs="Times New Roman"/>
                <w:i/>
                <w:iCs/>
                <w:color w:val="auto"/>
                <w:sz w:val="24"/>
                <w:szCs w:val="24"/>
                <w:u w:val="single" w:color="auto"/>
                <w:vertAlign w:val="superscript"/>
              </w:rPr>
              <w:t>3</w:t>
            </w:r>
            <w:r>
              <w:rPr>
                <w:rFonts w:hint="default" w:ascii="Times New Roman" w:hAnsi="Times New Roman" w:cs="Times New Roman"/>
                <w:i/>
                <w:iCs/>
                <w:color w:val="auto"/>
                <w:sz w:val="24"/>
                <w:szCs w:val="24"/>
                <w:u w:val="single" w:color="auto"/>
              </w:rPr>
              <w:t>；烟气经1根35m高的烟囱排放，能够满足《锅炉大气污染物排放标准》（GB13271-2014）表2中新建锅炉大气污染物排放浓度限值。</w:t>
            </w:r>
          </w:p>
          <w:p>
            <w:pPr>
              <w:snapToGrid w:val="0"/>
              <w:spacing w:line="360" w:lineRule="auto"/>
              <w:ind w:firstLine="480" w:firstLineChars="200"/>
              <w:rPr>
                <w:rFonts w:hint="default" w:ascii="Times New Roman" w:hAnsi="Times New Roman" w:cs="Times New Roman"/>
                <w:i w:val="0"/>
                <w:iCs w:val="0"/>
                <w:kern w:val="0"/>
                <w:sz w:val="24"/>
                <w:u w:val="none" w:color="auto"/>
                <w:lang w:val="zh-CN"/>
              </w:rPr>
            </w:pPr>
            <w:r>
              <w:rPr>
                <w:rFonts w:hint="default" w:ascii="Times New Roman" w:hAnsi="Times New Roman" w:cs="Times New Roman"/>
                <w:i w:val="0"/>
                <w:iCs w:val="0"/>
                <w:kern w:val="0"/>
                <w:sz w:val="24"/>
                <w:u w:val="none" w:color="auto"/>
              </w:rPr>
              <w:t>（2）废气</w:t>
            </w:r>
            <w:r>
              <w:rPr>
                <w:rFonts w:hint="default" w:ascii="Times New Roman" w:hAnsi="Times New Roman" w:cs="Times New Roman"/>
                <w:i w:val="0"/>
                <w:iCs w:val="0"/>
                <w:kern w:val="0"/>
                <w:sz w:val="24"/>
                <w:u w:val="none" w:color="auto"/>
                <w:lang w:val="zh-CN"/>
              </w:rPr>
              <w:t>监测要求</w:t>
            </w:r>
          </w:p>
          <w:p>
            <w:pPr>
              <w:snapToGrid w:val="0"/>
              <w:spacing w:line="360" w:lineRule="auto"/>
              <w:ind w:firstLine="480" w:firstLineChars="200"/>
              <w:rPr>
                <w:rFonts w:hint="default" w:ascii="Times New Roman" w:hAnsi="Times New Roman" w:cs="Times New Roman"/>
                <w:i w:val="0"/>
                <w:iCs w:val="0"/>
                <w:sz w:val="24"/>
                <w:u w:val="none" w:color="auto"/>
              </w:rPr>
            </w:pPr>
            <w:r>
              <w:rPr>
                <w:rFonts w:hint="default" w:ascii="Times New Roman" w:hAnsi="Times New Roman" w:cs="Times New Roman"/>
                <w:i w:val="0"/>
                <w:iCs w:val="0"/>
                <w:sz w:val="24"/>
                <w:u w:val="none" w:color="auto"/>
              </w:rPr>
              <w:t>鉴于排污许可证申请与核发技术规范未对本项目所属行业进行划分，故本项目根据《排污单位自行监测技术指南 火力发电及锅炉》（HJ820-2017）及《</w:t>
            </w:r>
            <w:r>
              <w:rPr>
                <w:rFonts w:hint="default" w:ascii="Times New Roman" w:hAnsi="Times New Roman" w:cs="Times New Roman"/>
                <w:i w:val="0"/>
                <w:iCs w:val="0"/>
                <w:color w:val="000000"/>
                <w:sz w:val="24"/>
                <w:u w:val="none" w:color="auto"/>
              </w:rPr>
              <w:t>排污许可证申请与核发技术规范 锅炉</w:t>
            </w:r>
            <w:r>
              <w:rPr>
                <w:rFonts w:hint="default" w:ascii="Times New Roman" w:hAnsi="Times New Roman" w:cs="Times New Roman"/>
                <w:i w:val="0"/>
                <w:iCs w:val="0"/>
                <w:sz w:val="24"/>
                <w:u w:val="none" w:color="auto"/>
              </w:rPr>
              <w:t>》（HJ953-2018），项目废气监测要求见下表。</w:t>
            </w:r>
          </w:p>
          <w:p>
            <w:pPr>
              <w:snapToGrid w:val="0"/>
              <w:jc w:val="center"/>
              <w:rPr>
                <w:rFonts w:hint="default" w:ascii="Times New Roman" w:hAnsi="Times New Roman" w:cs="Times New Roman"/>
                <w:b/>
                <w:i w:val="0"/>
                <w:iCs w:val="0"/>
                <w:szCs w:val="21"/>
                <w:u w:val="none" w:color="auto"/>
              </w:rPr>
            </w:pPr>
            <w:r>
              <w:rPr>
                <w:rFonts w:hint="default" w:ascii="Times New Roman" w:hAnsi="Times New Roman" w:cs="Times New Roman"/>
                <w:b/>
                <w:i w:val="0"/>
                <w:iCs w:val="0"/>
                <w:szCs w:val="21"/>
                <w:u w:val="none" w:color="auto"/>
              </w:rPr>
              <w:t>表2</w:t>
            </w:r>
            <w:r>
              <w:rPr>
                <w:rFonts w:hint="eastAsia" w:ascii="Times New Roman" w:hAnsi="Times New Roman" w:cs="Times New Roman"/>
                <w:b/>
                <w:i w:val="0"/>
                <w:iCs w:val="0"/>
                <w:szCs w:val="21"/>
                <w:u w:val="none" w:color="auto"/>
                <w:lang w:val="en-US" w:eastAsia="zh-CN"/>
              </w:rPr>
              <w:t>4</w:t>
            </w:r>
            <w:r>
              <w:rPr>
                <w:rFonts w:hint="default" w:ascii="Times New Roman" w:hAnsi="Times New Roman" w:cs="Times New Roman"/>
                <w:b/>
                <w:i w:val="0"/>
                <w:iCs w:val="0"/>
                <w:szCs w:val="21"/>
                <w:u w:val="none" w:color="auto"/>
              </w:rPr>
              <w:t xml:space="preserve">   本项目废气监测方案</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755"/>
              <w:gridCol w:w="1680"/>
              <w:gridCol w:w="31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0" w:type="dxa"/>
                  <w:tcBorders>
                    <w:top w:val="single" w:color="auto" w:sz="12"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监测点位</w:t>
                  </w:r>
                </w:p>
              </w:tc>
              <w:tc>
                <w:tcPr>
                  <w:tcW w:w="1755" w:type="dxa"/>
                  <w:tcBorders>
                    <w:top w:val="single" w:color="auto" w:sz="12" w:space="0"/>
                    <w:left w:val="single" w:color="000000"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污染指标</w:t>
                  </w:r>
                </w:p>
              </w:tc>
              <w:tc>
                <w:tcPr>
                  <w:tcW w:w="168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监测频次</w:t>
                  </w:r>
                </w:p>
              </w:tc>
              <w:tc>
                <w:tcPr>
                  <w:tcW w:w="3135" w:type="dxa"/>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0"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排气筒DA001</w:t>
                  </w:r>
                </w:p>
              </w:tc>
              <w:tc>
                <w:tcPr>
                  <w:tcW w:w="1755" w:type="dxa"/>
                  <w:vMerge w:val="restart"/>
                  <w:tcBorders>
                    <w:top w:val="single" w:color="auto" w:sz="4" w:space="0"/>
                    <w:left w:val="single" w:color="000000"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颗粒物、SO</w:t>
                  </w:r>
                  <w:r>
                    <w:rPr>
                      <w:rFonts w:hint="default" w:ascii="Times New Roman" w:hAnsi="Times New Roman" w:cs="Times New Roman"/>
                      <w:i w:val="0"/>
                      <w:iCs w:val="0"/>
                      <w:szCs w:val="21"/>
                      <w:u w:val="none" w:color="auto"/>
                      <w:vertAlign w:val="subscript"/>
                    </w:rPr>
                    <w:t>2</w:t>
                  </w:r>
                  <w:r>
                    <w:rPr>
                      <w:rFonts w:hint="default" w:ascii="Times New Roman" w:hAnsi="Times New Roman" w:cs="Times New Roman"/>
                      <w:i w:val="0"/>
                      <w:iCs w:val="0"/>
                      <w:szCs w:val="21"/>
                      <w:u w:val="none" w:color="auto"/>
                    </w:rPr>
                    <w:t>、NOx</w:t>
                  </w:r>
                </w:p>
              </w:tc>
              <w:tc>
                <w:tcPr>
                  <w:tcW w:w="168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每月一次</w:t>
                  </w:r>
                </w:p>
              </w:tc>
              <w:tc>
                <w:tcPr>
                  <w:tcW w:w="3135" w:type="dxa"/>
                  <w:vMerge w:val="restart"/>
                  <w:tcBorders>
                    <w:top w:val="single" w:color="auto" w:sz="4" w:space="0"/>
                    <w:left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《锅炉大气污染物排放标准》（GB13271-2014）表2中新建锅炉大气污染物排放浓度限值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0"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宋体" w:cs="Times New Roman"/>
                      <w:i w:val="0"/>
                      <w:iCs w:val="0"/>
                      <w:szCs w:val="21"/>
                      <w:u w:val="none" w:color="auto"/>
                      <w:lang w:val="en-US" w:eastAsia="zh-CN"/>
                    </w:rPr>
                  </w:pPr>
                  <w:r>
                    <w:rPr>
                      <w:rFonts w:hint="default" w:ascii="Times New Roman" w:hAnsi="Times New Roman" w:cs="Times New Roman"/>
                      <w:i w:val="0"/>
                      <w:iCs w:val="0"/>
                      <w:szCs w:val="21"/>
                      <w:u w:val="none" w:color="auto"/>
                    </w:rPr>
                    <w:t>排气筒DA00</w:t>
                  </w:r>
                  <w:r>
                    <w:rPr>
                      <w:rFonts w:hint="eastAsia" w:ascii="Times New Roman" w:hAnsi="Times New Roman" w:cs="Times New Roman"/>
                      <w:i w:val="0"/>
                      <w:iCs w:val="0"/>
                      <w:szCs w:val="21"/>
                      <w:u w:val="none" w:color="auto"/>
                      <w:lang w:val="en-US" w:eastAsia="zh-CN"/>
                    </w:rPr>
                    <w:t>2</w:t>
                  </w:r>
                </w:p>
              </w:tc>
              <w:tc>
                <w:tcPr>
                  <w:tcW w:w="1755" w:type="dxa"/>
                  <w:vMerge w:val="continue"/>
                  <w:tcBorders>
                    <w:left w:val="single" w:color="000000" w:sz="4" w:space="0"/>
                    <w:right w:val="single" w:color="auto" w:sz="4" w:space="0"/>
                  </w:tcBorders>
                  <w:vAlign w:val="center"/>
                </w:tcPr>
                <w:p>
                  <w:pPr>
                    <w:jc w:val="center"/>
                    <w:rPr>
                      <w:rFonts w:hint="default" w:ascii="Times New Roman" w:hAnsi="Times New Roman" w:cs="Times New Roman"/>
                      <w:i w:val="0"/>
                      <w:iCs w:val="0"/>
                      <w:szCs w:val="21"/>
                      <w:u w:val="none" w:color="auto"/>
                    </w:rPr>
                  </w:pPr>
                </w:p>
              </w:tc>
              <w:tc>
                <w:tcPr>
                  <w:tcW w:w="1680" w:type="dxa"/>
                  <w:vMerge w:val="continue"/>
                  <w:tcBorders>
                    <w:left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p>
              </w:tc>
              <w:tc>
                <w:tcPr>
                  <w:tcW w:w="3135" w:type="dxa"/>
                  <w:vMerge w:val="continue"/>
                  <w:tcBorders>
                    <w:left w:val="single" w:color="auto" w:sz="4" w:space="0"/>
                    <w:right w:val="nil"/>
                  </w:tcBorders>
                  <w:vAlign w:val="center"/>
                </w:tcPr>
                <w:p>
                  <w:pPr>
                    <w:jc w:val="center"/>
                    <w:rPr>
                      <w:rFonts w:hint="default" w:ascii="Times New Roman" w:hAnsi="Times New Roman" w:cs="Times New Roman"/>
                      <w:i w:val="0"/>
                      <w:iCs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0" w:type="dxa"/>
                  <w:tcBorders>
                    <w:top w:val="single" w:color="auto" w:sz="4" w:space="0"/>
                    <w:left w:val="nil"/>
                    <w:bottom w:val="single" w:color="auto" w:sz="12" w:space="0"/>
                    <w:right w:val="single" w:color="000000" w:sz="4" w:space="0"/>
                  </w:tcBorders>
                  <w:vAlign w:val="center"/>
                </w:tcPr>
                <w:p>
                  <w:pPr>
                    <w:jc w:val="center"/>
                    <w:rPr>
                      <w:rFonts w:hint="eastAsia" w:ascii="Times New Roman" w:hAnsi="Times New Roman" w:eastAsia="宋体" w:cs="Times New Roman"/>
                      <w:i w:val="0"/>
                      <w:iCs w:val="0"/>
                      <w:szCs w:val="21"/>
                      <w:u w:val="none" w:color="auto"/>
                      <w:lang w:eastAsia="zh-CN"/>
                    </w:rPr>
                  </w:pPr>
                  <w:r>
                    <w:rPr>
                      <w:rFonts w:hint="default" w:ascii="Times New Roman" w:hAnsi="Times New Roman" w:cs="Times New Roman"/>
                      <w:i w:val="0"/>
                      <w:iCs w:val="0"/>
                      <w:szCs w:val="21"/>
                      <w:u w:val="none" w:color="auto"/>
                    </w:rPr>
                    <w:t>排气筒DA00</w:t>
                  </w:r>
                  <w:r>
                    <w:rPr>
                      <w:rFonts w:hint="eastAsia" w:ascii="Times New Roman" w:hAnsi="Times New Roman" w:cs="Times New Roman"/>
                      <w:i w:val="0"/>
                      <w:iCs w:val="0"/>
                      <w:szCs w:val="21"/>
                      <w:u w:val="none" w:color="auto"/>
                      <w:lang w:val="en-US" w:eastAsia="zh-CN"/>
                    </w:rPr>
                    <w:t>3</w:t>
                  </w:r>
                </w:p>
              </w:tc>
              <w:tc>
                <w:tcPr>
                  <w:tcW w:w="1755" w:type="dxa"/>
                  <w:vMerge w:val="continue"/>
                  <w:tcBorders>
                    <w:left w:val="single" w:color="000000"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p>
              </w:tc>
              <w:tc>
                <w:tcPr>
                  <w:tcW w:w="1680" w:type="dxa"/>
                  <w:vMerge w:val="continue"/>
                  <w:tcBorders>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p>
              </w:tc>
              <w:tc>
                <w:tcPr>
                  <w:tcW w:w="3135" w:type="dxa"/>
                  <w:vMerge w:val="continue"/>
                  <w:tcBorders>
                    <w:left w:val="single" w:color="auto" w:sz="4" w:space="0"/>
                    <w:bottom w:val="single" w:color="auto" w:sz="12" w:space="0"/>
                    <w:right w:val="nil"/>
                  </w:tcBorders>
                  <w:vAlign w:val="center"/>
                </w:tcPr>
                <w:p>
                  <w:pPr>
                    <w:jc w:val="center"/>
                    <w:rPr>
                      <w:rFonts w:hint="default" w:ascii="Times New Roman" w:hAnsi="Times New Roman" w:cs="Times New Roman"/>
                      <w:i w:val="0"/>
                      <w:iCs w:val="0"/>
                      <w:szCs w:val="21"/>
                      <w:u w:val="none" w:color="auto"/>
                    </w:rPr>
                  </w:pPr>
                </w:p>
              </w:tc>
            </w:tr>
          </w:tbl>
          <w:p>
            <w:pPr>
              <w:snapToGrid w:val="0"/>
              <w:spacing w:line="360" w:lineRule="auto"/>
              <w:ind w:firstLine="480" w:firstLineChars="200"/>
              <w:rPr>
                <w:rFonts w:hint="default" w:ascii="Times New Roman" w:hAnsi="Times New Roman" w:cs="Times New Roman"/>
                <w:i w:val="0"/>
                <w:iCs w:val="0"/>
                <w:kern w:val="0"/>
                <w:sz w:val="24"/>
                <w:u w:val="none" w:color="auto"/>
              </w:rPr>
            </w:pPr>
            <w:r>
              <w:rPr>
                <w:rFonts w:hint="default" w:ascii="Times New Roman" w:hAnsi="Times New Roman" w:cs="Times New Roman"/>
                <w:i w:val="0"/>
                <w:iCs w:val="0"/>
                <w:kern w:val="0"/>
                <w:sz w:val="24"/>
                <w:u w:val="none" w:color="auto"/>
              </w:rPr>
              <w:t>（3）排放口信息</w:t>
            </w:r>
          </w:p>
          <w:p>
            <w:pPr>
              <w:snapToGrid w:val="0"/>
              <w:jc w:val="center"/>
              <w:rPr>
                <w:rFonts w:hint="default" w:ascii="Times New Roman" w:hAnsi="Times New Roman" w:cs="Times New Roman"/>
                <w:b/>
                <w:i w:val="0"/>
                <w:iCs w:val="0"/>
                <w:szCs w:val="21"/>
                <w:u w:val="none" w:color="auto"/>
              </w:rPr>
            </w:pPr>
            <w:r>
              <w:rPr>
                <w:rFonts w:hint="default" w:ascii="Times New Roman" w:hAnsi="Times New Roman" w:cs="Times New Roman"/>
                <w:b/>
                <w:i w:val="0"/>
                <w:iCs w:val="0"/>
                <w:szCs w:val="21"/>
                <w:u w:val="none" w:color="auto"/>
              </w:rPr>
              <w:t>表</w:t>
            </w:r>
            <w:r>
              <w:rPr>
                <w:rFonts w:hint="eastAsia" w:ascii="Times New Roman" w:hAnsi="Times New Roman" w:cs="Times New Roman"/>
                <w:b/>
                <w:i w:val="0"/>
                <w:iCs w:val="0"/>
                <w:szCs w:val="21"/>
                <w:u w:val="none" w:color="auto"/>
                <w:lang w:val="en-US" w:eastAsia="zh-CN"/>
              </w:rPr>
              <w:t>25</w:t>
            </w:r>
            <w:r>
              <w:rPr>
                <w:rFonts w:hint="default" w:ascii="Times New Roman" w:hAnsi="Times New Roman" w:cs="Times New Roman"/>
                <w:b/>
                <w:i w:val="0"/>
                <w:iCs w:val="0"/>
                <w:szCs w:val="21"/>
                <w:u w:val="none" w:color="auto"/>
              </w:rPr>
              <w:t xml:space="preserve">  本项目排放口基本信息</w:t>
            </w:r>
          </w:p>
          <w:tbl>
            <w:tblPr>
              <w:tblStyle w:val="18"/>
              <w:tblW w:w="78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20"/>
              <w:gridCol w:w="680"/>
              <w:gridCol w:w="1140"/>
              <w:gridCol w:w="950"/>
              <w:gridCol w:w="871"/>
              <w:gridCol w:w="1214"/>
              <w:gridCol w:w="11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tcBorders>
                    <w:top w:val="single" w:color="auto" w:sz="12"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高度</w:t>
                  </w:r>
                </w:p>
              </w:tc>
              <w:tc>
                <w:tcPr>
                  <w:tcW w:w="1220" w:type="dxa"/>
                  <w:tcBorders>
                    <w:top w:val="single" w:color="auto" w:sz="12" w:space="0"/>
                    <w:left w:val="single" w:color="000000"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排气筒内径</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温度</w:t>
                  </w:r>
                </w:p>
              </w:tc>
              <w:tc>
                <w:tcPr>
                  <w:tcW w:w="2090" w:type="dxa"/>
                  <w:gridSpan w:val="2"/>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编号及名称</w:t>
                  </w:r>
                </w:p>
              </w:tc>
              <w:tc>
                <w:tcPr>
                  <w:tcW w:w="871"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类型</w:t>
                  </w:r>
                </w:p>
              </w:tc>
              <w:tc>
                <w:tcPr>
                  <w:tcW w:w="2323" w:type="dxa"/>
                  <w:gridSpan w:val="2"/>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661"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m</w:t>
                  </w:r>
                </w:p>
              </w:tc>
              <w:tc>
                <w:tcPr>
                  <w:tcW w:w="1220" w:type="dxa"/>
                  <w:tcBorders>
                    <w:top w:val="single" w:color="auto" w:sz="4" w:space="0"/>
                    <w:left w:val="single" w:color="000000"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m</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名称</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编号</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经度</w:t>
                  </w:r>
                </w:p>
              </w:tc>
              <w:tc>
                <w:tcPr>
                  <w:tcW w:w="110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纬度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35</w:t>
                  </w:r>
                </w:p>
              </w:tc>
              <w:tc>
                <w:tcPr>
                  <w:tcW w:w="1220" w:type="dxa"/>
                  <w:tcBorders>
                    <w:top w:val="single" w:color="auto" w:sz="4" w:space="0"/>
                    <w:left w:val="single" w:color="000000"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0.5</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120</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废气排放口</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DA001</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立式排放口</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126.615927</w:t>
                  </w:r>
                </w:p>
              </w:tc>
              <w:tc>
                <w:tcPr>
                  <w:tcW w:w="110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42.115902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35</w:t>
                  </w:r>
                </w:p>
              </w:tc>
              <w:tc>
                <w:tcPr>
                  <w:tcW w:w="1220" w:type="dxa"/>
                  <w:tcBorders>
                    <w:top w:val="single" w:color="auto" w:sz="4" w:space="0"/>
                    <w:left w:val="single" w:color="000000"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0.5</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eastAsia" w:ascii="Times New Roman" w:hAnsi="Times New Roman" w:cs="Times New Roman"/>
                      <w:i w:val="0"/>
                      <w:iCs w:val="0"/>
                      <w:szCs w:val="21"/>
                      <w:u w:val="none" w:color="auto"/>
                      <w:lang w:val="en-US" w:eastAsia="zh-CN"/>
                    </w:rPr>
                    <w:t>120</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废气排放口</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i w:val="0"/>
                      <w:iCs w:val="0"/>
                      <w:szCs w:val="21"/>
                      <w:u w:val="none" w:color="auto"/>
                      <w:lang w:eastAsia="zh-CN"/>
                    </w:rPr>
                  </w:pPr>
                  <w:r>
                    <w:rPr>
                      <w:rFonts w:hint="default" w:ascii="Times New Roman" w:hAnsi="Times New Roman" w:cs="Times New Roman"/>
                      <w:i w:val="0"/>
                      <w:iCs w:val="0"/>
                      <w:szCs w:val="21"/>
                      <w:u w:val="none" w:color="auto"/>
                    </w:rPr>
                    <w:t>DA00</w:t>
                  </w:r>
                  <w:r>
                    <w:rPr>
                      <w:rFonts w:hint="eastAsia" w:ascii="Times New Roman" w:hAnsi="Times New Roman" w:cs="Times New Roman"/>
                      <w:i w:val="0"/>
                      <w:iCs w:val="0"/>
                      <w:szCs w:val="21"/>
                      <w:u w:val="none" w:color="auto"/>
                      <w:lang w:val="en-US" w:eastAsia="zh-CN"/>
                    </w:rPr>
                    <w:t>2</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立式排放口</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126.621420</w:t>
                  </w:r>
                </w:p>
              </w:tc>
              <w:tc>
                <w:tcPr>
                  <w:tcW w:w="110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42.119292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661" w:type="dxa"/>
                  <w:tcBorders>
                    <w:top w:val="single" w:color="auto" w:sz="4" w:space="0"/>
                    <w:left w:val="nil"/>
                    <w:bottom w:val="single" w:color="auto" w:sz="12" w:space="0"/>
                    <w:right w:val="single" w:color="000000"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35</w:t>
                  </w:r>
                </w:p>
              </w:tc>
              <w:tc>
                <w:tcPr>
                  <w:tcW w:w="1220" w:type="dxa"/>
                  <w:tcBorders>
                    <w:top w:val="single" w:color="auto" w:sz="4" w:space="0"/>
                    <w:left w:val="single" w:color="000000"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0.5</w:t>
                  </w:r>
                </w:p>
              </w:tc>
              <w:tc>
                <w:tcPr>
                  <w:tcW w:w="680"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eastAsia" w:ascii="Times New Roman" w:hAnsi="Times New Roman" w:cs="Times New Roman"/>
                      <w:i w:val="0"/>
                      <w:iCs w:val="0"/>
                      <w:szCs w:val="21"/>
                      <w:u w:val="none" w:color="auto"/>
                      <w:lang w:val="en-US" w:eastAsia="zh-CN"/>
                    </w:rPr>
                    <w:t>120</w:t>
                  </w:r>
                </w:p>
              </w:tc>
              <w:tc>
                <w:tcPr>
                  <w:tcW w:w="1140"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废气排放口</w:t>
                  </w:r>
                </w:p>
              </w:tc>
              <w:tc>
                <w:tcPr>
                  <w:tcW w:w="950"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Times New Roman" w:hAnsi="Times New Roman" w:eastAsia="宋体" w:cs="Times New Roman"/>
                      <w:i w:val="0"/>
                      <w:iCs w:val="0"/>
                      <w:szCs w:val="21"/>
                      <w:u w:val="none" w:color="auto"/>
                      <w:lang w:eastAsia="zh-CN"/>
                    </w:rPr>
                  </w:pPr>
                  <w:r>
                    <w:rPr>
                      <w:rFonts w:hint="default" w:ascii="Times New Roman" w:hAnsi="Times New Roman" w:cs="Times New Roman"/>
                      <w:i w:val="0"/>
                      <w:iCs w:val="0"/>
                      <w:szCs w:val="21"/>
                      <w:u w:val="none" w:color="auto"/>
                    </w:rPr>
                    <w:t>DA00</w:t>
                  </w:r>
                  <w:r>
                    <w:rPr>
                      <w:rFonts w:hint="eastAsia" w:ascii="Times New Roman" w:hAnsi="Times New Roman" w:cs="Times New Roman"/>
                      <w:i w:val="0"/>
                      <w:iCs w:val="0"/>
                      <w:szCs w:val="21"/>
                      <w:u w:val="none" w:color="auto"/>
                      <w:lang w:val="en-US" w:eastAsia="zh-CN"/>
                    </w:rPr>
                    <w:t>3</w:t>
                  </w:r>
                </w:p>
              </w:tc>
              <w:tc>
                <w:tcPr>
                  <w:tcW w:w="871"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立式排放口</w:t>
                  </w:r>
                </w:p>
              </w:tc>
              <w:tc>
                <w:tcPr>
                  <w:tcW w:w="1214"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126.608663</w:t>
                  </w:r>
                </w:p>
              </w:tc>
              <w:tc>
                <w:tcPr>
                  <w:tcW w:w="1109"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42.124758</w:t>
                  </w:r>
                </w:p>
              </w:tc>
            </w:tr>
          </w:tbl>
          <w:p>
            <w:pPr>
              <w:snapToGrid w:val="0"/>
              <w:spacing w:line="360" w:lineRule="auto"/>
              <w:ind w:firstLine="480" w:firstLineChars="200"/>
              <w:rPr>
                <w:rFonts w:hint="default" w:ascii="Times New Roman" w:hAnsi="Times New Roman" w:cs="Times New Roman"/>
                <w:i w:val="0"/>
                <w:iCs w:val="0"/>
                <w:kern w:val="0"/>
                <w:sz w:val="24"/>
                <w:u w:val="none" w:color="auto"/>
              </w:rPr>
            </w:pPr>
            <w:r>
              <w:rPr>
                <w:rFonts w:hint="default" w:ascii="Times New Roman" w:hAnsi="Times New Roman" w:cs="Times New Roman"/>
                <w:i w:val="0"/>
                <w:iCs w:val="0"/>
                <w:kern w:val="0"/>
                <w:sz w:val="24"/>
                <w:u w:val="none" w:color="auto"/>
              </w:rPr>
              <w:t>（4）非正常工况</w:t>
            </w:r>
          </w:p>
          <w:p>
            <w:pPr>
              <w:snapToGrid w:val="0"/>
              <w:spacing w:before="120" w:beforeLines="50"/>
              <w:jc w:val="center"/>
              <w:rPr>
                <w:rFonts w:hint="default" w:ascii="Times New Roman" w:hAnsi="Times New Roman" w:cs="Times New Roman"/>
                <w:b/>
                <w:i w:val="0"/>
                <w:iCs w:val="0"/>
                <w:szCs w:val="21"/>
                <w:u w:val="none" w:color="auto"/>
              </w:rPr>
            </w:pPr>
            <w:r>
              <w:rPr>
                <w:rFonts w:hint="default" w:ascii="Times New Roman" w:hAnsi="Times New Roman" w:cs="Times New Roman"/>
                <w:b/>
                <w:i w:val="0"/>
                <w:iCs w:val="0"/>
                <w:szCs w:val="21"/>
                <w:u w:val="none" w:color="auto"/>
              </w:rPr>
              <w:t>表</w:t>
            </w:r>
            <w:r>
              <w:rPr>
                <w:rFonts w:hint="eastAsia" w:ascii="Times New Roman" w:hAnsi="Times New Roman" w:cs="Times New Roman"/>
                <w:b/>
                <w:i w:val="0"/>
                <w:iCs w:val="0"/>
                <w:szCs w:val="21"/>
                <w:u w:val="none" w:color="auto"/>
                <w:lang w:val="en-US" w:eastAsia="zh-CN"/>
              </w:rPr>
              <w:t>26</w:t>
            </w:r>
            <w:r>
              <w:rPr>
                <w:rFonts w:hint="default" w:ascii="Times New Roman" w:hAnsi="Times New Roman" w:cs="Times New Roman"/>
                <w:b/>
                <w:i w:val="0"/>
                <w:iCs w:val="0"/>
                <w:szCs w:val="21"/>
                <w:u w:val="none" w:color="auto"/>
              </w:rPr>
              <w:t xml:space="preserve"> 污染源非正常排放量核算表</w:t>
            </w:r>
          </w:p>
          <w:tbl>
            <w:tblPr>
              <w:tblStyle w:val="18"/>
              <w:tblW w:w="79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123"/>
              <w:gridCol w:w="884"/>
              <w:gridCol w:w="957"/>
              <w:gridCol w:w="1125"/>
              <w:gridCol w:w="794"/>
              <w:gridCol w:w="749"/>
              <w:gridCol w:w="17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7" w:type="dxa"/>
                  <w:tcBorders>
                    <w:top w:val="single" w:color="auto" w:sz="12" w:space="0"/>
                    <w:left w:val="nil"/>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污染源</w:t>
                  </w:r>
                </w:p>
              </w:tc>
              <w:tc>
                <w:tcPr>
                  <w:tcW w:w="112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非正常排放原因</w:t>
                  </w:r>
                </w:p>
              </w:tc>
              <w:tc>
                <w:tcPr>
                  <w:tcW w:w="88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污染因子</w:t>
                  </w:r>
                </w:p>
              </w:tc>
              <w:tc>
                <w:tcPr>
                  <w:tcW w:w="95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非正常排放量（t/a）</w:t>
                  </w:r>
                </w:p>
              </w:tc>
              <w:tc>
                <w:tcPr>
                  <w:tcW w:w="112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非正常排放速率（kg/h）</w:t>
                  </w:r>
                </w:p>
              </w:tc>
              <w:tc>
                <w:tcPr>
                  <w:tcW w:w="79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持续时间</w:t>
                  </w:r>
                </w:p>
              </w:tc>
              <w:tc>
                <w:tcPr>
                  <w:tcW w:w="75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年发生频次/次</w:t>
                  </w:r>
                </w:p>
              </w:tc>
              <w:tc>
                <w:tcPr>
                  <w:tcW w:w="1713" w:type="dxa"/>
                  <w:tcBorders>
                    <w:top w:val="single" w:color="auto" w:sz="12" w:space="0"/>
                    <w:left w:val="single" w:color="auto" w:sz="4" w:space="0"/>
                    <w:bottom w:val="single" w:color="auto" w:sz="4" w:space="0"/>
                    <w:right w:val="nil"/>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77" w:type="dxa"/>
                  <w:vMerge w:val="restart"/>
                  <w:tcBorders>
                    <w:top w:val="single" w:color="auto" w:sz="4" w:space="0"/>
                    <w:left w:val="nil"/>
                    <w:bottom w:val="single" w:color="auto" w:sz="12" w:space="0"/>
                    <w:right w:val="single" w:color="auto" w:sz="4" w:space="0"/>
                  </w:tcBorders>
                  <w:vAlign w:val="center"/>
                </w:tcPr>
                <w:p>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排气筒</w:t>
                  </w:r>
                </w:p>
              </w:tc>
              <w:tc>
                <w:tcPr>
                  <w:tcW w:w="1125" w:type="dxa"/>
                  <w:vMerge w:val="restart"/>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布袋除尘器失效</w:t>
                  </w:r>
                </w:p>
              </w:tc>
              <w:tc>
                <w:tcPr>
                  <w:tcW w:w="885" w:type="dxa"/>
                  <w:tcBorders>
                    <w:top w:val="single" w:color="auto" w:sz="4" w:space="0"/>
                    <w:left w:val="single" w:color="auto" w:sz="4" w:space="0"/>
                    <w:bottom w:val="single" w:color="000000" w:sz="4" w:space="0"/>
                    <w:right w:val="single" w:color="auto" w:sz="4" w:space="0"/>
                  </w:tcBorders>
                  <w:vAlign w:val="center"/>
                </w:tcPr>
                <w:p>
                  <w:pPr>
                    <w:pStyle w:val="69"/>
                    <w:snapToGrid/>
                    <w:spacing w:line="240" w:lineRule="auto"/>
                    <w:ind w:firstLine="0" w:firstLineChars="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颗粒物</w:t>
                  </w:r>
                </w:p>
              </w:tc>
              <w:tc>
                <w:tcPr>
                  <w:tcW w:w="957" w:type="dxa"/>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1.8</w:t>
                  </w:r>
                </w:p>
              </w:tc>
              <w:tc>
                <w:tcPr>
                  <w:tcW w:w="1125" w:type="dxa"/>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eastAsia" w:ascii="Times New Roman" w:hAnsi="Times New Roman" w:eastAsia="宋体" w:cs="Times New Roman"/>
                      <w:i w:val="0"/>
                      <w:iCs w:val="0"/>
                      <w:szCs w:val="21"/>
                      <w:u w:val="none" w:color="auto"/>
                      <w:lang w:eastAsia="zh-CN"/>
                    </w:rPr>
                  </w:pPr>
                  <w:r>
                    <w:rPr>
                      <w:rFonts w:hint="default" w:ascii="Times New Roman" w:hAnsi="Times New Roman" w:cs="Times New Roman"/>
                      <w:i w:val="0"/>
                      <w:iCs w:val="0"/>
                      <w:szCs w:val="21"/>
                      <w:u w:val="none" w:color="auto"/>
                    </w:rPr>
                    <w:t>0.20</w:t>
                  </w:r>
                  <w:r>
                    <w:rPr>
                      <w:rFonts w:hint="eastAsia" w:ascii="Times New Roman" w:hAnsi="Times New Roman" w:cs="Times New Roman"/>
                      <w:i w:val="0"/>
                      <w:iCs w:val="0"/>
                      <w:szCs w:val="21"/>
                      <w:u w:val="none" w:color="auto"/>
                      <w:lang w:val="en-US" w:eastAsia="zh-CN"/>
                    </w:rPr>
                    <w:t>5</w:t>
                  </w:r>
                </w:p>
              </w:tc>
              <w:tc>
                <w:tcPr>
                  <w:tcW w:w="795" w:type="dxa"/>
                  <w:vMerge w:val="restart"/>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＜2h</w:t>
                  </w:r>
                </w:p>
              </w:tc>
              <w:tc>
                <w:tcPr>
                  <w:tcW w:w="750"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不超过1次</w:t>
                  </w:r>
                </w:p>
              </w:tc>
              <w:tc>
                <w:tcPr>
                  <w:tcW w:w="1713" w:type="dxa"/>
                  <w:vMerge w:val="restart"/>
                  <w:tcBorders>
                    <w:top w:val="single" w:color="auto" w:sz="4" w:space="0"/>
                    <w:left w:val="single" w:color="auto" w:sz="4" w:space="0"/>
                    <w:bottom w:val="single" w:color="auto" w:sz="12" w:space="0"/>
                    <w:right w:val="nil"/>
                  </w:tcBorders>
                  <w:vAlign w:val="center"/>
                </w:tcPr>
                <w:p>
                  <w:pPr>
                    <w:snapToGrid w:val="0"/>
                    <w:jc w:val="center"/>
                    <w:rPr>
                      <w:rFonts w:hint="default" w:ascii="Times New Roman" w:hAnsi="Times New Roman" w:cs="Times New Roman"/>
                      <w:i w:val="0"/>
                      <w:iCs w:val="0"/>
                      <w:kern w:val="0"/>
                      <w:szCs w:val="21"/>
                      <w:u w:val="none" w:color="auto"/>
                    </w:rPr>
                  </w:pPr>
                  <w:r>
                    <w:rPr>
                      <w:rFonts w:hint="default" w:ascii="Times New Roman" w:hAnsi="Times New Roman" w:cs="Times New Roman"/>
                      <w:i w:val="0"/>
                      <w:iCs w:val="0"/>
                      <w:kern w:val="0"/>
                      <w:szCs w:val="21"/>
                      <w:u w:val="none" w:color="auto"/>
                    </w:rPr>
                    <w:t>定期进行设备维护，当废气处理装置出现故障不能短时间恢复时，停止生产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7" w:type="dxa"/>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1125"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885" w:type="dxa"/>
                  <w:tcBorders>
                    <w:top w:val="single" w:color="000000" w:sz="4" w:space="0"/>
                    <w:left w:val="single" w:color="auto" w:sz="4" w:space="0"/>
                    <w:bottom w:val="single" w:color="000000" w:sz="4" w:space="0"/>
                    <w:right w:val="single" w:color="auto" w:sz="4" w:space="0"/>
                  </w:tcBorders>
                  <w:vAlign w:val="center"/>
                </w:tcPr>
                <w:p>
                  <w:pPr>
                    <w:pStyle w:val="69"/>
                    <w:snapToGrid/>
                    <w:spacing w:line="240" w:lineRule="auto"/>
                    <w:ind w:firstLine="0" w:firstLineChars="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SO</w:t>
                  </w:r>
                  <w:r>
                    <w:rPr>
                      <w:rFonts w:hint="default" w:ascii="Times New Roman" w:hAnsi="Times New Roman" w:cs="Times New Roman"/>
                      <w:i w:val="0"/>
                      <w:iCs w:val="0"/>
                      <w:color w:val="auto"/>
                      <w:sz w:val="21"/>
                      <w:szCs w:val="21"/>
                      <w:u w:val="none" w:color="auto"/>
                      <w:vertAlign w:val="subscript"/>
                    </w:rPr>
                    <w:t>2</w:t>
                  </w:r>
                </w:p>
              </w:tc>
              <w:tc>
                <w:tcPr>
                  <w:tcW w:w="957"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1.836</w:t>
                  </w:r>
                </w:p>
              </w:tc>
              <w:tc>
                <w:tcPr>
                  <w:tcW w:w="1125"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Times New Roman" w:hAnsi="Times New Roman" w:eastAsia="宋体" w:cs="Times New Roman"/>
                      <w:i w:val="0"/>
                      <w:iCs w:val="0"/>
                      <w:szCs w:val="21"/>
                      <w:u w:val="none" w:color="auto"/>
                      <w:lang w:eastAsia="zh-CN"/>
                    </w:rPr>
                  </w:pPr>
                  <w:r>
                    <w:rPr>
                      <w:rFonts w:hint="default" w:ascii="Times New Roman" w:hAnsi="Times New Roman" w:cs="Times New Roman"/>
                      <w:i w:val="0"/>
                      <w:iCs w:val="0"/>
                      <w:szCs w:val="21"/>
                      <w:u w:val="none" w:color="auto"/>
                    </w:rPr>
                    <w:t>0.21</w:t>
                  </w:r>
                  <w:r>
                    <w:rPr>
                      <w:rFonts w:hint="eastAsia" w:ascii="Times New Roman" w:hAnsi="Times New Roman" w:cs="Times New Roman"/>
                      <w:i w:val="0"/>
                      <w:iCs w:val="0"/>
                      <w:szCs w:val="21"/>
                      <w:u w:val="none" w:color="auto"/>
                      <w:lang w:val="en-US" w:eastAsia="zh-CN"/>
                    </w:rPr>
                    <w:t>0</w:t>
                  </w:r>
                </w:p>
              </w:tc>
              <w:tc>
                <w:tcPr>
                  <w:tcW w:w="795"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1713" w:type="dxa"/>
                  <w:vMerge w:val="continue"/>
                  <w:tcBorders>
                    <w:top w:val="single" w:color="auto" w:sz="4" w:space="0"/>
                    <w:left w:val="single" w:color="auto" w:sz="4" w:space="0"/>
                    <w:bottom w:val="single" w:color="auto" w:sz="12" w:space="0"/>
                    <w:right w:val="nil"/>
                  </w:tcBorders>
                  <w:vAlign w:val="center"/>
                </w:tcPr>
                <w:p>
                  <w:pPr>
                    <w:widowControl/>
                    <w:jc w:val="left"/>
                    <w:rPr>
                      <w:rFonts w:hint="default" w:ascii="Times New Roman" w:hAnsi="Times New Roman" w:cs="Times New Roman"/>
                      <w:i w:val="0"/>
                      <w:iCs w:val="0"/>
                      <w:kern w:val="0"/>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77" w:type="dxa"/>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1125"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885" w:type="dxa"/>
                  <w:tcBorders>
                    <w:top w:val="single" w:color="000000" w:sz="4" w:space="0"/>
                    <w:left w:val="single" w:color="auto" w:sz="4" w:space="0"/>
                    <w:bottom w:val="single" w:color="auto" w:sz="12" w:space="0"/>
                    <w:right w:val="single" w:color="auto" w:sz="4" w:space="0"/>
                  </w:tcBorders>
                  <w:vAlign w:val="center"/>
                </w:tcPr>
                <w:p>
                  <w:pPr>
                    <w:pStyle w:val="69"/>
                    <w:snapToGrid/>
                    <w:spacing w:line="240" w:lineRule="auto"/>
                    <w:ind w:firstLine="0" w:firstLineChars="0"/>
                    <w:jc w:val="center"/>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NOx</w:t>
                  </w:r>
                </w:p>
              </w:tc>
              <w:tc>
                <w:tcPr>
                  <w:tcW w:w="957" w:type="dxa"/>
                  <w:tcBorders>
                    <w:top w:val="single" w:color="000000" w:sz="4" w:space="0"/>
                    <w:left w:val="single" w:color="auto" w:sz="4" w:space="0"/>
                    <w:bottom w:val="single" w:color="auto" w:sz="12" w:space="0"/>
                    <w:right w:val="single" w:color="auto" w:sz="4" w:space="0"/>
                  </w:tcBorders>
                  <w:vAlign w:val="center"/>
                </w:tcPr>
                <w:p>
                  <w:pPr>
                    <w:spacing w:line="300" w:lineRule="exact"/>
                    <w:jc w:val="center"/>
                    <w:rPr>
                      <w:rFonts w:hint="default" w:ascii="Times New Roman" w:hAnsi="Times New Roman" w:eastAsia="宋体" w:cs="Times New Roman"/>
                      <w:i w:val="0"/>
                      <w:iCs w:val="0"/>
                      <w:szCs w:val="21"/>
                      <w:u w:val="none" w:color="auto"/>
                      <w:lang w:val="en-US" w:eastAsia="zh-CN"/>
                    </w:rPr>
                  </w:pPr>
                  <w:r>
                    <w:rPr>
                      <w:rFonts w:hint="eastAsia" w:ascii="Times New Roman" w:hAnsi="Times New Roman" w:cs="Times New Roman"/>
                      <w:i w:val="0"/>
                      <w:iCs w:val="0"/>
                      <w:szCs w:val="21"/>
                      <w:u w:val="none" w:color="auto"/>
                      <w:lang w:val="en-US" w:eastAsia="zh-CN"/>
                    </w:rPr>
                    <w:t>3.672</w:t>
                  </w:r>
                </w:p>
              </w:tc>
              <w:tc>
                <w:tcPr>
                  <w:tcW w:w="1125" w:type="dxa"/>
                  <w:tcBorders>
                    <w:top w:val="single" w:color="000000" w:sz="4" w:space="0"/>
                    <w:left w:val="single" w:color="auto" w:sz="4" w:space="0"/>
                    <w:bottom w:val="single" w:color="auto" w:sz="12" w:space="0"/>
                    <w:right w:val="single" w:color="auto" w:sz="4" w:space="0"/>
                  </w:tcBorders>
                  <w:vAlign w:val="center"/>
                </w:tcPr>
                <w:p>
                  <w:pPr>
                    <w:spacing w:line="300" w:lineRule="exact"/>
                    <w:jc w:val="center"/>
                    <w:rPr>
                      <w:rFonts w:hint="default" w:ascii="Times New Roman" w:hAnsi="Times New Roman" w:eastAsia="宋体" w:cs="Times New Roman"/>
                      <w:i w:val="0"/>
                      <w:iCs w:val="0"/>
                      <w:szCs w:val="21"/>
                      <w:u w:val="none" w:color="auto"/>
                      <w:lang w:val="en-US" w:eastAsia="zh-CN"/>
                    </w:rPr>
                  </w:pPr>
                  <w:r>
                    <w:rPr>
                      <w:rFonts w:hint="default" w:ascii="Times New Roman" w:hAnsi="Times New Roman" w:cs="Times New Roman"/>
                      <w:i w:val="0"/>
                      <w:iCs w:val="0"/>
                      <w:szCs w:val="21"/>
                      <w:u w:val="none" w:color="auto"/>
                    </w:rPr>
                    <w:t>0.4</w:t>
                  </w:r>
                  <w:r>
                    <w:rPr>
                      <w:rFonts w:hint="eastAsia" w:ascii="Times New Roman" w:hAnsi="Times New Roman" w:cs="Times New Roman"/>
                      <w:i w:val="0"/>
                      <w:iCs w:val="0"/>
                      <w:szCs w:val="21"/>
                      <w:u w:val="none" w:color="auto"/>
                      <w:lang w:val="en-US" w:eastAsia="zh-CN"/>
                    </w:rPr>
                    <w:t>19</w:t>
                  </w:r>
                </w:p>
              </w:tc>
              <w:tc>
                <w:tcPr>
                  <w:tcW w:w="795"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hint="default" w:ascii="Times New Roman" w:hAnsi="Times New Roman" w:cs="Times New Roman"/>
                      <w:i w:val="0"/>
                      <w:iCs w:val="0"/>
                      <w:szCs w:val="21"/>
                      <w:u w:val="none" w:color="auto"/>
                    </w:rPr>
                  </w:pPr>
                </w:p>
              </w:tc>
              <w:tc>
                <w:tcPr>
                  <w:tcW w:w="1713" w:type="dxa"/>
                  <w:vMerge w:val="continue"/>
                  <w:tcBorders>
                    <w:top w:val="single" w:color="auto" w:sz="4" w:space="0"/>
                    <w:left w:val="single" w:color="auto" w:sz="4" w:space="0"/>
                    <w:bottom w:val="single" w:color="auto" w:sz="12" w:space="0"/>
                    <w:right w:val="nil"/>
                  </w:tcBorders>
                  <w:vAlign w:val="center"/>
                </w:tcPr>
                <w:p>
                  <w:pPr>
                    <w:widowControl/>
                    <w:jc w:val="left"/>
                    <w:rPr>
                      <w:rFonts w:hint="default" w:ascii="Times New Roman" w:hAnsi="Times New Roman" w:cs="Times New Roman"/>
                      <w:i w:val="0"/>
                      <w:iCs w:val="0"/>
                      <w:kern w:val="0"/>
                      <w:szCs w:val="21"/>
                      <w:u w:val="none" w:color="auto"/>
                    </w:rPr>
                  </w:pPr>
                </w:p>
              </w:tc>
            </w:tr>
          </w:tbl>
          <w:p>
            <w:pPr>
              <w:snapToGrid w:val="0"/>
              <w:spacing w:line="360" w:lineRule="auto"/>
              <w:ind w:firstLine="480" w:firstLineChars="200"/>
              <w:rPr>
                <w:rFonts w:hint="default" w:ascii="Times New Roman" w:hAnsi="Times New Roman" w:cs="Times New Roman"/>
                <w:i/>
                <w:iCs/>
                <w:kern w:val="0"/>
                <w:sz w:val="24"/>
                <w:u w:val="single" w:color="auto"/>
              </w:rPr>
            </w:pPr>
            <w:r>
              <w:rPr>
                <w:rFonts w:hint="default" w:ascii="Times New Roman" w:hAnsi="Times New Roman" w:cs="Times New Roman"/>
                <w:i/>
                <w:iCs/>
                <w:kern w:val="0"/>
                <w:sz w:val="24"/>
                <w:u w:val="single" w:color="auto"/>
              </w:rPr>
              <w:t>（</w:t>
            </w:r>
            <w:r>
              <w:rPr>
                <w:rFonts w:hint="eastAsia" w:ascii="Times New Roman" w:hAnsi="Times New Roman" w:cs="Times New Roman"/>
                <w:i/>
                <w:iCs/>
                <w:kern w:val="0"/>
                <w:sz w:val="24"/>
                <w:u w:val="single" w:color="auto"/>
                <w:lang w:val="en-US" w:eastAsia="zh-CN"/>
              </w:rPr>
              <w:t>3</w:t>
            </w:r>
            <w:r>
              <w:rPr>
                <w:rFonts w:hint="default" w:ascii="Times New Roman" w:hAnsi="Times New Roman" w:cs="Times New Roman"/>
                <w:i/>
                <w:iCs/>
                <w:kern w:val="0"/>
                <w:sz w:val="24"/>
                <w:u w:val="single" w:color="auto"/>
              </w:rPr>
              <w:t>）废气防治措施可行性及达标分析</w:t>
            </w:r>
          </w:p>
          <w:p>
            <w:pPr>
              <w:snapToGrid w:val="0"/>
              <w:spacing w:line="360" w:lineRule="auto"/>
              <w:ind w:firstLine="480" w:firstLineChars="200"/>
              <w:rPr>
                <w:rFonts w:hint="default" w:ascii="Times New Roman" w:hAnsi="Times New Roman" w:cs="Times New Roman"/>
                <w:i/>
                <w:iCs/>
                <w:kern w:val="0"/>
                <w:sz w:val="24"/>
                <w:u w:val="single" w:color="auto"/>
              </w:rPr>
            </w:pPr>
            <w:r>
              <w:rPr>
                <w:rFonts w:hint="default" w:ascii="Times New Roman" w:hAnsi="Times New Roman" w:cs="Times New Roman"/>
                <w:i/>
                <w:iCs/>
                <w:kern w:val="0"/>
                <w:sz w:val="24"/>
                <w:u w:val="single" w:color="auto"/>
              </w:rPr>
              <w:t>布袋除尘器工作原理：含尘气体由灰斗部进气口进入过滤室，较粗颗粒直接落入灰斗或灰仓，含尘气体经过滤袋过滤，粉尘阻留于袋表面。净气经袋口到净气室，由风机排入大气。当滤袋表面的粉尘不断增加，导致设备阻力上升到设定值时，时间继电器输出信号，控制信开始工作，逐个开启脉冲阀，使压缩空气通过喷口对滤袋进行吹气清灰，在反向气流的作用下，附于袋表面（或过滤层内）的粉尘迅速脱离滤袋落入灰斗，粉尘由放灰阀排出。</w:t>
            </w:r>
          </w:p>
          <w:p>
            <w:pPr>
              <w:snapToGrid w:val="0"/>
              <w:spacing w:line="360" w:lineRule="auto"/>
              <w:ind w:firstLine="480" w:firstLineChars="200"/>
              <w:rPr>
                <w:rFonts w:hint="default" w:ascii="Times New Roman" w:hAnsi="Times New Roman" w:cs="Times New Roman"/>
                <w:i/>
                <w:iCs/>
                <w:color w:val="000000"/>
                <w:sz w:val="24"/>
                <w:u w:val="single" w:color="auto"/>
              </w:rPr>
            </w:pPr>
            <w:r>
              <w:rPr>
                <w:rFonts w:hint="default" w:ascii="Times New Roman" w:hAnsi="Times New Roman" w:cs="Times New Roman"/>
                <w:i/>
                <w:iCs/>
                <w:kern w:val="0"/>
                <w:sz w:val="24"/>
                <w:u w:val="single" w:color="auto"/>
              </w:rPr>
              <w:t>本项目</w:t>
            </w:r>
            <w:r>
              <w:rPr>
                <w:rFonts w:hint="eastAsia" w:ascii="Times New Roman" w:hAnsi="Times New Roman" w:cs="Times New Roman"/>
                <w:i/>
                <w:iCs/>
                <w:kern w:val="0"/>
                <w:sz w:val="24"/>
                <w:u w:val="single" w:color="auto"/>
                <w:lang w:eastAsia="zh-CN"/>
              </w:rPr>
              <w:t>每个厂区锅炉房内新建</w:t>
            </w:r>
            <w:r>
              <w:rPr>
                <w:rFonts w:hint="eastAsia" w:ascii="Times New Roman" w:hAnsi="Times New Roman" w:cs="Times New Roman"/>
                <w:i/>
                <w:iCs/>
                <w:kern w:val="0"/>
                <w:sz w:val="24"/>
                <w:u w:val="single" w:color="auto"/>
                <w:lang w:val="en-US" w:eastAsia="zh-CN"/>
              </w:rPr>
              <w:t>1</w:t>
            </w:r>
            <w:r>
              <w:rPr>
                <w:rFonts w:hint="default" w:ascii="Times New Roman" w:hAnsi="Times New Roman" w:cs="Times New Roman"/>
                <w:i/>
                <w:iCs/>
                <w:kern w:val="0"/>
                <w:sz w:val="24"/>
                <w:u w:val="single" w:color="auto"/>
              </w:rPr>
              <w:t>台4t/h</w:t>
            </w:r>
            <w:r>
              <w:rPr>
                <w:rFonts w:hint="eastAsia" w:ascii="Times New Roman" w:hAnsi="Times New Roman" w:cs="Times New Roman"/>
                <w:i/>
                <w:iCs/>
                <w:kern w:val="0"/>
                <w:sz w:val="24"/>
                <w:u w:val="single" w:color="auto"/>
                <w:lang w:eastAsia="zh-CN"/>
              </w:rPr>
              <w:t>及</w:t>
            </w:r>
            <w:r>
              <w:rPr>
                <w:rFonts w:hint="eastAsia" w:ascii="Times New Roman" w:hAnsi="Times New Roman" w:cs="Times New Roman"/>
                <w:i/>
                <w:iCs/>
                <w:kern w:val="0"/>
                <w:sz w:val="24"/>
                <w:u w:val="single" w:color="auto"/>
                <w:lang w:val="en-US" w:eastAsia="zh-CN"/>
              </w:rPr>
              <w:t>1台2</w:t>
            </w:r>
            <w:r>
              <w:rPr>
                <w:rFonts w:hint="default" w:ascii="Times New Roman" w:hAnsi="Times New Roman" w:cs="Times New Roman"/>
                <w:i/>
                <w:iCs/>
                <w:kern w:val="0"/>
                <w:sz w:val="24"/>
                <w:u w:val="single" w:color="auto"/>
              </w:rPr>
              <w:t>t/h生物质锅炉，根据</w:t>
            </w:r>
            <w:r>
              <w:rPr>
                <w:rFonts w:hint="default" w:ascii="Times New Roman" w:hAnsi="Times New Roman" w:cs="Times New Roman"/>
                <w:i/>
                <w:iCs/>
                <w:sz w:val="24"/>
                <w:u w:val="single" w:color="auto"/>
              </w:rPr>
              <w:t>《排污许可证申请与核发技术规范  锅炉》</w:t>
            </w:r>
            <w:r>
              <w:rPr>
                <w:rFonts w:hint="eastAsia" w:ascii="Times New Roman" w:hAnsi="Times New Roman" w:cs="Times New Roman"/>
                <w:i/>
                <w:iCs/>
                <w:sz w:val="24"/>
                <w:u w:val="single" w:color="auto"/>
                <w:lang w:eastAsia="zh-CN"/>
              </w:rPr>
              <w:t>要求</w:t>
            </w:r>
            <w:r>
              <w:rPr>
                <w:rFonts w:hint="default" w:ascii="Times New Roman" w:hAnsi="Times New Roman" w:cs="Times New Roman"/>
                <w:i/>
                <w:iCs/>
                <w:sz w:val="24"/>
                <w:u w:val="single" w:color="auto"/>
              </w:rPr>
              <w:t>，</w:t>
            </w:r>
            <w:r>
              <w:rPr>
                <w:rFonts w:hint="default" w:ascii="Times New Roman" w:hAnsi="Times New Roman" w:cs="Times New Roman"/>
                <w:i/>
                <w:iCs/>
                <w:color w:val="000000"/>
                <w:sz w:val="24"/>
                <w:u w:val="single" w:color="auto"/>
              </w:rPr>
              <w:t>新增配套的布袋除尘设施。</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i/>
                <w:iCs/>
                <w:color w:val="auto"/>
                <w:kern w:val="0"/>
                <w:sz w:val="24"/>
                <w:szCs w:val="24"/>
                <w:u w:val="single" w:color="auto"/>
                <w:lang w:val="en-US" w:eastAsia="zh-CN" w:bidi="ar-SA"/>
              </w:rPr>
            </w:pPr>
            <w:r>
              <w:rPr>
                <w:rFonts w:hint="eastAsia" w:ascii="Times New Roman" w:hAnsi="Times New Roman" w:eastAsia="宋体" w:cs="Times New Roman"/>
                <w:i/>
                <w:iCs/>
                <w:color w:val="auto"/>
                <w:kern w:val="0"/>
                <w:sz w:val="24"/>
                <w:szCs w:val="24"/>
                <w:u w:val="single" w:color="auto"/>
                <w:lang w:val="en-US" w:eastAsia="zh-CN" w:bidi="ar-SA"/>
              </w:rPr>
              <w:t>本项目生物质燃料堆场及灰渣堆场，均为密闭厂房，并对项目灰渣定期洒水降尘，可有效抑制无组织粉尘产生，对周围环境影响较小。</w:t>
            </w:r>
          </w:p>
          <w:p>
            <w:pPr>
              <w:autoSpaceDE w:val="0"/>
              <w:autoSpaceDN w:val="0"/>
              <w:adjustRightInd w:val="0"/>
              <w:snapToGrid w:val="0"/>
              <w:spacing w:line="360" w:lineRule="auto"/>
              <w:ind w:firstLine="480" w:firstLineChars="200"/>
              <w:jc w:val="left"/>
              <w:rPr>
                <w:rFonts w:hint="default" w:ascii="Times New Roman" w:hAnsi="Times New Roman" w:cs="Times New Roman"/>
                <w:i/>
                <w:iCs/>
                <w:sz w:val="24"/>
                <w:szCs w:val="21"/>
                <w:u w:val="single" w:color="auto"/>
              </w:rPr>
            </w:pPr>
            <w:r>
              <w:rPr>
                <w:rFonts w:hint="default" w:ascii="Times New Roman" w:hAnsi="Times New Roman" w:cs="Times New Roman"/>
                <w:i/>
                <w:iCs/>
                <w:sz w:val="24"/>
                <w:szCs w:val="21"/>
                <w:u w:val="single" w:color="auto"/>
              </w:rPr>
              <w:t>处理技术达标可行性分析：根据前文分析可知，本项锅炉烟气排放浓度可满足《锅炉大气污染物排放标准》（GB13271-2014）表2中新建锅炉大气污染物排放浓度限值。</w:t>
            </w:r>
          </w:p>
          <w:p>
            <w:pPr>
              <w:snapToGrid w:val="0"/>
              <w:spacing w:line="360" w:lineRule="auto"/>
              <w:ind w:firstLine="480" w:firstLineChars="200"/>
              <w:rPr>
                <w:rFonts w:hint="default" w:ascii="Times New Roman" w:hAnsi="Times New Roman" w:cs="Times New Roman"/>
                <w:i w:val="0"/>
                <w:iCs w:val="0"/>
                <w:kern w:val="0"/>
                <w:sz w:val="24"/>
                <w:u w:val="none" w:color="auto"/>
              </w:rPr>
            </w:pPr>
            <w:r>
              <w:rPr>
                <w:rFonts w:hint="default" w:ascii="Times New Roman" w:hAnsi="Times New Roman" w:cs="Times New Roman"/>
                <w:i w:val="0"/>
                <w:iCs w:val="0"/>
                <w:kern w:val="0"/>
                <w:sz w:val="24"/>
                <w:u w:val="none" w:color="auto"/>
              </w:rPr>
              <w:t>（</w:t>
            </w:r>
            <w:r>
              <w:rPr>
                <w:rFonts w:hint="eastAsia" w:ascii="Times New Roman" w:hAnsi="Times New Roman" w:cs="Times New Roman"/>
                <w:i w:val="0"/>
                <w:iCs w:val="0"/>
                <w:kern w:val="0"/>
                <w:sz w:val="24"/>
                <w:u w:val="none" w:color="auto"/>
                <w:lang w:val="en-US" w:eastAsia="zh-CN"/>
              </w:rPr>
              <w:t>4</w:t>
            </w:r>
            <w:r>
              <w:rPr>
                <w:rFonts w:hint="default" w:ascii="Times New Roman" w:hAnsi="Times New Roman" w:cs="Times New Roman"/>
                <w:i w:val="0"/>
                <w:iCs w:val="0"/>
                <w:kern w:val="0"/>
                <w:sz w:val="24"/>
                <w:u w:val="none" w:color="auto"/>
              </w:rPr>
              <w:t>）总结</w:t>
            </w:r>
          </w:p>
          <w:p>
            <w:pPr>
              <w:pStyle w:val="69"/>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u w:val="none" w:color="auto"/>
              </w:rPr>
              <w:t>根据环境空气现状评价，项目所在区域环境空气质量为达标区，本项生产废气经过处理后达标排放，锅炉烟气满足《锅炉大气污染物排放标准》（GB13271-2014）中表2新建锅炉大气污染物排放浓度限值，因此，本项目建设对周围环境空气产生影响较小。</w:t>
            </w:r>
          </w:p>
          <w:p>
            <w:pPr>
              <w:spacing w:line="360" w:lineRule="auto"/>
              <w:ind w:firstLine="482" w:firstLineChars="200"/>
              <w:rPr>
                <w:rFonts w:hint="default" w:ascii="Times New Roman" w:hAnsi="Times New Roman" w:cs="Times New Roman"/>
                <w:b/>
                <w:bCs/>
                <w:i w:val="0"/>
                <w:iCs w:val="0"/>
                <w:color w:val="000000" w:themeColor="text1"/>
                <w:sz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u w:val="none" w:color="auto"/>
                <w14:textFill>
                  <w14:solidFill>
                    <w14:schemeClr w14:val="tx1"/>
                  </w14:solidFill>
                </w14:textFill>
              </w:rPr>
              <w:t>2.废水</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eastAsia="宋体" w:cs="Times New Roman"/>
                <w:i w:val="0"/>
                <w:iCs w:val="0"/>
                <w:sz w:val="24"/>
                <w:szCs w:val="24"/>
                <w:u w:val="none" w:color="auto"/>
                <w:lang w:val="en-US" w:eastAsia="zh-CN"/>
              </w:rPr>
              <w:t>本项目废水产生量为4.44t/d（732.6t/a），其中软化水排水量为2.64t/d（435.6t/a），锅炉排水量为1.8t/d（297t/a），项目产生的软化水排水用于白山市江源区祖代鸡一厂、祖代鸡二厂及祖代鸡雏厂灰渣降尘，锅炉排水排入各厂区防渗化粪池内</w:t>
            </w:r>
            <w:r>
              <w:rPr>
                <w:rFonts w:hint="eastAsia" w:ascii="Times New Roman" w:hAnsi="Times New Roman" w:eastAsia="宋体" w:cs="Times New Roman"/>
                <w:i w:val="0"/>
                <w:iCs w:val="0"/>
                <w:sz w:val="24"/>
                <w:szCs w:val="24"/>
                <w:u w:val="none" w:color="auto"/>
                <w:lang w:val="en-US" w:eastAsia="zh-CN"/>
              </w:rPr>
              <w:t>（150m</w:t>
            </w:r>
            <w:r>
              <w:rPr>
                <w:rFonts w:hint="eastAsia" w:ascii="Times New Roman" w:hAnsi="Times New Roman" w:eastAsia="宋体" w:cs="Times New Roman"/>
                <w:i w:val="0"/>
                <w:iCs w:val="0"/>
                <w:sz w:val="24"/>
                <w:szCs w:val="24"/>
                <w:u w:val="none" w:color="auto"/>
                <w:vertAlign w:val="superscript"/>
                <w:lang w:val="en-US" w:eastAsia="zh-CN"/>
              </w:rPr>
              <w:t>3</w:t>
            </w:r>
            <w:r>
              <w:rPr>
                <w:rFonts w:hint="eastAsia" w:ascii="Times New Roman" w:hAnsi="Times New Roman" w:eastAsia="宋体" w:cs="Times New Roman"/>
                <w:i w:val="0"/>
                <w:iCs w:val="0"/>
                <w:sz w:val="24"/>
                <w:szCs w:val="24"/>
                <w:u w:val="none" w:color="auto"/>
                <w:lang w:val="en-US" w:eastAsia="zh-CN"/>
              </w:rPr>
              <w:t>）</w:t>
            </w:r>
            <w:r>
              <w:rPr>
                <w:rFonts w:hint="default" w:ascii="Times New Roman" w:hAnsi="Times New Roman" w:eastAsia="宋体" w:cs="Times New Roman"/>
                <w:i w:val="0"/>
                <w:iCs w:val="0"/>
                <w:sz w:val="24"/>
                <w:szCs w:val="24"/>
                <w:u w:val="none" w:color="auto"/>
                <w:lang w:val="en-US" w:eastAsia="zh-CN"/>
              </w:rPr>
              <w:t>，定期清运至江源区污水处理厂处理。</w:t>
            </w:r>
          </w:p>
          <w:p>
            <w:pPr>
              <w:pStyle w:val="3"/>
              <w:numPr>
                <w:ilvl w:val="0"/>
                <w:numId w:val="0"/>
              </w:numPr>
              <w:spacing w:line="360" w:lineRule="auto"/>
              <w:jc w:val="center"/>
              <w:rPr>
                <w:rFonts w:hint="default" w:ascii="Times New Roman" w:hAnsi="Times New Roman" w:cs="Times New Roman"/>
                <w:b/>
                <w:bCs/>
                <w:i w:val="0"/>
                <w:iCs w:val="0"/>
                <w:color w:val="000000" w:themeColor="text1"/>
                <w:sz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u w:val="none" w:color="auto"/>
                <w14:textFill>
                  <w14:solidFill>
                    <w14:schemeClr w14:val="tx1"/>
                  </w14:solidFill>
                </w14:textFill>
              </w:rPr>
              <w:t>表2</w:t>
            </w:r>
            <w:r>
              <w:rPr>
                <w:rFonts w:hint="eastAsia" w:ascii="Times New Roman" w:hAnsi="Times New Roman" w:cs="Times New Roman"/>
                <w:b/>
                <w:bCs/>
                <w:i w:val="0"/>
                <w:iCs w:val="0"/>
                <w:color w:val="000000" w:themeColor="text1"/>
                <w:sz w:val="24"/>
                <w:u w:val="none" w:color="auto"/>
                <w:lang w:val="en-US" w:eastAsia="zh-CN"/>
                <w14:textFill>
                  <w14:solidFill>
                    <w14:schemeClr w14:val="tx1"/>
                  </w14:solidFill>
                </w14:textFill>
              </w:rPr>
              <w:t>7</w:t>
            </w:r>
            <w:r>
              <w:rPr>
                <w:rFonts w:hint="default" w:ascii="Times New Roman" w:hAnsi="Times New Roman" w:cs="Times New Roman"/>
                <w:b/>
                <w:bCs/>
                <w:i w:val="0"/>
                <w:iCs w:val="0"/>
                <w:color w:val="000000" w:themeColor="text1"/>
                <w:sz w:val="24"/>
                <w:u w:val="none" w:color="auto"/>
                <w14:textFill>
                  <w14:solidFill>
                    <w14:schemeClr w14:val="tx1"/>
                  </w14:solidFill>
                </w14:textFill>
              </w:rPr>
              <w:t xml:space="preserve">  废水排放情况一览表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50"/>
              <w:gridCol w:w="1083"/>
              <w:gridCol w:w="1690"/>
              <w:gridCol w:w="2244"/>
              <w:gridCol w:w="171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35"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种类</w:t>
                  </w:r>
                </w:p>
              </w:tc>
              <w:tc>
                <w:tcPr>
                  <w:tcW w:w="670"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污染物</w:t>
                  </w:r>
                </w:p>
              </w:tc>
              <w:tc>
                <w:tcPr>
                  <w:tcW w:w="1045"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废水量（m³/a）</w:t>
                  </w:r>
                </w:p>
              </w:tc>
              <w:tc>
                <w:tcPr>
                  <w:tcW w:w="1388"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产生浓度（mg/L）</w:t>
                  </w:r>
                </w:p>
              </w:tc>
              <w:tc>
                <w:tcPr>
                  <w:tcW w:w="1060"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产生量（t/a）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35" w:type="pct"/>
                  <w:vMerge w:val="restart"/>
                  <w:tcBorders>
                    <w:tl2br w:val="nil"/>
                    <w:tr2bl w:val="nil"/>
                  </w:tcBorders>
                  <w:shd w:val="clear" w:color="auto" w:fill="auto"/>
                  <w:vAlign w:val="center"/>
                </w:tcPr>
                <w:p>
                  <w:pPr>
                    <w:pStyle w:val="3"/>
                    <w:numPr>
                      <w:ilvl w:val="0"/>
                      <w:numId w:val="0"/>
                    </w:numPr>
                    <w:spacing w:line="276" w:lineRule="auto"/>
                    <w:jc w:val="center"/>
                    <w:rPr>
                      <w:rFonts w:hint="eastAsia" w:ascii="Times New Roman" w:hAnsi="Times New Roman" w:eastAsia="宋体" w:cs="Times New Roman"/>
                      <w:i w:val="0"/>
                      <w:iCs w:val="0"/>
                      <w:color w:val="000000" w:themeColor="text1"/>
                      <w:szCs w:val="21"/>
                      <w:u w:val="none" w:color="auto"/>
                      <w:lang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eastAsia="zh-CN"/>
                      <w14:textFill>
                        <w14:solidFill>
                          <w14:schemeClr w14:val="tx1"/>
                        </w14:solidFill>
                      </w14:textFill>
                    </w:rPr>
                    <w:t>软化水排水</w:t>
                  </w:r>
                </w:p>
              </w:tc>
              <w:tc>
                <w:tcPr>
                  <w:tcW w:w="670"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COD</w:t>
                  </w:r>
                </w:p>
              </w:tc>
              <w:tc>
                <w:tcPr>
                  <w:tcW w:w="1045" w:type="pct"/>
                  <w:vMerge w:val="restar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435.6</w:t>
                  </w:r>
                </w:p>
              </w:tc>
              <w:tc>
                <w:tcPr>
                  <w:tcW w:w="1388"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40</w:t>
                  </w:r>
                </w:p>
              </w:tc>
              <w:tc>
                <w:tcPr>
                  <w:tcW w:w="106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0.017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35" w:type="pct"/>
                  <w:vMerge w:val="continue"/>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p>
              </w:tc>
              <w:tc>
                <w:tcPr>
                  <w:tcW w:w="670"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SS</w:t>
                  </w:r>
                </w:p>
              </w:tc>
              <w:tc>
                <w:tcPr>
                  <w:tcW w:w="1045" w:type="pct"/>
                  <w:vMerge w:val="continue"/>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p>
              </w:tc>
              <w:tc>
                <w:tcPr>
                  <w:tcW w:w="1388"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40</w:t>
                  </w:r>
                </w:p>
              </w:tc>
              <w:tc>
                <w:tcPr>
                  <w:tcW w:w="106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0.017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35" w:type="pct"/>
                  <w:vMerge w:val="restart"/>
                  <w:tcBorders>
                    <w:tl2br w:val="nil"/>
                    <w:tr2bl w:val="nil"/>
                  </w:tcBorders>
                  <w:shd w:val="clear" w:color="auto" w:fill="auto"/>
                  <w:vAlign w:val="center"/>
                </w:tcPr>
                <w:p>
                  <w:pPr>
                    <w:pStyle w:val="3"/>
                    <w:numPr>
                      <w:ilvl w:val="0"/>
                      <w:numId w:val="0"/>
                    </w:numPr>
                    <w:spacing w:line="276" w:lineRule="auto"/>
                    <w:jc w:val="center"/>
                    <w:rPr>
                      <w:rFonts w:hint="eastAsia" w:ascii="Times New Roman" w:hAnsi="Times New Roman" w:eastAsia="宋体" w:cs="Times New Roman"/>
                      <w:i w:val="0"/>
                      <w:iCs w:val="0"/>
                      <w:color w:val="000000" w:themeColor="text1"/>
                      <w:szCs w:val="21"/>
                      <w:u w:val="none" w:color="auto"/>
                      <w:lang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eastAsia="zh-CN"/>
                      <w14:textFill>
                        <w14:solidFill>
                          <w14:schemeClr w14:val="tx1"/>
                        </w14:solidFill>
                      </w14:textFill>
                    </w:rPr>
                    <w:t>锅炉排水</w:t>
                  </w:r>
                </w:p>
              </w:tc>
              <w:tc>
                <w:tcPr>
                  <w:tcW w:w="670" w:type="pct"/>
                  <w:tcBorders>
                    <w:tl2br w:val="nil"/>
                    <w:tr2bl w:val="nil"/>
                  </w:tcBorders>
                  <w:shd w:val="clear" w:color="auto" w:fill="auto"/>
                  <w:vAlign w:val="center"/>
                </w:tcPr>
                <w:p>
                  <w:pPr>
                    <w:pStyle w:val="3"/>
                    <w:numPr>
                      <w:ilvl w:val="0"/>
                      <w:numId w:val="0"/>
                    </w:numPr>
                    <w:spacing w:line="276" w:lineRule="auto"/>
                    <w:ind w:left="0" w:leftChars="0" w:firstLine="0" w:firstLineChars="0"/>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COD</w:t>
                  </w:r>
                </w:p>
              </w:tc>
              <w:tc>
                <w:tcPr>
                  <w:tcW w:w="1045" w:type="pct"/>
                  <w:vMerge w:val="restar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297</w:t>
                  </w:r>
                </w:p>
              </w:tc>
              <w:tc>
                <w:tcPr>
                  <w:tcW w:w="1388"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20</w:t>
                  </w:r>
                </w:p>
              </w:tc>
              <w:tc>
                <w:tcPr>
                  <w:tcW w:w="106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0.0059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35" w:type="pct"/>
                  <w:vMerge w:val="continue"/>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p>
              </w:tc>
              <w:tc>
                <w:tcPr>
                  <w:tcW w:w="670" w:type="pct"/>
                  <w:tcBorders>
                    <w:tl2br w:val="nil"/>
                    <w:tr2bl w:val="nil"/>
                  </w:tcBorders>
                  <w:shd w:val="clear" w:color="auto" w:fill="auto"/>
                  <w:vAlign w:val="center"/>
                </w:tcPr>
                <w:p>
                  <w:pPr>
                    <w:pStyle w:val="3"/>
                    <w:numPr>
                      <w:ilvl w:val="0"/>
                      <w:numId w:val="0"/>
                    </w:numPr>
                    <w:spacing w:line="276" w:lineRule="auto"/>
                    <w:ind w:left="0" w:leftChars="0" w:firstLine="0" w:firstLineChars="0"/>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r>
                    <w:rPr>
                      <w:rFonts w:hint="default" w:ascii="Times New Roman" w:hAnsi="Times New Roman" w:cs="Times New Roman"/>
                      <w:i w:val="0"/>
                      <w:iCs w:val="0"/>
                      <w:color w:val="000000" w:themeColor="text1"/>
                      <w:szCs w:val="21"/>
                      <w:u w:val="none" w:color="auto"/>
                      <w14:textFill>
                        <w14:solidFill>
                          <w14:schemeClr w14:val="tx1"/>
                        </w14:solidFill>
                      </w14:textFill>
                    </w:rPr>
                    <w:t>SS</w:t>
                  </w:r>
                </w:p>
              </w:tc>
              <w:tc>
                <w:tcPr>
                  <w:tcW w:w="1045" w:type="pct"/>
                  <w:vMerge w:val="continue"/>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cs="Times New Roman"/>
                      <w:i w:val="0"/>
                      <w:iCs w:val="0"/>
                      <w:color w:val="000000" w:themeColor="text1"/>
                      <w:szCs w:val="21"/>
                      <w:u w:val="none" w:color="auto"/>
                      <w14:textFill>
                        <w14:solidFill>
                          <w14:schemeClr w14:val="tx1"/>
                        </w14:solidFill>
                      </w14:textFill>
                    </w:rPr>
                  </w:pPr>
                </w:p>
              </w:tc>
              <w:tc>
                <w:tcPr>
                  <w:tcW w:w="1388" w:type="pct"/>
                  <w:tcBorders>
                    <w:tl2br w:val="nil"/>
                    <w:tr2bl w:val="nil"/>
                  </w:tcBorders>
                  <w:shd w:val="clear" w:color="auto" w:fill="auto"/>
                  <w:vAlign w:val="center"/>
                </w:tcPr>
                <w:p>
                  <w:pPr>
                    <w:pStyle w:val="3"/>
                    <w:numPr>
                      <w:ilvl w:val="0"/>
                      <w:numId w:val="0"/>
                    </w:numPr>
                    <w:spacing w:line="276" w:lineRule="auto"/>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40</w:t>
                  </w:r>
                </w:p>
              </w:tc>
              <w:tc>
                <w:tcPr>
                  <w:tcW w:w="106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szCs w:val="21"/>
                      <w:u w:val="none" w:color="auto"/>
                      <w:lang w:val="en-US" w:eastAsia="zh-CN"/>
                      <w14:textFill>
                        <w14:solidFill>
                          <w14:schemeClr w14:val="tx1"/>
                        </w14:solidFill>
                      </w14:textFill>
                    </w:rPr>
                    <w:t>0.0012</w:t>
                  </w:r>
                </w:p>
              </w:tc>
            </w:tr>
          </w:tbl>
          <w:p>
            <w:pPr>
              <w:pStyle w:val="53"/>
              <w:keepNext w:val="0"/>
              <w:keepLines w:val="0"/>
              <w:pageBreakBefore w:val="0"/>
              <w:widowControl w:val="0"/>
              <w:kinsoku/>
              <w:wordWrap/>
              <w:overflowPunct/>
              <w:topLinePunct w:val="0"/>
              <w:bidi w:val="0"/>
              <w:snapToGrid w:val="0"/>
              <w:spacing w:line="360" w:lineRule="auto"/>
              <w:ind w:firstLine="424"/>
              <w:jc w:val="left"/>
              <w:textAlignment w:val="auto"/>
              <w:rPr>
                <w:rFonts w:hint="default" w:ascii="Times New Roman" w:hAnsi="Times New Roman" w:eastAsia="宋体" w:cs="Times New Roman"/>
                <w:i w:val="0"/>
                <w:iCs w:val="0"/>
                <w:color w:val="auto"/>
                <w:sz w:val="24"/>
                <w:highlight w:val="none"/>
                <w:u w:val="none" w:color="auto"/>
              </w:rPr>
            </w:pPr>
          </w:p>
          <w:p>
            <w:pPr>
              <w:spacing w:line="360" w:lineRule="auto"/>
              <w:ind w:firstLine="482" w:firstLineChars="200"/>
              <w:rPr>
                <w:rFonts w:hint="default" w:ascii="Times New Roman" w:hAnsi="Times New Roman" w:cs="Times New Roman"/>
                <w:b/>
                <w:bCs/>
                <w:i w:val="0"/>
                <w:iCs w:val="0"/>
                <w:color w:val="000000" w:themeColor="text1"/>
                <w:sz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u w:val="none" w:color="auto"/>
                <w14:textFill>
                  <w14:solidFill>
                    <w14:schemeClr w14:val="tx1"/>
                  </w14:solidFill>
                </w14:textFill>
              </w:rPr>
              <w:t>3.噪声</w:t>
            </w: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（1）噪声源强分析</w:t>
            </w:r>
          </w:p>
          <w:p>
            <w:pPr>
              <w:pStyle w:val="58"/>
              <w:ind w:firstLine="480"/>
              <w:rPr>
                <w:rFonts w:hint="default" w:ascii="Times New Roman" w:hAnsi="Times New Roman" w:cs="Times New Roman"/>
                <w:b/>
                <w:bCs/>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本项目产噪设备主要为附属用房内设备运行产生的噪声，噪声源强在70-90 dB，采用低噪声设备、对产噪设备进行基础减震</w:t>
            </w:r>
            <w:r>
              <w:rPr>
                <w:rFonts w:hint="eastAsia" w:cs="Times New Roman"/>
                <w:i w:val="0"/>
                <w:iCs w:val="0"/>
                <w:color w:val="000000" w:themeColor="text1"/>
                <w:u w:val="none" w:color="auto"/>
                <w:lang w:eastAsia="zh-CN"/>
                <w14:textFill>
                  <w14:solidFill>
                    <w14:schemeClr w14:val="tx1"/>
                  </w14:solidFill>
                </w14:textFill>
              </w:rPr>
              <w:t>，</w:t>
            </w:r>
            <w:r>
              <w:rPr>
                <w:rFonts w:hint="default" w:ascii="Times New Roman" w:hAnsi="Times New Roman" w:cs="Times New Roman"/>
                <w:i w:val="0"/>
                <w:iCs w:val="0"/>
                <w:color w:val="000000" w:themeColor="text1"/>
                <w:u w:val="none" w:color="auto"/>
                <w14:textFill>
                  <w14:solidFill>
                    <w14:schemeClr w14:val="tx1"/>
                  </w14:solidFill>
                </w14:textFill>
              </w:rPr>
              <w:t>建筑隔声，定期保养维护，保持其良好的运转状态</w:t>
            </w:r>
            <w:r>
              <w:rPr>
                <w:rFonts w:hint="eastAsia" w:cs="Times New Roman"/>
                <w:i w:val="0"/>
                <w:iCs w:val="0"/>
                <w:color w:val="000000" w:themeColor="text1"/>
                <w:u w:val="none" w:color="auto"/>
                <w:lang w:eastAsia="zh-CN"/>
                <w14:textFill>
                  <w14:solidFill>
                    <w14:schemeClr w14:val="tx1"/>
                  </w14:solidFill>
                </w14:textFill>
              </w:rPr>
              <w:t>，</w:t>
            </w:r>
            <w:r>
              <w:rPr>
                <w:rFonts w:hint="eastAsia" w:ascii="Times New Roman" w:hAnsi="Times New Roman"/>
                <w:i w:val="0"/>
                <w:iCs w:val="0"/>
                <w:color w:val="000000" w:themeColor="text1"/>
                <w:sz w:val="24"/>
                <w:u w:val="none" w:color="auto"/>
                <w:lang w:val="en-US" w:eastAsia="zh-CN"/>
                <w14:textFill>
                  <w14:solidFill>
                    <w14:schemeClr w14:val="tx1"/>
                  </w14:solidFill>
                </w14:textFill>
              </w:rPr>
              <w:t>在经过基础减振、距</w:t>
            </w:r>
            <w:r>
              <w:rPr>
                <w:rFonts w:hint="eastAsia" w:ascii="Times New Roman" w:hAnsi="Times New Roman"/>
                <w:i w:val="0"/>
                <w:iCs w:val="0"/>
                <w:color w:val="auto"/>
                <w:sz w:val="24"/>
                <w:u w:val="none" w:color="auto"/>
                <w:lang w:val="en-US" w:eastAsia="zh-CN"/>
              </w:rPr>
              <w:t>离衰减、墙体阻隔后，噪声排放强度可减少20~30dB(A)</w:t>
            </w:r>
            <w:r>
              <w:rPr>
                <w:rFonts w:hint="default" w:ascii="Times New Roman" w:hAnsi="Times New Roman" w:cs="Times New Roman"/>
                <w:i w:val="0"/>
                <w:iCs w:val="0"/>
                <w:color w:val="000000" w:themeColor="text1"/>
                <w:u w:val="none" w:color="auto"/>
                <w14:textFill>
                  <w14:solidFill>
                    <w14:schemeClr w14:val="tx1"/>
                  </w14:solidFill>
                </w14:textFill>
              </w:rPr>
              <w:t>。</w:t>
            </w: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（2）预测方法</w:t>
            </w: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噪声预测方法采用《环境影响评价技术导则 声环境》（HJ2.4-2009）推荐的模式，计算模式为：</w:t>
            </w:r>
          </w:p>
          <w:p>
            <w:pPr>
              <w:pStyle w:val="58"/>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噪声衰减公式：</w:t>
            </w:r>
          </w:p>
          <w:p>
            <w:pPr>
              <w:pStyle w:val="58"/>
              <w:ind w:firstLine="480"/>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L</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p</w:t>
            </w:r>
            <w:r>
              <w:rPr>
                <w:rFonts w:hint="default" w:ascii="Times New Roman" w:hAnsi="Times New Roman" w:cs="Times New Roman"/>
                <w:i w:val="0"/>
                <w:iCs w:val="0"/>
                <w:color w:val="000000" w:themeColor="text1"/>
                <w:u w:val="none" w:color="auto"/>
                <w14:textFill>
                  <w14:solidFill>
                    <w14:schemeClr w14:val="tx1"/>
                  </w14:solidFill>
                </w14:textFill>
              </w:rPr>
              <w:t>（r）=L</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p</w:t>
            </w:r>
            <w:r>
              <w:rPr>
                <w:rFonts w:hint="default" w:ascii="Times New Roman" w:hAnsi="Times New Roman" w:cs="Times New Roman"/>
                <w:i w:val="0"/>
                <w:iCs w:val="0"/>
                <w:color w:val="000000" w:themeColor="text1"/>
                <w:u w:val="none" w:color="auto"/>
                <w14:textFill>
                  <w14:solidFill>
                    <w14:schemeClr w14:val="tx1"/>
                  </w14:solidFill>
                </w14:textFill>
              </w:rPr>
              <w:t>（r</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0</w:t>
            </w:r>
            <w:r>
              <w:rPr>
                <w:rFonts w:hint="default" w:ascii="Times New Roman" w:hAnsi="Times New Roman" w:cs="Times New Roman"/>
                <w:i w:val="0"/>
                <w:iCs w:val="0"/>
                <w:color w:val="000000" w:themeColor="text1"/>
                <w:u w:val="none" w:color="auto"/>
                <w14:textFill>
                  <w14:solidFill>
                    <w14:schemeClr w14:val="tx1"/>
                  </w14:solidFill>
                </w14:textFill>
              </w:rPr>
              <w:t>）</w:t>
            </w:r>
            <w:r>
              <w:rPr>
                <w:rFonts w:hint="eastAsia" w:cs="Times New Roman"/>
                <w:i w:val="0"/>
                <w:iCs w:val="0"/>
                <w:color w:val="000000" w:themeColor="text1"/>
                <w:u w:val="none" w:color="auto"/>
                <w:lang w:val="en-US" w:eastAsia="zh-CN"/>
                <w14:textFill>
                  <w14:solidFill>
                    <w14:schemeClr w14:val="tx1"/>
                  </w14:solidFill>
                </w14:textFill>
              </w:rPr>
              <w:t>-</w:t>
            </w:r>
            <w:r>
              <w:rPr>
                <w:rFonts w:hint="default" w:ascii="Times New Roman" w:hAnsi="Times New Roman" w:cs="Times New Roman"/>
                <w:i w:val="0"/>
                <w:iCs w:val="0"/>
                <w:color w:val="000000" w:themeColor="text1"/>
                <w:u w:val="none" w:color="auto"/>
                <w14:textFill>
                  <w14:solidFill>
                    <w14:schemeClr w14:val="tx1"/>
                  </w14:solidFill>
                </w14:textFill>
              </w:rPr>
              <w:softHyphen/>
            </w:r>
            <w:r>
              <w:rPr>
                <w:rFonts w:hint="default" w:ascii="Times New Roman" w:hAnsi="Times New Roman" w:cs="Times New Roman"/>
                <w:i w:val="0"/>
                <w:iCs w:val="0"/>
                <w:color w:val="000000" w:themeColor="text1"/>
                <w:u w:val="none" w:color="auto"/>
                <w14:textFill>
                  <w14:solidFill>
                    <w14:schemeClr w14:val="tx1"/>
                  </w14:solidFill>
                </w14:textFill>
              </w:rPr>
              <w:t>20lg（r/ r</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0</w:t>
            </w:r>
            <w:r>
              <w:rPr>
                <w:rFonts w:hint="default" w:ascii="Times New Roman" w:hAnsi="Times New Roman" w:cs="Times New Roman"/>
                <w:i w:val="0"/>
                <w:iCs w:val="0"/>
                <w:color w:val="000000" w:themeColor="text1"/>
                <w:u w:val="none" w:color="auto"/>
                <w14:textFill>
                  <w14:solidFill>
                    <w14:schemeClr w14:val="tx1"/>
                  </w14:solidFill>
                </w14:textFill>
              </w:rPr>
              <w:t>）</w:t>
            </w:r>
          </w:p>
          <w:p>
            <w:pPr>
              <w:pStyle w:val="58"/>
              <w:ind w:firstLine="480"/>
              <w:jc w:val="left"/>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式中：</w:t>
            </w:r>
          </w:p>
          <w:p>
            <w:pPr>
              <w:pStyle w:val="58"/>
              <w:ind w:firstLine="1080" w:firstLineChars="450"/>
              <w:jc w:val="left"/>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L</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p</w:t>
            </w:r>
            <w:r>
              <w:rPr>
                <w:rFonts w:hint="default" w:ascii="Times New Roman" w:hAnsi="Times New Roman" w:cs="Times New Roman"/>
                <w:i w:val="0"/>
                <w:iCs w:val="0"/>
                <w:color w:val="000000" w:themeColor="text1"/>
                <w:u w:val="none" w:color="auto"/>
                <w14:textFill>
                  <w14:solidFill>
                    <w14:schemeClr w14:val="tx1"/>
                  </w14:solidFill>
                </w14:textFill>
              </w:rPr>
              <w:t>（r）——距声源r处的声压级；</w:t>
            </w:r>
          </w:p>
          <w:p>
            <w:pPr>
              <w:pStyle w:val="58"/>
              <w:ind w:firstLine="1080" w:firstLineChars="45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L</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p</w:t>
            </w:r>
            <w:r>
              <w:rPr>
                <w:rFonts w:hint="default" w:ascii="Times New Roman" w:hAnsi="Times New Roman" w:cs="Times New Roman"/>
                <w:i w:val="0"/>
                <w:iCs w:val="0"/>
                <w:color w:val="000000" w:themeColor="text1"/>
                <w:u w:val="none" w:color="auto"/>
                <w14:textFill>
                  <w14:solidFill>
                    <w14:schemeClr w14:val="tx1"/>
                  </w14:solidFill>
                </w14:textFill>
              </w:rPr>
              <w:t>（r</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0</w:t>
            </w:r>
            <w:r>
              <w:rPr>
                <w:rFonts w:hint="default" w:ascii="Times New Roman" w:hAnsi="Times New Roman" w:cs="Times New Roman"/>
                <w:i w:val="0"/>
                <w:iCs w:val="0"/>
                <w:color w:val="000000" w:themeColor="text1"/>
                <w:u w:val="none" w:color="auto"/>
                <w14:textFill>
                  <w14:solidFill>
                    <w14:schemeClr w14:val="tx1"/>
                  </w14:solidFill>
                </w14:textFill>
              </w:rPr>
              <w:t>）——距声源r</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0</w:t>
            </w:r>
            <w:r>
              <w:rPr>
                <w:rFonts w:hint="default" w:ascii="Times New Roman" w:hAnsi="Times New Roman" w:cs="Times New Roman"/>
                <w:i w:val="0"/>
                <w:iCs w:val="0"/>
                <w:color w:val="000000" w:themeColor="text1"/>
                <w:u w:val="none" w:color="auto"/>
                <w14:textFill>
                  <w14:solidFill>
                    <w14:schemeClr w14:val="tx1"/>
                  </w14:solidFill>
                </w14:textFill>
              </w:rPr>
              <w:t>处的声压级；</w:t>
            </w:r>
          </w:p>
          <w:p>
            <w:pPr>
              <w:pStyle w:val="58"/>
              <w:ind w:firstLine="1080" w:firstLineChars="45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r，r</w:t>
            </w:r>
            <w:r>
              <w:rPr>
                <w:rFonts w:hint="default" w:ascii="Times New Roman" w:hAnsi="Times New Roman" w:cs="Times New Roman"/>
                <w:i w:val="0"/>
                <w:iCs w:val="0"/>
                <w:color w:val="000000" w:themeColor="text1"/>
                <w:u w:val="none" w:color="auto"/>
                <w:vertAlign w:val="subscript"/>
                <w14:textFill>
                  <w14:solidFill>
                    <w14:schemeClr w14:val="tx1"/>
                  </w14:solidFill>
                </w14:textFill>
              </w:rPr>
              <w:t>0</w:t>
            </w:r>
            <w:r>
              <w:rPr>
                <w:rFonts w:hint="default" w:ascii="Times New Roman" w:hAnsi="Times New Roman" w:cs="Times New Roman"/>
                <w:i w:val="0"/>
                <w:iCs w:val="0"/>
                <w:color w:val="000000" w:themeColor="text1"/>
                <w:u w:val="none" w:color="auto"/>
                <w14:textFill>
                  <w14:solidFill>
                    <w14:schemeClr w14:val="tx1"/>
                  </w14:solidFill>
                </w14:textFill>
              </w:rPr>
              <w:t>——距声源的距离，m。</w:t>
            </w:r>
          </w:p>
          <w:p>
            <w:pPr>
              <w:pStyle w:val="58"/>
              <w:ind w:firstLine="480"/>
              <w:jc w:val="left"/>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（3）预测结果及评价结论</w:t>
            </w:r>
          </w:p>
          <w:p>
            <w:pPr>
              <w:pStyle w:val="46"/>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根据以上公式计算出本项目运营期对边界声环境的贡献值，以反映项目投产后对该边界处声环境的影响情况，预测结果详见下表。</w:t>
            </w:r>
          </w:p>
          <w:p>
            <w:pPr>
              <w:pStyle w:val="5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b/>
                <w:i w:val="0"/>
                <w:iCs w:val="0"/>
                <w:color w:val="000000" w:themeColor="text1"/>
                <w:u w:val="none" w:color="auto"/>
                <w14:textFill>
                  <w14:solidFill>
                    <w14:schemeClr w14:val="tx1"/>
                  </w14:solidFill>
                </w14:textFill>
              </w:rPr>
            </w:pPr>
            <w:r>
              <w:rPr>
                <w:rFonts w:hint="default" w:ascii="Times New Roman" w:hAnsi="Times New Roman" w:cs="Times New Roman"/>
                <w:b/>
                <w:i w:val="0"/>
                <w:iCs w:val="0"/>
                <w:color w:val="000000" w:themeColor="text1"/>
                <w:u w:val="none" w:color="auto"/>
                <w14:textFill>
                  <w14:solidFill>
                    <w14:schemeClr w14:val="tx1"/>
                  </w14:solidFill>
                </w14:textFill>
              </w:rPr>
              <w:t>表2</w:t>
            </w:r>
            <w:r>
              <w:rPr>
                <w:rFonts w:hint="eastAsia" w:cs="Times New Roman"/>
                <w:b/>
                <w:i w:val="0"/>
                <w:iCs w:val="0"/>
                <w:color w:val="000000" w:themeColor="text1"/>
                <w:u w:val="none" w:color="auto"/>
                <w:lang w:val="en-US" w:eastAsia="zh-CN"/>
                <w14:textFill>
                  <w14:solidFill>
                    <w14:schemeClr w14:val="tx1"/>
                  </w14:solidFill>
                </w14:textFill>
              </w:rPr>
              <w:t>8</w:t>
            </w:r>
            <w:r>
              <w:rPr>
                <w:rFonts w:hint="default" w:ascii="Times New Roman" w:hAnsi="Times New Roman" w:cs="Times New Roman"/>
                <w:b/>
                <w:i w:val="0"/>
                <w:iCs w:val="0"/>
                <w:color w:val="000000" w:themeColor="text1"/>
                <w:u w:val="none" w:color="auto"/>
                <w14:textFill>
                  <w14:solidFill>
                    <w14:schemeClr w14:val="tx1"/>
                  </w14:solidFill>
                </w14:textFill>
              </w:rPr>
              <w:t xml:space="preserve">  预测结果   单位：dB(A)</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059"/>
              <w:gridCol w:w="829"/>
              <w:gridCol w:w="770"/>
              <w:gridCol w:w="720"/>
              <w:gridCol w:w="739"/>
              <w:gridCol w:w="720"/>
              <w:gridCol w:w="689"/>
              <w:gridCol w:w="669"/>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vMerge w:val="restart"/>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预测点</w:t>
                  </w:r>
                </w:p>
              </w:tc>
              <w:tc>
                <w:tcPr>
                  <w:tcW w:w="1060" w:type="dxa"/>
                  <w:vMerge w:val="restart"/>
                  <w:noWrap w:val="0"/>
                  <w:vAlign w:val="center"/>
                </w:tcPr>
                <w:p>
                  <w:pPr>
                    <w:jc w:val="center"/>
                    <w:rPr>
                      <w:rFonts w:hint="eastAsia" w:ascii="Times New Roman" w:hAnsi="Times New Roman" w:eastAsia="宋体" w:cs="Times New Roman"/>
                      <w:i w:val="0"/>
                      <w:iCs w:val="0"/>
                      <w:sz w:val="21"/>
                      <w:szCs w:val="21"/>
                      <w:u w:val="none" w:color="auto"/>
                      <w:lang w:eastAsia="zh-CN"/>
                    </w:rPr>
                  </w:pPr>
                  <w:r>
                    <w:rPr>
                      <w:rFonts w:hint="eastAsia" w:ascii="Times New Roman" w:hAnsi="Times New Roman" w:cs="Times New Roman"/>
                      <w:i w:val="0"/>
                      <w:iCs w:val="0"/>
                      <w:sz w:val="21"/>
                      <w:szCs w:val="21"/>
                      <w:u w:val="none" w:color="auto"/>
                      <w:lang w:eastAsia="zh-CN"/>
                    </w:rPr>
                    <w:t>与产噪设备最近距离（</w:t>
                  </w:r>
                  <w:r>
                    <w:rPr>
                      <w:rFonts w:hint="eastAsia" w:ascii="Times New Roman" w:hAnsi="Times New Roman" w:cs="Times New Roman"/>
                      <w:i w:val="0"/>
                      <w:iCs w:val="0"/>
                      <w:sz w:val="21"/>
                      <w:szCs w:val="21"/>
                      <w:u w:val="none" w:color="auto"/>
                      <w:lang w:val="en-US" w:eastAsia="zh-CN"/>
                    </w:rPr>
                    <w:t>m</w:t>
                  </w:r>
                  <w:r>
                    <w:rPr>
                      <w:rFonts w:hint="eastAsia" w:ascii="Times New Roman" w:hAnsi="Times New Roman" w:cs="Times New Roman"/>
                      <w:i w:val="0"/>
                      <w:iCs w:val="0"/>
                      <w:sz w:val="21"/>
                      <w:szCs w:val="21"/>
                      <w:u w:val="none" w:color="auto"/>
                      <w:lang w:eastAsia="zh-CN"/>
                    </w:rPr>
                    <w:t>）</w:t>
                  </w:r>
                </w:p>
              </w:tc>
              <w:tc>
                <w:tcPr>
                  <w:tcW w:w="2320" w:type="dxa"/>
                  <w:gridSpan w:val="3"/>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昼间</w:t>
                  </w:r>
                </w:p>
              </w:tc>
              <w:tc>
                <w:tcPr>
                  <w:tcW w:w="2140" w:type="dxa"/>
                  <w:gridSpan w:val="3"/>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夜间</w:t>
                  </w:r>
                </w:p>
              </w:tc>
              <w:tc>
                <w:tcPr>
                  <w:tcW w:w="1372" w:type="dxa"/>
                  <w:gridSpan w:val="2"/>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vMerge w:val="continue"/>
                  <w:noWrap w:val="0"/>
                  <w:vAlign w:val="center"/>
                </w:tcPr>
                <w:p>
                  <w:pPr>
                    <w:jc w:val="center"/>
                    <w:rPr>
                      <w:rFonts w:hint="default" w:ascii="Times New Roman" w:hAnsi="Times New Roman" w:cs="Times New Roman"/>
                      <w:i w:val="0"/>
                      <w:iCs w:val="0"/>
                      <w:sz w:val="21"/>
                      <w:szCs w:val="21"/>
                      <w:u w:val="none" w:color="auto"/>
                    </w:rPr>
                  </w:pPr>
                </w:p>
              </w:tc>
              <w:tc>
                <w:tcPr>
                  <w:tcW w:w="1060" w:type="dxa"/>
                  <w:vMerge w:val="continue"/>
                  <w:noWrap w:val="0"/>
                  <w:vAlign w:val="center"/>
                </w:tcPr>
                <w:p>
                  <w:pPr>
                    <w:jc w:val="center"/>
                    <w:rPr>
                      <w:rFonts w:hint="default" w:ascii="Times New Roman" w:hAnsi="Times New Roman" w:cs="Times New Roman"/>
                      <w:i w:val="0"/>
                      <w:iCs w:val="0"/>
                      <w:sz w:val="21"/>
                      <w:szCs w:val="21"/>
                      <w:u w:val="none" w:color="auto"/>
                    </w:rPr>
                  </w:pPr>
                </w:p>
              </w:tc>
              <w:tc>
                <w:tcPr>
                  <w:tcW w:w="83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背景值</w:t>
                  </w:r>
                </w:p>
              </w:tc>
              <w:tc>
                <w:tcPr>
                  <w:tcW w:w="7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预测值</w:t>
                  </w:r>
                </w:p>
              </w:tc>
              <w:tc>
                <w:tcPr>
                  <w:tcW w:w="72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叠加值</w:t>
                  </w:r>
                </w:p>
              </w:tc>
              <w:tc>
                <w:tcPr>
                  <w:tcW w:w="74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背景值</w:t>
                  </w:r>
                </w:p>
              </w:tc>
              <w:tc>
                <w:tcPr>
                  <w:tcW w:w="72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预测值</w:t>
                  </w:r>
                </w:p>
              </w:tc>
              <w:tc>
                <w:tcPr>
                  <w:tcW w:w="68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叠加值</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昼间</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源翔一场厂界东侧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100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52</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30.00</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52.03</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43</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30.00</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43.21</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源翔一场厂界南侧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220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50</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23.15</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50.01</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42</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23.15</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42.06</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源翔一场厂界西侧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25</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49</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49.80</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42</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44.14</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源翔一场厂界北侧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60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51</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34.44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51.09</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41</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34.44</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41.87</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bCs/>
                      <w:i w:val="0"/>
                      <w:iCs w:val="0"/>
                      <w:szCs w:val="22"/>
                      <w:u w:val="none" w:color="auto"/>
                    </w:rPr>
                    <w:t>源翔二场厂界东侧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80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50</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31.94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50.07</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39</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31.94</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39.78</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bCs/>
                      <w:i w:val="0"/>
                      <w:iCs w:val="0"/>
                      <w:szCs w:val="22"/>
                      <w:u w:val="none" w:color="auto"/>
                    </w:rPr>
                    <w:t>源翔二场厂界南侧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150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49</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26.48</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49.02</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40</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26.48</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40.19</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bCs/>
                      <w:i w:val="0"/>
                      <w:iCs w:val="0"/>
                      <w:szCs w:val="22"/>
                      <w:u w:val="none" w:color="auto"/>
                    </w:rPr>
                    <w:t>源翔二场厂界西侧</w:t>
                  </w:r>
                </w:p>
              </w:tc>
              <w:tc>
                <w:tcPr>
                  <w:tcW w:w="1060" w:type="dxa"/>
                  <w:noWrap w:val="0"/>
                  <w:vAlign w:val="center"/>
                </w:tcPr>
                <w:p>
                  <w:pPr>
                    <w:spacing w:line="240" w:lineRule="exact"/>
                    <w:jc w:val="center"/>
                    <w:rPr>
                      <w:rFonts w:hint="default" w:ascii="Times New Roman" w:hAnsi="Times New Roman" w:cs="Times New Roman"/>
                      <w:bCs/>
                      <w:i w:val="0"/>
                      <w:iCs w:val="0"/>
                      <w:sz w:val="21"/>
                      <w:szCs w:val="21"/>
                      <w:u w:val="none" w:color="auto"/>
                    </w:rPr>
                  </w:pPr>
                  <w:r>
                    <w:rPr>
                      <w:rFonts w:hint="default" w:ascii="Times New Roman" w:hAnsi="Times New Roman" w:cs="Times New Roman"/>
                      <w:bCs/>
                      <w:i w:val="0"/>
                      <w:iCs w:val="0"/>
                      <w:sz w:val="21"/>
                      <w:szCs w:val="21"/>
                      <w:u w:val="none" w:color="auto"/>
                      <w:lang w:val="en-US" w:eastAsia="zh-CN"/>
                    </w:rPr>
                    <w:t>70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51</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33.10</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51.07</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40</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33.10</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40.80</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bCs/>
                      <w:i w:val="0"/>
                      <w:iCs w:val="0"/>
                      <w:szCs w:val="22"/>
                      <w:u w:val="none" w:color="auto"/>
                    </w:rPr>
                    <w:t>源翔二场厂界北侧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30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51</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38.56</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51.37</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41</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lang w:val="en-US"/>
                    </w:rPr>
                  </w:pPr>
                  <w:r>
                    <w:rPr>
                      <w:rFonts w:hint="eastAsia" w:ascii="Times New Roman" w:hAnsi="Times New Roman" w:cs="Times New Roman"/>
                      <w:i w:val="0"/>
                      <w:iCs w:val="0"/>
                      <w:sz w:val="21"/>
                      <w:szCs w:val="21"/>
                      <w:u w:val="none" w:color="auto"/>
                      <w:lang w:val="en-US" w:eastAsia="zh-CN"/>
                    </w:rPr>
                    <w:t>38.56</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42.96</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孵化厂厂界东侧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200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50</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23.98</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50.01</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40</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23.98</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40.11</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南</w:t>
                  </w:r>
                  <w:r>
                    <w:rPr>
                      <w:rFonts w:hint="eastAsia" w:ascii="宋体" w:hAnsi="宋体" w:cs="宋体"/>
                      <w:bCs/>
                      <w:i w:val="0"/>
                      <w:iCs w:val="0"/>
                      <w:sz w:val="21"/>
                      <w:szCs w:val="21"/>
                      <w:u w:val="none" w:color="auto"/>
                    </w:rPr>
                    <w:t>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80</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48</w:t>
                  </w:r>
                </w:p>
              </w:tc>
              <w:tc>
                <w:tcPr>
                  <w:tcW w:w="770" w:type="dxa"/>
                  <w:noWrap w:val="0"/>
                  <w:vAlign w:val="center"/>
                </w:tcPr>
                <w:p>
                  <w:pPr>
                    <w:pStyle w:val="57"/>
                    <w:ind w:firstLine="0" w:firstLineChars="0"/>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31.94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48.11</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39</w:t>
                  </w:r>
                </w:p>
              </w:tc>
              <w:tc>
                <w:tcPr>
                  <w:tcW w:w="720" w:type="dxa"/>
                  <w:noWrap w:val="0"/>
                  <w:vAlign w:val="center"/>
                </w:tcPr>
                <w:p>
                  <w:pPr>
                    <w:pStyle w:val="57"/>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31.94</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39.78</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西</w:t>
                  </w:r>
                  <w:r>
                    <w:rPr>
                      <w:rFonts w:hint="eastAsia" w:ascii="宋体" w:hAnsi="宋体" w:cs="宋体"/>
                      <w:bCs/>
                      <w:i w:val="0"/>
                      <w:iCs w:val="0"/>
                      <w:sz w:val="21"/>
                      <w:szCs w:val="21"/>
                      <w:u w:val="none" w:color="auto"/>
                    </w:rPr>
                    <w:t>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25</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49</w:t>
                  </w:r>
                </w:p>
              </w:tc>
              <w:tc>
                <w:tcPr>
                  <w:tcW w:w="770" w:type="dxa"/>
                  <w:noWrap w:val="0"/>
                  <w:vAlign w:val="center"/>
                </w:tcPr>
                <w:p>
                  <w:pPr>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49.79</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41</w:t>
                  </w:r>
                </w:p>
              </w:tc>
              <w:tc>
                <w:tcPr>
                  <w:tcW w:w="720" w:type="dxa"/>
                  <w:noWrap w:val="0"/>
                  <w:vAlign w:val="center"/>
                </w:tcPr>
                <w:p>
                  <w:pPr>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68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43.56</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7" w:type="dxa"/>
                  <w:noWrap w:val="0"/>
                  <w:vAlign w:val="top"/>
                </w:tcPr>
                <w:p>
                  <w:pPr>
                    <w:spacing w:line="240" w:lineRule="exact"/>
                    <w:jc w:val="center"/>
                    <w:rPr>
                      <w:rFonts w:hint="default" w:ascii="Times New Roman" w:hAnsi="Times New Roman" w:cs="Times New Roman"/>
                      <w:i w:val="0"/>
                      <w:iCs w:val="0"/>
                      <w:sz w:val="21"/>
                      <w:szCs w:val="21"/>
                      <w:u w:val="none" w:color="auto"/>
                    </w:rPr>
                  </w:pPr>
                  <w:r>
                    <w:rPr>
                      <w:rFonts w:hint="eastAsia" w:ascii="宋体" w:hAnsi="宋体" w:cs="宋体"/>
                      <w:bCs/>
                      <w:i w:val="0"/>
                      <w:iCs w:val="0"/>
                      <w:sz w:val="21"/>
                      <w:szCs w:val="21"/>
                      <w:u w:val="none" w:color="auto"/>
                    </w:rPr>
                    <w:t>孵化厂厂界</w:t>
                  </w:r>
                  <w:r>
                    <w:rPr>
                      <w:rFonts w:hint="eastAsia" w:ascii="宋体" w:hAnsi="宋体" w:cs="宋体"/>
                      <w:bCs/>
                      <w:i w:val="0"/>
                      <w:iCs w:val="0"/>
                      <w:sz w:val="21"/>
                      <w:szCs w:val="21"/>
                      <w:u w:val="none" w:color="auto"/>
                      <w:lang w:eastAsia="zh-CN"/>
                    </w:rPr>
                    <w:t>北</w:t>
                  </w:r>
                  <w:r>
                    <w:rPr>
                      <w:rFonts w:hint="eastAsia" w:ascii="宋体" w:hAnsi="宋体" w:cs="宋体"/>
                      <w:bCs/>
                      <w:i w:val="0"/>
                      <w:iCs w:val="0"/>
                      <w:sz w:val="21"/>
                      <w:szCs w:val="21"/>
                      <w:u w:val="none" w:color="auto"/>
                    </w:rPr>
                    <w:t>侧</w:t>
                  </w:r>
                </w:p>
              </w:tc>
              <w:tc>
                <w:tcPr>
                  <w:tcW w:w="1060" w:type="dxa"/>
                  <w:noWrap w:val="0"/>
                  <w:vAlign w:val="center"/>
                </w:tcPr>
                <w:p>
                  <w:pPr>
                    <w:spacing w:line="240" w:lineRule="exact"/>
                    <w:jc w:val="center"/>
                    <w:rPr>
                      <w:rFonts w:hint="default" w:ascii="Times New Roman" w:hAnsi="Times New Roman" w:eastAsia="宋体" w:cs="Times New Roman"/>
                      <w:bCs/>
                      <w:i w:val="0"/>
                      <w:iCs w:val="0"/>
                      <w:sz w:val="21"/>
                      <w:szCs w:val="21"/>
                      <w:u w:val="none" w:color="auto"/>
                      <w:lang w:val="en-US" w:eastAsia="zh-CN"/>
                    </w:rPr>
                  </w:pPr>
                  <w:r>
                    <w:rPr>
                      <w:rFonts w:hint="default" w:ascii="Times New Roman" w:hAnsi="Times New Roman" w:cs="Times New Roman"/>
                      <w:bCs/>
                      <w:i w:val="0"/>
                      <w:iCs w:val="0"/>
                      <w:sz w:val="21"/>
                      <w:szCs w:val="21"/>
                      <w:u w:val="none" w:color="auto"/>
                      <w:lang w:val="en-US" w:eastAsia="zh-CN"/>
                    </w:rPr>
                    <w:t>25</w:t>
                  </w:r>
                </w:p>
              </w:tc>
              <w:tc>
                <w:tcPr>
                  <w:tcW w:w="83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50</w:t>
                  </w:r>
                </w:p>
              </w:tc>
              <w:tc>
                <w:tcPr>
                  <w:tcW w:w="770" w:type="dxa"/>
                  <w:noWrap w:val="0"/>
                  <w:vAlign w:val="center"/>
                </w:tcPr>
                <w:p>
                  <w:pPr>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720" w:type="dxa"/>
                  <w:noWrap w:val="0"/>
                  <w:vAlign w:val="center"/>
                </w:tcPr>
                <w:p>
                  <w:pPr>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50.64</w:t>
                  </w:r>
                </w:p>
              </w:tc>
              <w:tc>
                <w:tcPr>
                  <w:tcW w:w="740" w:type="dxa"/>
                  <w:noWrap w:val="0"/>
                  <w:vAlign w:val="center"/>
                </w:tcPr>
                <w:p>
                  <w:pPr>
                    <w:spacing w:line="240" w:lineRule="exact"/>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41</w:t>
                  </w:r>
                </w:p>
              </w:tc>
              <w:tc>
                <w:tcPr>
                  <w:tcW w:w="720" w:type="dxa"/>
                  <w:noWrap w:val="0"/>
                  <w:vAlign w:val="center"/>
                </w:tcPr>
                <w:p>
                  <w:pPr>
                    <w:ind w:firstLine="0" w:firstLineChars="0"/>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40.04</w:t>
                  </w:r>
                </w:p>
              </w:tc>
              <w:tc>
                <w:tcPr>
                  <w:tcW w:w="680" w:type="dxa"/>
                  <w:noWrap w:val="0"/>
                  <w:vAlign w:val="center"/>
                </w:tcPr>
                <w:p>
                  <w:pPr>
                    <w:jc w:val="center"/>
                    <w:rPr>
                      <w:rFonts w:hint="default" w:ascii="Times New Roman" w:hAnsi="Times New Roman" w:cs="Times New Roman"/>
                      <w:i w:val="0"/>
                      <w:iCs w:val="0"/>
                      <w:sz w:val="21"/>
                      <w:szCs w:val="21"/>
                      <w:u w:val="none" w:color="auto"/>
                    </w:rPr>
                  </w:pPr>
                  <w:r>
                    <w:rPr>
                      <w:rFonts w:hint="eastAsia" w:ascii="Times New Roman" w:hAnsi="Times New Roman" w:cs="Times New Roman"/>
                      <w:i w:val="0"/>
                      <w:iCs w:val="0"/>
                      <w:sz w:val="21"/>
                      <w:szCs w:val="21"/>
                      <w:u w:val="none" w:color="auto"/>
                      <w:lang w:val="en-US" w:eastAsia="zh-CN"/>
                    </w:rPr>
                    <w:t>43.56</w:t>
                  </w:r>
                </w:p>
              </w:tc>
              <w:tc>
                <w:tcPr>
                  <w:tcW w:w="670"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55</w:t>
                  </w:r>
                </w:p>
              </w:tc>
              <w:tc>
                <w:tcPr>
                  <w:tcW w:w="702" w:type="dxa"/>
                  <w:noWrap w:val="0"/>
                  <w:vAlign w:val="center"/>
                </w:tcPr>
                <w:p>
                  <w:pPr>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45</w:t>
                  </w:r>
                </w:p>
              </w:tc>
            </w:tr>
          </w:tbl>
          <w:p>
            <w:pPr>
              <w:rPr>
                <w:rFonts w:hint="default"/>
                <w:i w:val="0"/>
                <w:iCs w:val="0"/>
                <w:u w:val="none" w:color="auto"/>
              </w:rPr>
            </w:pPr>
          </w:p>
          <w:p>
            <w:pPr>
              <w:pStyle w:val="46"/>
              <w:ind w:firstLine="480"/>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由以上预测结果可知，本项目对区域声环境的影响较小，边界满足《工业企业厂界环境噪声排放标准》（GB12348-2008）中1类区标准，对周边环境影响较小，因此噪声防治措施合理可行。</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本项目噪声监测要求如下：</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监测项目：等效连续A声级；</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监测点位：边界四周；</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监测频率：1次/季。</w:t>
            </w:r>
          </w:p>
          <w:p>
            <w:pPr>
              <w:autoSpaceDE w:val="0"/>
              <w:autoSpaceDN w:val="0"/>
              <w:spacing w:line="360" w:lineRule="auto"/>
              <w:ind w:firstLine="482"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b/>
                <w:bCs/>
                <w:i w:val="0"/>
                <w:iCs w:val="0"/>
                <w:color w:val="000000" w:themeColor="text1"/>
                <w:sz w:val="24"/>
                <w:u w:val="none" w:color="auto"/>
                <w14:textFill>
                  <w14:solidFill>
                    <w14:schemeClr w14:val="tx1"/>
                  </w14:solidFill>
                </w14:textFill>
              </w:rPr>
              <w:t>4.固体废物</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本项目固体废物锅炉灰渣</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w:t>
            </w:r>
            <w:r>
              <w:rPr>
                <w:rFonts w:hint="default" w:ascii="Times New Roman" w:hAnsi="Times New Roman" w:cs="Times New Roman"/>
                <w:i w:val="0"/>
                <w:iCs w:val="0"/>
                <w:color w:val="000000" w:themeColor="text1"/>
                <w:sz w:val="24"/>
                <w:u w:val="none" w:color="auto"/>
                <w14:textFill>
                  <w14:solidFill>
                    <w14:schemeClr w14:val="tx1"/>
                  </w14:solidFill>
                </w14:textFill>
              </w:rPr>
              <w:t>布袋粉尘</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及废离子交换树脂</w:t>
            </w:r>
            <w:r>
              <w:rPr>
                <w:rFonts w:hint="default" w:ascii="Times New Roman" w:hAnsi="Times New Roman" w:cs="Times New Roman"/>
                <w:i w:val="0"/>
                <w:iCs w:val="0"/>
                <w:color w:val="000000" w:themeColor="text1"/>
                <w:sz w:val="24"/>
                <w:u w:val="none" w:color="auto"/>
                <w14:textFill>
                  <w14:solidFill>
                    <w14:schemeClr w14:val="tx1"/>
                  </w14:solidFill>
                </w14:textFill>
              </w:rPr>
              <w:t>。</w:t>
            </w:r>
          </w:p>
          <w:p>
            <w:pPr>
              <w:numPr>
                <w:ilvl w:val="0"/>
                <w:numId w:val="6"/>
              </w:numPr>
              <w:autoSpaceDE w:val="0"/>
              <w:autoSpaceDN w:val="0"/>
              <w:spacing w:line="360" w:lineRule="auto"/>
              <w:ind w:firstLine="480" w:firstLineChars="200"/>
              <w:rPr>
                <w:rFonts w:hint="eastAsia" w:ascii="Times New Roman" w:hAnsi="Times New Roman" w:cs="Times New Roman"/>
                <w:i w:val="0"/>
                <w:iCs w:val="0"/>
                <w:color w:val="000000" w:themeColor="text1"/>
                <w:sz w:val="24"/>
                <w:u w:val="none" w:color="auto"/>
                <w:lang w:eastAsia="zh-CN"/>
                <w14:textFill>
                  <w14:solidFill>
                    <w14:schemeClr w14:val="tx1"/>
                  </w14:solidFill>
                </w14:textFill>
              </w:rPr>
            </w:pP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灰渣</w:t>
            </w:r>
          </w:p>
          <w:p>
            <w:pPr>
              <w:autoSpaceDE w:val="0"/>
              <w:autoSpaceDN w:val="0"/>
              <w:spacing w:line="360" w:lineRule="auto"/>
              <w:ind w:firstLine="480" w:firstLineChars="200"/>
              <w:rPr>
                <w:rFonts w:hint="eastAsia" w:ascii="Times New Roman" w:hAnsi="Times New Roman" w:eastAsia="宋体" w:cs="Times New Roman"/>
                <w:i w:val="0"/>
                <w:iCs w:val="0"/>
                <w:color w:val="000000" w:themeColor="text1"/>
                <w:sz w:val="24"/>
                <w:u w:val="none" w:color="auto"/>
                <w:lang w:eastAsia="zh-CN"/>
                <w14:textFill>
                  <w14:solidFill>
                    <w14:schemeClr w14:val="tx1"/>
                  </w14:solidFill>
                </w14:textFill>
              </w:rPr>
            </w:pPr>
            <w:r>
              <w:rPr>
                <w:rFonts w:hint="eastAsia" w:ascii="Times New Roman" w:hAnsi="Times New Roman" w:eastAsia="宋体" w:cs="Times New Roman"/>
                <w:i w:val="0"/>
                <w:iCs w:val="0"/>
                <w:color w:val="000000" w:themeColor="text1"/>
                <w:sz w:val="24"/>
                <w:u w:val="none" w:color="auto"/>
                <w:lang w:eastAsia="zh-CN"/>
                <w14:textFill>
                  <w14:solidFill>
                    <w14:schemeClr w14:val="tx1"/>
                  </w14:solidFill>
                </w14:textFill>
              </w:rPr>
              <w:t>根据《污染源源强核算技术指南</w:t>
            </w:r>
            <w:r>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t xml:space="preserve"> 锅炉</w:t>
            </w:r>
            <w:r>
              <w:rPr>
                <w:rFonts w:hint="eastAsia" w:ascii="Times New Roman" w:hAnsi="Times New Roman" w:eastAsia="宋体" w:cs="Times New Roman"/>
                <w:i w:val="0"/>
                <w:iCs w:val="0"/>
                <w:color w:val="000000" w:themeColor="text1"/>
                <w:sz w:val="24"/>
                <w:u w:val="none" w:color="auto"/>
                <w:lang w:eastAsia="zh-CN"/>
                <w14:textFill>
                  <w14:solidFill>
                    <w14:schemeClr w14:val="tx1"/>
                  </w14:solidFill>
                </w14:textFill>
              </w:rPr>
              <w:t>》（</w:t>
            </w:r>
            <w:r>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t>HJ991-2018</w:t>
            </w:r>
            <w:r>
              <w:rPr>
                <w:rFonts w:hint="eastAsia" w:ascii="Times New Roman" w:hAnsi="Times New Roman" w:eastAsia="宋体" w:cs="Times New Roman"/>
                <w:i w:val="0"/>
                <w:iCs w:val="0"/>
                <w:color w:val="000000" w:themeColor="text1"/>
                <w:sz w:val="24"/>
                <w:u w:val="none" w:color="auto"/>
                <w:lang w:eastAsia="zh-CN"/>
                <w14:textFill>
                  <w14:solidFill>
                    <w14:schemeClr w14:val="tx1"/>
                  </w14:solidFill>
                </w14:textFill>
              </w:rPr>
              <w:t>），本项目炉灰渣产生量采用物料衡算法计算，计算公式为：</w:t>
            </w:r>
          </w:p>
          <w:p>
            <w:pPr>
              <w:bidi w:val="0"/>
              <w:jc w:val="center"/>
              <w:rPr>
                <w:i w:val="0"/>
                <w:iCs w:val="0"/>
                <w:u w:val="none" w:color="auto"/>
              </w:rPr>
            </w:pPr>
            <w:r>
              <w:rPr>
                <w:i w:val="0"/>
                <w:iCs w:val="0"/>
                <w:u w:val="none" w:color="auto"/>
              </w:rPr>
              <w:drawing>
                <wp:inline distT="0" distB="0" distL="114300" distR="114300">
                  <wp:extent cx="2438400" cy="55245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2438400" cy="552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sz w:val="24"/>
                <w:szCs w:val="24"/>
                <w:u w:val="none" w:color="auto"/>
                <w:vertAlign w:val="baseline"/>
                <w:lang w:val="en-US" w:eastAsia="zh-CN"/>
              </w:rPr>
            </w:pPr>
            <w:r>
              <w:rPr>
                <w:rFonts w:hint="default" w:ascii="Times New Roman" w:hAnsi="Times New Roman" w:cs="Times New Roman"/>
                <w:i w:val="0"/>
                <w:iCs w:val="0"/>
                <w:sz w:val="24"/>
                <w:szCs w:val="24"/>
                <w:u w:val="none" w:color="auto"/>
                <w:lang w:eastAsia="zh-CN"/>
              </w:rPr>
              <w:t>式中：</w:t>
            </w:r>
            <w:r>
              <w:rPr>
                <w:rFonts w:hint="default" w:ascii="Times New Roman" w:hAnsi="Times New Roman" w:cs="Times New Roman"/>
                <w:i w:val="0"/>
                <w:iCs w:val="0"/>
                <w:sz w:val="24"/>
                <w:szCs w:val="24"/>
                <w:u w:val="none" w:color="auto"/>
                <w:lang w:val="en-US" w:eastAsia="zh-CN"/>
              </w:rPr>
              <w:t>E</w:t>
            </w:r>
            <w:r>
              <w:rPr>
                <w:rFonts w:hint="default" w:ascii="Times New Roman" w:hAnsi="Times New Roman" w:cs="Times New Roman"/>
                <w:i w:val="0"/>
                <w:iCs w:val="0"/>
                <w:sz w:val="24"/>
                <w:szCs w:val="24"/>
                <w:u w:val="none" w:color="auto"/>
                <w:vertAlign w:val="subscript"/>
                <w:lang w:val="en-US" w:eastAsia="zh-CN"/>
              </w:rPr>
              <w:t>hz</w:t>
            </w:r>
            <w:r>
              <w:rPr>
                <w:rFonts w:hint="default" w:ascii="Times New Roman" w:hAnsi="Times New Roman" w:cs="Times New Roman"/>
                <w:i w:val="0"/>
                <w:iCs w:val="0"/>
                <w:sz w:val="24"/>
                <w:szCs w:val="24"/>
                <w:u w:val="none" w:color="auto"/>
                <w:vertAlign w:val="baseline"/>
                <w:lang w:val="en-US" w:eastAsia="zh-CN"/>
              </w:rPr>
              <w:t>-核算时段内灰渣产生量，t；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核算时段内锅炉燃料耗量，t；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A</w:t>
            </w:r>
            <w:r>
              <w:rPr>
                <w:rFonts w:hint="eastAsia" w:ascii="Times New Roman" w:hAnsi="Times New Roman" w:cs="Times New Roman"/>
                <w:i w:val="0"/>
                <w:iCs w:val="0"/>
                <w:sz w:val="24"/>
                <w:szCs w:val="24"/>
                <w:u w:val="none" w:color="auto"/>
                <w:vertAlign w:val="subscript"/>
                <w:lang w:val="en-US" w:eastAsia="zh-CN"/>
              </w:rPr>
              <w:t>ar</w:t>
            </w:r>
            <w:r>
              <w:rPr>
                <w:rFonts w:hint="eastAsia" w:ascii="Times New Roman" w:hAnsi="Times New Roman" w:cs="Times New Roman"/>
                <w:i w:val="0"/>
                <w:iCs w:val="0"/>
                <w:sz w:val="24"/>
                <w:szCs w:val="24"/>
                <w:u w:val="none" w:color="auto"/>
                <w:lang w:val="en-US" w:eastAsia="zh-CN"/>
              </w:rPr>
              <w:t>-收到基灰分的质量分数，%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q</w:t>
            </w:r>
            <w:r>
              <w:rPr>
                <w:rFonts w:hint="eastAsia" w:ascii="Times New Roman" w:hAnsi="Times New Roman" w:cs="Times New Roman"/>
                <w:i w:val="0"/>
                <w:iCs w:val="0"/>
                <w:sz w:val="24"/>
                <w:szCs w:val="24"/>
                <w:u w:val="none" w:color="auto"/>
                <w:vertAlign w:val="subscript"/>
                <w:lang w:val="en-US" w:eastAsia="zh-CN"/>
              </w:rPr>
              <w:t>4</w:t>
            </w:r>
            <w:r>
              <w:rPr>
                <w:rFonts w:hint="eastAsia" w:ascii="Times New Roman" w:hAnsi="Times New Roman" w:cs="Times New Roman"/>
                <w:i w:val="0"/>
                <w:iCs w:val="0"/>
                <w:sz w:val="24"/>
                <w:szCs w:val="24"/>
                <w:u w:val="none" w:color="auto"/>
                <w:lang w:val="en-US" w:eastAsia="zh-CN"/>
              </w:rPr>
              <w:t>-锅炉机械不完全燃烧热损失，%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i w:val="0"/>
                <w:iCs w:val="0"/>
                <w:sz w:val="24"/>
                <w:szCs w:val="24"/>
                <w:u w:val="none" w:color="auto"/>
                <w:vertAlign w:val="baseline"/>
                <w:lang w:val="en-US" w:eastAsia="zh-CN"/>
              </w:rPr>
            </w:pPr>
            <w:r>
              <w:rPr>
                <w:rFonts w:hint="eastAsia" w:ascii="Times New Roman" w:hAnsi="Times New Roman" w:cs="Times New Roman"/>
                <w:i w:val="0"/>
                <w:iCs w:val="0"/>
                <w:sz w:val="24"/>
                <w:szCs w:val="24"/>
                <w:u w:val="none" w:color="auto"/>
                <w:lang w:val="en-US" w:eastAsia="zh-CN"/>
              </w:rPr>
              <w:t>Q</w:t>
            </w:r>
            <w:r>
              <w:rPr>
                <w:rFonts w:hint="eastAsia" w:ascii="Times New Roman" w:hAnsi="Times New Roman" w:cs="Times New Roman"/>
                <w:i w:val="0"/>
                <w:iCs w:val="0"/>
                <w:sz w:val="24"/>
                <w:szCs w:val="24"/>
                <w:u w:val="none" w:color="auto"/>
                <w:vertAlign w:val="subscript"/>
                <w:lang w:val="en-US" w:eastAsia="zh-CN"/>
              </w:rPr>
              <w:t>net，ar</w:t>
            </w:r>
            <w:r>
              <w:rPr>
                <w:rFonts w:hint="eastAsia" w:ascii="Times New Roman" w:hAnsi="Times New Roman" w:cs="Times New Roman"/>
                <w:i w:val="0"/>
                <w:iCs w:val="0"/>
                <w:sz w:val="24"/>
                <w:szCs w:val="24"/>
                <w:u w:val="none" w:color="auto"/>
                <w:vertAlign w:val="baseline"/>
                <w:lang w:val="en-US" w:eastAsia="zh-CN"/>
              </w:rPr>
              <w:t>-收到基低位发热量，kJ/kg</w:t>
            </w:r>
          </w:p>
          <w:p>
            <w:pPr>
              <w:autoSpaceDE w:val="0"/>
              <w:autoSpaceDN w:val="0"/>
              <w:spacing w:line="360" w:lineRule="auto"/>
              <w:ind w:firstLine="480" w:firstLineChars="200"/>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t>根据计算可知，本项目锅炉满负荷运行情况下炉灰产生量约为110.52t/a，直接存放于各厂的灰渣库内，定期外卖用作农肥还田。</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除尘器灰渣</w:t>
            </w:r>
          </w:p>
          <w:p>
            <w:pPr>
              <w:autoSpaceDE w:val="0"/>
              <w:autoSpaceDN w:val="0"/>
              <w:spacing w:line="360" w:lineRule="auto"/>
              <w:ind w:firstLine="480" w:firstLineChars="200"/>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u w:val="none" w:color="auto"/>
                <w:lang w:val="en-US" w:eastAsia="zh-CN"/>
                <w14:textFill>
                  <w14:solidFill>
                    <w14:schemeClr w14:val="tx1"/>
                  </w14:solidFill>
                </w14:textFill>
              </w:rPr>
              <w:t>满负荷运行情况下除尘器灰渣产生量为1.764t/a，直接存放于各厂的灰渣库内，定期外卖用作农肥还田。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val="en-US" w:eastAsia="zh-CN"/>
              </w:rPr>
              <w:t>本项且所用生物质燃料为采用农作物秸秆压制的木质颗粒，因此本项且产生的炉灰以及除尘器回收的粉尘主要成分为草木灰，属于不可溶物质。草木灰为植物燃烧后的灰烬，所以是凡植物所含的矿质元素，草木灰中几乎都含有，因此将本项且产生的炉灰和除尘器回收的粉尘还田用作农肥可行。</w:t>
            </w:r>
          </w:p>
          <w:p>
            <w:pPr>
              <w:autoSpaceDE w:val="0"/>
              <w:autoSpaceDN w:val="0"/>
              <w:spacing w:line="360" w:lineRule="auto"/>
              <w:ind w:firstLine="480" w:firstLineChars="200"/>
              <w:rPr>
                <w:rFonts w:hint="eastAsia" w:ascii="Times New Roman" w:hAnsi="Times New Roman" w:eastAsia="宋体" w:cs="Times New Roman"/>
                <w:i w:val="0"/>
                <w:iCs w:val="0"/>
                <w:color w:val="000000" w:themeColor="text1"/>
                <w:sz w:val="24"/>
                <w:u w:val="none" w:color="auto"/>
                <w:lang w:eastAsia="zh-CN"/>
                <w14:textFill>
                  <w14:solidFill>
                    <w14:schemeClr w14:val="tx1"/>
                  </w14:solidFill>
                </w14:textFill>
              </w:rPr>
            </w:pP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w:t>
            </w:r>
            <w:r>
              <w:rPr>
                <w:rFonts w:hint="eastAsia" w:ascii="Times New Roman" w:hAnsi="Times New Roman" w:cs="Times New Roman"/>
                <w:i w:val="0"/>
                <w:iCs w:val="0"/>
                <w:color w:val="000000" w:themeColor="text1"/>
                <w:sz w:val="24"/>
                <w:u w:val="none" w:color="auto"/>
                <w:lang w:val="en-US" w:eastAsia="zh-CN"/>
                <w14:textFill>
                  <w14:solidFill>
                    <w14:schemeClr w14:val="tx1"/>
                  </w14:solidFill>
                </w14:textFill>
              </w:rPr>
              <w:t>3</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）废树脂</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项目锅炉用水软化过程中产生废树脂，废树脂产生量为0.</w:t>
            </w:r>
            <w:r>
              <w:rPr>
                <w:rFonts w:hint="eastAsia" w:ascii="Times New Roman" w:hAnsi="Times New Roman" w:cs="Times New Roman"/>
                <w:i w:val="0"/>
                <w:iCs w:val="0"/>
                <w:color w:val="000000" w:themeColor="text1"/>
                <w:sz w:val="24"/>
                <w:u w:val="none" w:color="auto"/>
                <w:lang w:val="en-US" w:eastAsia="zh-CN"/>
                <w14:textFill>
                  <w14:solidFill>
                    <w14:schemeClr w14:val="tx1"/>
                  </w14:solidFill>
                </w14:textFill>
              </w:rPr>
              <w:t>1</w:t>
            </w:r>
            <w:r>
              <w:rPr>
                <w:rFonts w:hint="default" w:ascii="Times New Roman" w:hAnsi="Times New Roman" w:cs="Times New Roman"/>
                <w:i w:val="0"/>
                <w:iCs w:val="0"/>
                <w:color w:val="000000" w:themeColor="text1"/>
                <w:sz w:val="24"/>
                <w:u w:val="none" w:color="auto"/>
                <w14:textFill>
                  <w14:solidFill>
                    <w14:schemeClr w14:val="tx1"/>
                  </w14:solidFill>
                </w14:textFill>
              </w:rPr>
              <w:t>t/a。项</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目</w:t>
            </w:r>
            <w:r>
              <w:rPr>
                <w:rFonts w:hint="default" w:ascii="Times New Roman" w:hAnsi="Times New Roman" w:cs="Times New Roman"/>
                <w:i w:val="0"/>
                <w:iCs w:val="0"/>
                <w:color w:val="000000" w:themeColor="text1"/>
                <w:sz w:val="24"/>
                <w:u w:val="none" w:color="auto"/>
                <w14:textFill>
                  <w14:solidFill>
                    <w14:schemeClr w14:val="tx1"/>
                  </w14:solidFill>
                </w14:textFill>
              </w:rPr>
              <w:t>软化水过程中使用的树脂每年由厂家定期更换，更换的废树脂由厂家直接带走，本项且不单独存储和管理废树脂。本项且产生的废树脂为锅炉软化水过程中产生的废树脂，项目软化水原水为来自</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地下水</w:t>
            </w:r>
            <w:r>
              <w:rPr>
                <w:rFonts w:hint="default" w:ascii="Times New Roman" w:hAnsi="Times New Roman" w:cs="Times New Roman"/>
                <w:i w:val="0"/>
                <w:iCs w:val="0"/>
                <w:color w:val="000000" w:themeColor="text1"/>
                <w:sz w:val="24"/>
                <w:u w:val="none" w:color="auto"/>
                <w14:textFill>
                  <w14:solidFill>
                    <w14:schemeClr w14:val="tx1"/>
                  </w14:solidFill>
                </w14:textFill>
              </w:rPr>
              <w:t>，</w:t>
            </w:r>
            <w:r>
              <w:rPr>
                <w:rFonts w:hint="eastAsia" w:ascii="Times New Roman" w:hAnsi="Times New Roman" w:cs="Times New Roman"/>
                <w:i w:val="0"/>
                <w:iCs w:val="0"/>
                <w:color w:val="000000" w:themeColor="text1"/>
                <w:sz w:val="24"/>
                <w:u w:val="none" w:color="auto"/>
                <w:lang w:eastAsia="zh-CN"/>
                <w14:textFill>
                  <w14:solidFill>
                    <w14:schemeClr w14:val="tx1"/>
                  </w14:solidFill>
                </w14:textFill>
              </w:rPr>
              <w:t>地下水</w:t>
            </w:r>
            <w:r>
              <w:rPr>
                <w:rFonts w:hint="default" w:ascii="Times New Roman" w:hAnsi="Times New Roman" w:cs="Times New Roman"/>
                <w:i w:val="0"/>
                <w:iCs w:val="0"/>
                <w:color w:val="000000" w:themeColor="text1"/>
                <w:sz w:val="24"/>
                <w:u w:val="none" w:color="auto"/>
                <w14:textFill>
                  <w14:solidFill>
                    <w14:schemeClr w14:val="tx1"/>
                  </w14:solidFill>
                </w14:textFill>
              </w:rPr>
              <w:t>中无有毒有害物质，因此本项且产生的树脂不属于危险废物。</w:t>
            </w:r>
          </w:p>
          <w:p>
            <w:pPr>
              <w:autoSpaceDE w:val="0"/>
              <w:autoSpaceDN w:val="0"/>
              <w:spacing w:line="360" w:lineRule="auto"/>
              <w:ind w:firstLine="482" w:firstLineChars="200"/>
              <w:rPr>
                <w:rFonts w:hint="default" w:ascii="Times New Roman" w:hAnsi="Times New Roman" w:cs="Times New Roman"/>
                <w:b/>
                <w:i w:val="0"/>
                <w:iCs w:val="0"/>
                <w:color w:val="000000" w:themeColor="text1"/>
                <w:sz w:val="24"/>
                <w:u w:val="none" w:color="auto"/>
                <w14:textFill>
                  <w14:solidFill>
                    <w14:schemeClr w14:val="tx1"/>
                  </w14:solidFill>
                </w14:textFill>
              </w:rPr>
            </w:pPr>
            <w:r>
              <w:rPr>
                <w:rFonts w:hint="eastAsia" w:ascii="Times New Roman" w:hAnsi="Times New Roman" w:cs="Times New Roman"/>
                <w:b/>
                <w:i w:val="0"/>
                <w:iCs w:val="0"/>
                <w:color w:val="000000" w:themeColor="text1"/>
                <w:sz w:val="24"/>
                <w:u w:val="none" w:color="auto"/>
                <w:lang w:val="en-US" w:eastAsia="zh-CN"/>
                <w14:textFill>
                  <w14:solidFill>
                    <w14:schemeClr w14:val="tx1"/>
                  </w14:solidFill>
                </w14:textFill>
              </w:rPr>
              <w:t>5</w:t>
            </w:r>
            <w:r>
              <w:rPr>
                <w:rFonts w:hint="default" w:ascii="Times New Roman" w:hAnsi="Times New Roman" w:cs="Times New Roman"/>
                <w:b/>
                <w:i w:val="0"/>
                <w:iCs w:val="0"/>
                <w:color w:val="000000" w:themeColor="text1"/>
                <w:sz w:val="24"/>
                <w:u w:val="none" w:color="auto"/>
                <w14:textFill>
                  <w14:solidFill>
                    <w14:schemeClr w14:val="tx1"/>
                  </w14:solidFill>
                </w14:textFill>
              </w:rPr>
              <w:t>.环保投资</w:t>
            </w:r>
          </w:p>
          <w:p>
            <w:pPr>
              <w:autoSpaceDE w:val="0"/>
              <w:autoSpaceDN w:val="0"/>
              <w:spacing w:line="360" w:lineRule="auto"/>
              <w:ind w:firstLine="480" w:firstLineChars="200"/>
              <w:rPr>
                <w:rFonts w:hint="default" w:ascii="Times New Roman" w:hAnsi="Times New Roman" w:cs="Times New Roman"/>
                <w:i w:val="0"/>
                <w:iCs w:val="0"/>
                <w:color w:val="000000" w:themeColor="text1"/>
                <w:sz w:val="24"/>
                <w:u w:val="none" w:color="auto"/>
                <w14:textFill>
                  <w14:solidFill>
                    <w14:schemeClr w14:val="tx1"/>
                  </w14:solidFill>
                </w14:textFill>
              </w:rPr>
            </w:pPr>
            <w:r>
              <w:rPr>
                <w:rFonts w:hint="default" w:ascii="Times New Roman" w:hAnsi="Times New Roman" w:cs="Times New Roman"/>
                <w:i w:val="0"/>
                <w:iCs w:val="0"/>
                <w:color w:val="000000" w:themeColor="text1"/>
                <w:sz w:val="24"/>
                <w:u w:val="none" w:color="auto"/>
                <w14:textFill>
                  <w14:solidFill>
                    <w14:schemeClr w14:val="tx1"/>
                  </w14:solidFill>
                </w14:textFill>
              </w:rPr>
              <w:t>本项目环保投资一览表见下表。</w:t>
            </w:r>
          </w:p>
          <w:p>
            <w:pPr>
              <w:pStyle w:val="55"/>
              <w:spacing w:beforeLines="0" w:afterLines="0"/>
              <w:ind w:firstLine="0" w:firstLineChars="0"/>
              <w:jc w:val="center"/>
              <w:rPr>
                <w:rFonts w:hint="default" w:ascii="Times New Roman" w:hAnsi="Times New Roman" w:cs="Times New Roman"/>
                <w:b/>
                <w:i w:val="0"/>
                <w:iCs w:val="0"/>
                <w:color w:val="000000" w:themeColor="text1"/>
                <w:u w:val="none" w:color="auto"/>
                <w14:textFill>
                  <w14:solidFill>
                    <w14:schemeClr w14:val="tx1"/>
                  </w14:solidFill>
                </w14:textFill>
              </w:rPr>
            </w:pPr>
            <w:r>
              <w:rPr>
                <w:rFonts w:hint="default" w:ascii="Times New Roman" w:hAnsi="Times New Roman" w:cs="Times New Roman"/>
                <w:b/>
                <w:i w:val="0"/>
                <w:iCs w:val="0"/>
                <w:color w:val="000000" w:themeColor="text1"/>
                <w:u w:val="none" w:color="auto"/>
                <w14:textFill>
                  <w14:solidFill>
                    <w14:schemeClr w14:val="tx1"/>
                  </w14:solidFill>
                </w14:textFill>
              </w:rPr>
              <w:t>表2</w:t>
            </w:r>
            <w:r>
              <w:rPr>
                <w:rFonts w:hint="eastAsia" w:cs="Times New Roman"/>
                <w:b/>
                <w:i w:val="0"/>
                <w:iCs w:val="0"/>
                <w:color w:val="000000" w:themeColor="text1"/>
                <w:u w:val="none" w:color="auto"/>
                <w:lang w:val="en-US" w:eastAsia="zh-CN"/>
                <w14:textFill>
                  <w14:solidFill>
                    <w14:schemeClr w14:val="tx1"/>
                  </w14:solidFill>
                </w14:textFill>
              </w:rPr>
              <w:t>9</w:t>
            </w:r>
            <w:r>
              <w:rPr>
                <w:rFonts w:hint="default" w:ascii="Times New Roman" w:hAnsi="Times New Roman" w:cs="Times New Roman"/>
                <w:b/>
                <w:i w:val="0"/>
                <w:iCs w:val="0"/>
                <w:color w:val="000000" w:themeColor="text1"/>
                <w:u w:val="none" w:color="auto"/>
                <w14:textFill>
                  <w14:solidFill>
                    <w14:schemeClr w14:val="tx1"/>
                  </w14:solidFill>
                </w14:textFill>
              </w:rPr>
              <w:t xml:space="preserve">  环保投资一览表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51"/>
              <w:gridCol w:w="1355"/>
              <w:gridCol w:w="4986"/>
              <w:gridCol w:w="1090"/>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3"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时间段</w:t>
                  </w:r>
                </w:p>
              </w:tc>
              <w:tc>
                <w:tcPr>
                  <w:tcW w:w="838"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类别</w:t>
                  </w:r>
                </w:p>
              </w:tc>
              <w:tc>
                <w:tcPr>
                  <w:tcW w:w="308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治理措施</w:t>
                  </w:r>
                </w:p>
              </w:tc>
              <w:tc>
                <w:tcPr>
                  <w:tcW w:w="67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投资</w:t>
                  </w:r>
                </w:p>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（万元）</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3"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施工期</w:t>
                  </w:r>
                </w:p>
              </w:tc>
              <w:tc>
                <w:tcPr>
                  <w:tcW w:w="838"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噪声</w:t>
                  </w:r>
                </w:p>
              </w:tc>
              <w:tc>
                <w:tcPr>
                  <w:tcW w:w="308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施工机械、运输车辆的维修保养。选用低噪声施工机械、设备，安装减震垫等。</w:t>
                  </w:r>
                </w:p>
              </w:tc>
              <w:tc>
                <w:tcPr>
                  <w:tcW w:w="674" w:type="pct"/>
                  <w:vAlign w:val="center"/>
                </w:tcPr>
                <w:p>
                  <w:pPr>
                    <w:jc w:val="center"/>
                    <w:rPr>
                      <w:rFonts w:hint="eastAsia" w:ascii="Times New Roman" w:hAnsi="Times New Roman" w:eastAsia="宋体" w:cs="Times New Roman"/>
                      <w:i w:val="0"/>
                      <w:iCs w:val="0"/>
                      <w:color w:val="000000" w:themeColor="text1"/>
                      <w:u w:val="none" w:color="auto"/>
                      <w:lang w:eastAsia="zh-CN"/>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3" w:type="pct"/>
                  <w:vMerge w:val="restar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运营期</w:t>
                  </w:r>
                </w:p>
              </w:tc>
              <w:tc>
                <w:tcPr>
                  <w:tcW w:w="838"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噪声</w:t>
                  </w:r>
                </w:p>
              </w:tc>
              <w:tc>
                <w:tcPr>
                  <w:tcW w:w="308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安装减震</w:t>
                  </w:r>
                  <w:bookmarkStart w:id="18" w:name="_GoBack"/>
                  <w:bookmarkEnd w:id="18"/>
                  <w:r>
                    <w:rPr>
                      <w:rFonts w:hint="default" w:ascii="Times New Roman" w:hAnsi="Times New Roman" w:cs="Times New Roman"/>
                      <w:i w:val="0"/>
                      <w:iCs w:val="0"/>
                      <w:color w:val="000000" w:themeColor="text1"/>
                      <w:u w:val="none" w:color="auto"/>
                      <w14:textFill>
                        <w14:solidFill>
                          <w14:schemeClr w14:val="tx1"/>
                        </w14:solidFill>
                      </w14:textFill>
                    </w:rPr>
                    <w:t>垫等。</w:t>
                  </w:r>
                </w:p>
              </w:tc>
              <w:tc>
                <w:tcPr>
                  <w:tcW w:w="674" w:type="pct"/>
                  <w:vAlign w:val="center"/>
                </w:tcPr>
                <w:p>
                  <w:pPr>
                    <w:jc w:val="center"/>
                    <w:rPr>
                      <w:rFonts w:hint="eastAsia" w:ascii="Times New Roman" w:hAnsi="Times New Roman" w:eastAsia="宋体" w:cs="Times New Roman"/>
                      <w:i w:val="0"/>
                      <w:iCs w:val="0"/>
                      <w:color w:val="000000" w:themeColor="text1"/>
                      <w:u w:val="none" w:color="auto"/>
                      <w:lang w:eastAsia="zh-CN"/>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3" w:type="pct"/>
                  <w:vMerge w:val="continue"/>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p>
              </w:tc>
              <w:tc>
                <w:tcPr>
                  <w:tcW w:w="838"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废气</w:t>
                  </w:r>
                </w:p>
              </w:tc>
              <w:tc>
                <w:tcPr>
                  <w:tcW w:w="308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3台</w:t>
                  </w:r>
                  <w:r>
                    <w:rPr>
                      <w:rFonts w:hint="default" w:ascii="Times New Roman" w:hAnsi="Times New Roman" w:cs="Times New Roman"/>
                      <w:i w:val="0"/>
                      <w:iCs w:val="0"/>
                      <w:color w:val="000000" w:themeColor="text1"/>
                      <w:u w:val="none" w:color="auto"/>
                      <w14:textFill>
                        <w14:solidFill>
                          <w14:schemeClr w14:val="tx1"/>
                        </w14:solidFill>
                      </w14:textFill>
                    </w:rPr>
                    <w:t>布袋除尘器，</w:t>
                  </w: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3</w:t>
                  </w:r>
                  <w:r>
                    <w:rPr>
                      <w:rFonts w:hint="default" w:ascii="Times New Roman" w:hAnsi="Times New Roman" w:cs="Times New Roman"/>
                      <w:i w:val="0"/>
                      <w:iCs w:val="0"/>
                      <w:color w:val="000000" w:themeColor="text1"/>
                      <w:u w:val="none" w:color="auto"/>
                      <w14:textFill>
                        <w14:solidFill>
                          <w14:schemeClr w14:val="tx1"/>
                        </w14:solidFill>
                      </w14:textFill>
                    </w:rPr>
                    <w:t>根35m的排气筒。</w:t>
                  </w:r>
                </w:p>
              </w:tc>
              <w:tc>
                <w:tcPr>
                  <w:tcW w:w="674" w:type="pct"/>
                  <w:vAlign w:val="center"/>
                </w:tcPr>
                <w:p>
                  <w:pPr>
                    <w:jc w:val="center"/>
                    <w:rPr>
                      <w:rFonts w:hint="default" w:ascii="Times New Roman" w:hAnsi="Times New Roman" w:eastAsia="宋体" w:cs="Times New Roman"/>
                      <w:i w:val="0"/>
                      <w:iCs w:val="0"/>
                      <w:color w:val="000000" w:themeColor="text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30</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3" w:type="pct"/>
                  <w:vMerge w:val="continue"/>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p>
              </w:tc>
              <w:tc>
                <w:tcPr>
                  <w:tcW w:w="838"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固体废物</w:t>
                  </w:r>
                </w:p>
              </w:tc>
              <w:tc>
                <w:tcPr>
                  <w:tcW w:w="3084" w:type="pct"/>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eastAsia" w:ascii="Times New Roman" w:hAnsi="Times New Roman" w:cs="Times New Roman"/>
                      <w:i w:val="0"/>
                      <w:iCs w:val="0"/>
                      <w:color w:val="000000" w:themeColor="text1"/>
                      <w:highlight w:val="none"/>
                      <w:u w:val="none" w:color="auto"/>
                      <w:lang w:eastAsia="zh-CN"/>
                      <w14:textFill>
                        <w14:solidFill>
                          <w14:schemeClr w14:val="tx1"/>
                        </w14:solidFill>
                      </w14:textFill>
                    </w:rPr>
                    <w:t>灰渣堆场</w:t>
                  </w:r>
                </w:p>
              </w:tc>
              <w:tc>
                <w:tcPr>
                  <w:tcW w:w="674" w:type="pct"/>
                  <w:vAlign w:val="center"/>
                </w:tcPr>
                <w:p>
                  <w:pPr>
                    <w:jc w:val="center"/>
                    <w:rPr>
                      <w:rFonts w:hint="eastAsia" w:ascii="Times New Roman" w:hAnsi="Times New Roman" w:eastAsia="宋体" w:cs="Times New Roman"/>
                      <w:i w:val="0"/>
                      <w:iCs w:val="0"/>
                      <w:color w:val="000000" w:themeColor="text1"/>
                      <w:u w:val="none" w:color="auto"/>
                      <w:lang w:eastAsia="zh-CN"/>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9</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325" w:type="pct"/>
                  <w:gridSpan w:val="3"/>
                  <w:vAlign w:val="center"/>
                </w:tcPr>
                <w:p>
                  <w:pPr>
                    <w:jc w:val="center"/>
                    <w:rPr>
                      <w:rFonts w:hint="default" w:ascii="Times New Roman" w:hAnsi="Times New Roman" w:cs="Times New Roman"/>
                      <w:i w:val="0"/>
                      <w:iCs w:val="0"/>
                      <w:color w:val="000000" w:themeColor="text1"/>
                      <w:u w:val="none" w:color="auto"/>
                      <w14:textFill>
                        <w14:solidFill>
                          <w14:schemeClr w14:val="tx1"/>
                        </w14:solidFill>
                      </w14:textFill>
                    </w:rPr>
                  </w:pPr>
                  <w:r>
                    <w:rPr>
                      <w:rFonts w:hint="default" w:ascii="Times New Roman" w:hAnsi="Times New Roman" w:cs="Times New Roman"/>
                      <w:i w:val="0"/>
                      <w:iCs w:val="0"/>
                      <w:color w:val="000000" w:themeColor="text1"/>
                      <w:u w:val="none" w:color="auto"/>
                      <w14:textFill>
                        <w14:solidFill>
                          <w14:schemeClr w14:val="tx1"/>
                        </w14:solidFill>
                      </w14:textFill>
                    </w:rPr>
                    <w:t>合计</w:t>
                  </w:r>
                </w:p>
              </w:tc>
              <w:tc>
                <w:tcPr>
                  <w:tcW w:w="674" w:type="pct"/>
                  <w:vAlign w:val="center"/>
                </w:tcPr>
                <w:p>
                  <w:pPr>
                    <w:jc w:val="center"/>
                    <w:rPr>
                      <w:rFonts w:hint="default" w:ascii="Times New Roman" w:hAnsi="Times New Roman" w:eastAsia="宋体" w:cs="Times New Roman"/>
                      <w:i w:val="0"/>
                      <w:iCs w:val="0"/>
                      <w:color w:val="000000" w:themeColor="text1"/>
                      <w:u w:val="none" w:color="auto"/>
                      <w:lang w:val="en-US" w:eastAsia="zh-CN"/>
                      <w14:textFill>
                        <w14:solidFill>
                          <w14:schemeClr w14:val="tx1"/>
                        </w14:solidFill>
                      </w14:textFill>
                    </w:rPr>
                  </w:pPr>
                  <w:r>
                    <w:rPr>
                      <w:rFonts w:hint="eastAsia" w:ascii="Times New Roman" w:hAnsi="Times New Roman" w:cs="Times New Roman"/>
                      <w:i w:val="0"/>
                      <w:iCs w:val="0"/>
                      <w:color w:val="000000" w:themeColor="text1"/>
                      <w:u w:val="none" w:color="auto"/>
                      <w:lang w:val="en-US" w:eastAsia="zh-CN"/>
                      <w14:textFill>
                        <w14:solidFill>
                          <w14:schemeClr w14:val="tx1"/>
                        </w14:solidFill>
                      </w14:textFill>
                    </w:rPr>
                    <w:t>43</w:t>
                  </w:r>
                </w:p>
              </w:tc>
            </w:tr>
          </w:tbl>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pStyle w:val="24"/>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rPr>
                <w:rFonts w:hint="default"/>
                <w:i w:val="0"/>
                <w:iCs w:val="0"/>
                <w:u w:val="none" w:color="auto"/>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p>
            <w:pPr>
              <w:autoSpaceDE w:val="0"/>
              <w:autoSpaceDN w:val="0"/>
              <w:spacing w:line="360" w:lineRule="auto"/>
              <w:ind w:firstLine="420" w:firstLineChars="200"/>
              <w:rPr>
                <w:rFonts w:hint="default" w:ascii="Times New Roman" w:hAnsi="Times New Roman" w:cs="Times New Roman"/>
                <w:bCs/>
                <w:i w:val="0"/>
                <w:iCs w:val="0"/>
                <w:color w:val="000000" w:themeColor="text1"/>
                <w:kern w:val="21"/>
                <w:szCs w:val="21"/>
                <w:u w:val="none" w:color="auto"/>
                <w14:textFill>
                  <w14:solidFill>
                    <w14:schemeClr w14:val="tx1"/>
                  </w14:solidFill>
                </w14:textFill>
              </w:rPr>
            </w:pPr>
          </w:p>
        </w:tc>
      </w:tr>
    </w:tbl>
    <w:p>
      <w:pPr>
        <w:adjustRightInd w:val="0"/>
        <w:snapToGrid w:val="0"/>
        <w:spacing w:line="360" w:lineRule="auto"/>
        <w:rPr>
          <w:rFonts w:ascii="Times New Roman" w:hAnsi="Times New Roman" w:cs="宋体"/>
          <w:b/>
          <w:i w:val="0"/>
          <w:iCs w:val="0"/>
          <w:color w:val="000000" w:themeColor="text1"/>
          <w:kern w:val="21"/>
          <w:sz w:val="28"/>
          <w:szCs w:val="28"/>
          <w:u w:val="none" w:color="auto"/>
          <w14:textFill>
            <w14:solidFill>
              <w14:schemeClr w14:val="tx1"/>
            </w14:solidFill>
          </w14:textFill>
        </w:rPr>
        <w:sectPr>
          <w:pgSz w:w="11907" w:h="16840"/>
          <w:pgMar w:top="1418" w:right="1418" w:bottom="1418" w:left="1701" w:header="851" w:footer="851" w:gutter="0"/>
          <w:cols w:space="720" w:num="1"/>
          <w:docGrid w:linePitch="312" w:charSpace="0"/>
        </w:sectPr>
      </w:pPr>
    </w:p>
    <w:p>
      <w:pPr>
        <w:pStyle w:val="16"/>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五、</w:t>
      </w:r>
      <w:bookmarkStart w:id="17" w:name="_Hlk54167917"/>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环境保护措施监督检查清单</w:t>
      </w:r>
      <w:bookmarkEnd w:id="17"/>
    </w:p>
    <w:tbl>
      <w:tblPr>
        <w:tblStyle w:val="18"/>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96"/>
        <w:gridCol w:w="1696"/>
        <w:gridCol w:w="1552"/>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tcBorders>
              <w:tl2br w:val="single" w:color="auto" w:sz="4" w:space="0"/>
            </w:tcBorders>
          </w:tcPr>
          <w:p>
            <w:pPr>
              <w:adjustRightInd w:val="0"/>
              <w:snapToGrid w:val="0"/>
              <w:ind w:firstLine="840"/>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内容</w:t>
            </w: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要素</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排放口(编号、</w:t>
            </w:r>
          </w:p>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名称)/污染源</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污染物项目</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环境保护措施</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restart"/>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大气环境</w:t>
            </w:r>
          </w:p>
        </w:tc>
        <w:tc>
          <w:tcPr>
            <w:tcW w:w="1696" w:type="dxa"/>
            <w:vAlign w:val="center"/>
          </w:tcPr>
          <w:p>
            <w:pPr>
              <w:pStyle w:val="57"/>
              <w:rPr>
                <w:rFonts w:ascii="Times New Roman" w:hAnsi="Times New Roman"/>
                <w:i/>
                <w:iCs/>
                <w:color w:val="000000" w:themeColor="text1"/>
                <w:u w:val="single" w:color="auto"/>
                <w14:textFill>
                  <w14:solidFill>
                    <w14:schemeClr w14:val="tx1"/>
                  </w14:solidFill>
                </w14:textFill>
              </w:rPr>
            </w:pPr>
            <w:r>
              <w:rPr>
                <w:rFonts w:hint="eastAsia" w:ascii="Times New Roman" w:hAnsi="Times New Roman"/>
                <w:i/>
                <w:iCs/>
                <w:color w:val="000000" w:themeColor="text1"/>
                <w:u w:val="single" w:color="auto"/>
                <w14:textFill>
                  <w14:solidFill>
                    <w14:schemeClr w14:val="tx1"/>
                  </w14:solidFill>
                </w14:textFill>
              </w:rPr>
              <w:t>DA001</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t>SO</w:t>
            </w:r>
            <w:r>
              <w:rPr>
                <w:rFonts w:ascii="Times New Roman" w:hAnsi="Times New Roman" w:cs="宋体"/>
                <w:i/>
                <w:iCs/>
                <w:color w:val="000000" w:themeColor="text1"/>
                <w:kern w:val="21"/>
                <w:szCs w:val="21"/>
                <w:u w:val="single" w:color="auto"/>
                <w:vertAlign w:val="subscript"/>
                <w14:textFill>
                  <w14:solidFill>
                    <w14:schemeClr w14:val="tx1"/>
                  </w14:solidFill>
                </w14:textFill>
              </w:rPr>
              <w:t>2</w:t>
            </w:r>
            <w:r>
              <w:rPr>
                <w:rFonts w:hint="eastAsia" w:ascii="Times New Roman" w:hAnsi="Times New Roman" w:cs="宋体"/>
                <w:i/>
                <w:iCs/>
                <w:color w:val="000000" w:themeColor="text1"/>
                <w:kern w:val="21"/>
                <w:szCs w:val="21"/>
                <w:u w:val="single" w:color="auto"/>
                <w14:textFill>
                  <w14:solidFill>
                    <w14:schemeClr w14:val="tx1"/>
                  </w14:solidFill>
                </w14:textFill>
              </w:rPr>
              <w:t>、颗粒物、</w:t>
            </w:r>
            <w:r>
              <w:rPr>
                <w:rFonts w:ascii="Times New Roman" w:hAnsi="Times New Roman" w:cs="宋体"/>
                <w:i/>
                <w:iCs/>
                <w:color w:val="000000" w:themeColor="text1"/>
                <w:kern w:val="21"/>
                <w:szCs w:val="21"/>
                <w:u w:val="single" w:color="auto"/>
                <w14:textFill>
                  <w14:solidFill>
                    <w14:schemeClr w14:val="tx1"/>
                  </w14:solidFill>
                </w14:textFill>
              </w:rPr>
              <w:t>NOx</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布袋除尘器处理后，经35</w:t>
            </w:r>
            <w:r>
              <w:rPr>
                <w:rFonts w:ascii="Times New Roman" w:hAnsi="Times New Roman" w:cs="宋体"/>
                <w:i/>
                <w:iCs/>
                <w:color w:val="000000" w:themeColor="text1"/>
                <w:kern w:val="21"/>
                <w:szCs w:val="21"/>
                <w:u w:val="single" w:color="auto"/>
                <w14:textFill>
                  <w14:solidFill>
                    <w14:schemeClr w14:val="tx1"/>
                  </w14:solidFill>
                </w14:textFill>
              </w:rPr>
              <w:t>m</w:t>
            </w:r>
            <w:r>
              <w:rPr>
                <w:rFonts w:hint="eastAsia" w:ascii="Times New Roman" w:hAnsi="Times New Roman" w:cs="宋体"/>
                <w:i/>
                <w:iCs/>
                <w:color w:val="000000" w:themeColor="text1"/>
                <w:kern w:val="21"/>
                <w:szCs w:val="21"/>
                <w:u w:val="single" w:color="auto"/>
                <w14:textFill>
                  <w14:solidFill>
                    <w14:schemeClr w14:val="tx1"/>
                  </w14:solidFill>
                </w14:textFill>
              </w:rPr>
              <w:t>的排气筒排放。</w:t>
            </w:r>
          </w:p>
        </w:tc>
        <w:tc>
          <w:tcPr>
            <w:tcW w:w="1842" w:type="dxa"/>
            <w:vAlign w:val="center"/>
          </w:tcPr>
          <w:p>
            <w:pPr>
              <w:pStyle w:val="57"/>
              <w:rPr>
                <w:rFonts w:ascii="Times New Roman" w:hAnsi="Times New Roman" w:cs="宋体"/>
                <w:i/>
                <w:iCs/>
                <w:color w:val="000000" w:themeColor="text1"/>
                <w:kern w:val="21"/>
                <w:u w:val="single" w:color="auto"/>
                <w14:textFill>
                  <w14:solidFill>
                    <w14:schemeClr w14:val="tx1"/>
                  </w14:solidFill>
                </w14:textFill>
              </w:rPr>
            </w:pPr>
            <w:r>
              <w:rPr>
                <w:rFonts w:ascii="Times New Roman" w:hAnsi="Times New Roman"/>
                <w:i/>
                <w:iCs/>
                <w:color w:val="000000" w:themeColor="text1"/>
                <w:u w:val="single" w:color="auto"/>
                <w14:textFill>
                  <w14:solidFill>
                    <w14:schemeClr w14:val="tx1"/>
                  </w14:solidFill>
                </w14:textFill>
              </w:rPr>
              <w:t>《锅炉大气污染物排放标准》</w:t>
            </w:r>
            <w:r>
              <w:rPr>
                <w:rFonts w:hint="eastAsia" w:ascii="Times New Roman" w:hAnsi="Times New Roman"/>
                <w:i/>
                <w:iCs/>
                <w:color w:val="000000" w:themeColor="text1"/>
                <w:u w:val="single" w:color="auto"/>
                <w14:textFill>
                  <w14:solidFill>
                    <w14:schemeClr w14:val="tx1"/>
                  </w14:solidFill>
                </w14:textFill>
              </w:rPr>
              <w:t>（</w:t>
            </w:r>
            <w:r>
              <w:rPr>
                <w:rFonts w:ascii="Times New Roman" w:hAnsi="Times New Roman"/>
                <w:i/>
                <w:iCs/>
                <w:color w:val="000000" w:themeColor="text1"/>
                <w:u w:val="single" w:color="auto"/>
                <w14:textFill>
                  <w14:solidFill>
                    <w14:schemeClr w14:val="tx1"/>
                  </w14:solidFill>
                </w14:textFill>
              </w:rPr>
              <w:t>GB13271-2014</w:t>
            </w:r>
            <w:r>
              <w:rPr>
                <w:rFonts w:hint="eastAsia" w:ascii="Times New Roman" w:hAnsi="Times New Roman"/>
                <w:i/>
                <w:iCs/>
                <w:color w:val="000000" w:themeColor="text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p>
        </w:tc>
        <w:tc>
          <w:tcPr>
            <w:tcW w:w="1696" w:type="dxa"/>
            <w:vAlign w:val="center"/>
          </w:tcPr>
          <w:p>
            <w:pPr>
              <w:jc w:val="center"/>
              <w:rPr>
                <w:rFonts w:hint="eastAsia" w:ascii="Times New Roman" w:hAnsi="Times New Roman" w:eastAsia="宋体"/>
                <w:i/>
                <w:iCs/>
                <w:color w:val="000000" w:themeColor="text1"/>
                <w:u w:val="single" w:color="auto"/>
                <w:lang w:eastAsia="zh-CN"/>
                <w14:textFill>
                  <w14:solidFill>
                    <w14:schemeClr w14:val="tx1"/>
                  </w14:solidFill>
                </w14:textFill>
              </w:rPr>
            </w:pPr>
            <w:r>
              <w:rPr>
                <w:rFonts w:hint="eastAsia" w:ascii="Times New Roman" w:hAnsi="Times New Roman"/>
                <w:i/>
                <w:iCs/>
                <w:color w:val="000000" w:themeColor="text1"/>
                <w:u w:val="single" w:color="auto"/>
                <w14:textFill>
                  <w14:solidFill>
                    <w14:schemeClr w14:val="tx1"/>
                  </w14:solidFill>
                </w14:textFill>
              </w:rPr>
              <w:t>DA00</w:t>
            </w:r>
            <w:r>
              <w:rPr>
                <w:rFonts w:hint="eastAsia" w:ascii="Times New Roman" w:hAnsi="Times New Roman"/>
                <w:i/>
                <w:iCs/>
                <w:color w:val="000000" w:themeColor="text1"/>
                <w:u w:val="single" w:color="auto"/>
                <w:lang w:val="en-US" w:eastAsia="zh-CN"/>
                <w14:textFill>
                  <w14:solidFill>
                    <w14:schemeClr w14:val="tx1"/>
                  </w14:solidFill>
                </w14:textFill>
              </w:rPr>
              <w:t>2</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t>SO</w:t>
            </w:r>
            <w:r>
              <w:rPr>
                <w:rFonts w:ascii="Times New Roman" w:hAnsi="Times New Roman" w:cs="宋体"/>
                <w:i/>
                <w:iCs/>
                <w:color w:val="000000" w:themeColor="text1"/>
                <w:kern w:val="21"/>
                <w:szCs w:val="21"/>
                <w:u w:val="single" w:color="auto"/>
                <w:vertAlign w:val="subscript"/>
                <w14:textFill>
                  <w14:solidFill>
                    <w14:schemeClr w14:val="tx1"/>
                  </w14:solidFill>
                </w14:textFill>
              </w:rPr>
              <w:t>2</w:t>
            </w:r>
            <w:r>
              <w:rPr>
                <w:rFonts w:hint="eastAsia" w:ascii="Times New Roman" w:hAnsi="Times New Roman" w:cs="宋体"/>
                <w:i/>
                <w:iCs/>
                <w:color w:val="000000" w:themeColor="text1"/>
                <w:kern w:val="21"/>
                <w:szCs w:val="21"/>
                <w:u w:val="single" w:color="auto"/>
                <w14:textFill>
                  <w14:solidFill>
                    <w14:schemeClr w14:val="tx1"/>
                  </w14:solidFill>
                </w14:textFill>
              </w:rPr>
              <w:t>、颗粒物、</w:t>
            </w:r>
            <w:r>
              <w:rPr>
                <w:rFonts w:ascii="Times New Roman" w:hAnsi="Times New Roman" w:cs="宋体"/>
                <w:i/>
                <w:iCs/>
                <w:color w:val="000000" w:themeColor="text1"/>
                <w:kern w:val="21"/>
                <w:szCs w:val="21"/>
                <w:u w:val="single" w:color="auto"/>
                <w14:textFill>
                  <w14:solidFill>
                    <w14:schemeClr w14:val="tx1"/>
                  </w14:solidFill>
                </w14:textFill>
              </w:rPr>
              <w:t>NOx</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布袋除尘器处理后，经35</w:t>
            </w:r>
            <w:r>
              <w:rPr>
                <w:rFonts w:ascii="Times New Roman" w:hAnsi="Times New Roman" w:cs="宋体"/>
                <w:i/>
                <w:iCs/>
                <w:color w:val="000000" w:themeColor="text1"/>
                <w:kern w:val="21"/>
                <w:szCs w:val="21"/>
                <w:u w:val="single" w:color="auto"/>
                <w14:textFill>
                  <w14:solidFill>
                    <w14:schemeClr w14:val="tx1"/>
                  </w14:solidFill>
                </w14:textFill>
              </w:rPr>
              <w:t>m</w:t>
            </w:r>
            <w:r>
              <w:rPr>
                <w:rFonts w:hint="eastAsia" w:ascii="Times New Roman" w:hAnsi="Times New Roman" w:cs="宋体"/>
                <w:i/>
                <w:iCs/>
                <w:color w:val="000000" w:themeColor="text1"/>
                <w:kern w:val="21"/>
                <w:szCs w:val="21"/>
                <w:u w:val="single" w:color="auto"/>
                <w14:textFill>
                  <w14:solidFill>
                    <w14:schemeClr w14:val="tx1"/>
                  </w14:solidFill>
                </w14:textFill>
              </w:rPr>
              <w:t>的排气筒排放。</w:t>
            </w:r>
          </w:p>
        </w:tc>
        <w:tc>
          <w:tcPr>
            <w:tcW w:w="1842" w:type="dxa"/>
            <w:vAlign w:val="center"/>
          </w:tcPr>
          <w:p>
            <w:pPr>
              <w:pStyle w:val="57"/>
              <w:ind w:firstLine="0" w:firstLineChars="0"/>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i/>
                <w:iCs/>
                <w:color w:val="000000" w:themeColor="text1"/>
                <w:u w:val="single" w:color="auto"/>
                <w14:textFill>
                  <w14:solidFill>
                    <w14:schemeClr w14:val="tx1"/>
                  </w14:solidFill>
                </w14:textFill>
              </w:rPr>
              <w:t>《锅炉大气污染物排放标准》</w:t>
            </w:r>
            <w:r>
              <w:rPr>
                <w:rFonts w:hint="eastAsia" w:ascii="Times New Roman" w:hAnsi="Times New Roman"/>
                <w:i/>
                <w:iCs/>
                <w:color w:val="000000" w:themeColor="text1"/>
                <w:u w:val="single" w:color="auto"/>
                <w14:textFill>
                  <w14:solidFill>
                    <w14:schemeClr w14:val="tx1"/>
                  </w14:solidFill>
                </w14:textFill>
              </w:rPr>
              <w:t>（</w:t>
            </w:r>
            <w:r>
              <w:rPr>
                <w:rFonts w:ascii="Times New Roman" w:hAnsi="Times New Roman"/>
                <w:i/>
                <w:iCs/>
                <w:color w:val="000000" w:themeColor="text1"/>
                <w:u w:val="single" w:color="auto"/>
                <w14:textFill>
                  <w14:solidFill>
                    <w14:schemeClr w14:val="tx1"/>
                  </w14:solidFill>
                </w14:textFill>
              </w:rPr>
              <w:t>GB13271-2014</w:t>
            </w:r>
            <w:r>
              <w:rPr>
                <w:rFonts w:hint="eastAsia" w:ascii="Times New Roman" w:hAnsi="Times New Roman"/>
                <w:i/>
                <w:iCs/>
                <w:color w:val="000000" w:themeColor="text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p>
        </w:tc>
        <w:tc>
          <w:tcPr>
            <w:tcW w:w="1696" w:type="dxa"/>
            <w:vAlign w:val="center"/>
          </w:tcPr>
          <w:p>
            <w:pPr>
              <w:jc w:val="center"/>
              <w:rPr>
                <w:rFonts w:hint="eastAsia" w:ascii="Times New Roman" w:hAnsi="Times New Roman" w:eastAsia="宋体"/>
                <w:i/>
                <w:iCs/>
                <w:color w:val="000000" w:themeColor="text1"/>
                <w:u w:val="single" w:color="auto"/>
                <w:lang w:eastAsia="zh-CN"/>
                <w14:textFill>
                  <w14:solidFill>
                    <w14:schemeClr w14:val="tx1"/>
                  </w14:solidFill>
                </w14:textFill>
              </w:rPr>
            </w:pPr>
            <w:r>
              <w:rPr>
                <w:rFonts w:hint="eastAsia" w:ascii="Times New Roman" w:hAnsi="Times New Roman"/>
                <w:i/>
                <w:iCs/>
                <w:color w:val="000000" w:themeColor="text1"/>
                <w:u w:val="single" w:color="auto"/>
                <w14:textFill>
                  <w14:solidFill>
                    <w14:schemeClr w14:val="tx1"/>
                  </w14:solidFill>
                </w14:textFill>
              </w:rPr>
              <w:t>DA00</w:t>
            </w:r>
            <w:r>
              <w:rPr>
                <w:rFonts w:hint="eastAsia" w:ascii="Times New Roman" w:hAnsi="Times New Roman"/>
                <w:i/>
                <w:iCs/>
                <w:color w:val="000000" w:themeColor="text1"/>
                <w:u w:val="single" w:color="auto"/>
                <w:lang w:val="en-US" w:eastAsia="zh-CN"/>
                <w14:textFill>
                  <w14:solidFill>
                    <w14:schemeClr w14:val="tx1"/>
                  </w14:solidFill>
                </w14:textFill>
              </w:rPr>
              <w:t>3</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t>SO</w:t>
            </w:r>
            <w:r>
              <w:rPr>
                <w:rFonts w:ascii="Times New Roman" w:hAnsi="Times New Roman" w:cs="宋体"/>
                <w:i/>
                <w:iCs/>
                <w:color w:val="000000" w:themeColor="text1"/>
                <w:kern w:val="21"/>
                <w:szCs w:val="21"/>
                <w:u w:val="single" w:color="auto"/>
                <w:vertAlign w:val="subscript"/>
                <w14:textFill>
                  <w14:solidFill>
                    <w14:schemeClr w14:val="tx1"/>
                  </w14:solidFill>
                </w14:textFill>
              </w:rPr>
              <w:t>2</w:t>
            </w:r>
            <w:r>
              <w:rPr>
                <w:rFonts w:hint="eastAsia" w:ascii="Times New Roman" w:hAnsi="Times New Roman" w:cs="宋体"/>
                <w:i/>
                <w:iCs/>
                <w:color w:val="000000" w:themeColor="text1"/>
                <w:kern w:val="21"/>
                <w:szCs w:val="21"/>
                <w:u w:val="single" w:color="auto"/>
                <w14:textFill>
                  <w14:solidFill>
                    <w14:schemeClr w14:val="tx1"/>
                  </w14:solidFill>
                </w14:textFill>
              </w:rPr>
              <w:t>、颗粒物、</w:t>
            </w:r>
            <w:r>
              <w:rPr>
                <w:rFonts w:ascii="Times New Roman" w:hAnsi="Times New Roman" w:cs="宋体"/>
                <w:i/>
                <w:iCs/>
                <w:color w:val="000000" w:themeColor="text1"/>
                <w:kern w:val="21"/>
                <w:szCs w:val="21"/>
                <w:u w:val="single" w:color="auto"/>
                <w14:textFill>
                  <w14:solidFill>
                    <w14:schemeClr w14:val="tx1"/>
                  </w14:solidFill>
                </w14:textFill>
              </w:rPr>
              <w:t>NOx</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布袋除尘器处理后，经35</w:t>
            </w:r>
            <w:r>
              <w:rPr>
                <w:rFonts w:ascii="Times New Roman" w:hAnsi="Times New Roman" w:cs="宋体"/>
                <w:i/>
                <w:iCs/>
                <w:color w:val="000000" w:themeColor="text1"/>
                <w:kern w:val="21"/>
                <w:szCs w:val="21"/>
                <w:u w:val="single" w:color="auto"/>
                <w14:textFill>
                  <w14:solidFill>
                    <w14:schemeClr w14:val="tx1"/>
                  </w14:solidFill>
                </w14:textFill>
              </w:rPr>
              <w:t>m</w:t>
            </w:r>
            <w:r>
              <w:rPr>
                <w:rFonts w:hint="eastAsia" w:ascii="Times New Roman" w:hAnsi="Times New Roman" w:cs="宋体"/>
                <w:i/>
                <w:iCs/>
                <w:color w:val="000000" w:themeColor="text1"/>
                <w:kern w:val="21"/>
                <w:szCs w:val="21"/>
                <w:u w:val="single" w:color="auto"/>
                <w14:textFill>
                  <w14:solidFill>
                    <w14:schemeClr w14:val="tx1"/>
                  </w14:solidFill>
                </w14:textFill>
              </w:rPr>
              <w:t>的排气筒排放。</w:t>
            </w:r>
          </w:p>
        </w:tc>
        <w:tc>
          <w:tcPr>
            <w:tcW w:w="1842" w:type="dxa"/>
            <w:vAlign w:val="center"/>
          </w:tcPr>
          <w:p>
            <w:pPr>
              <w:pStyle w:val="57"/>
              <w:ind w:firstLine="0" w:firstLineChars="0"/>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i/>
                <w:iCs/>
                <w:color w:val="000000" w:themeColor="text1"/>
                <w:u w:val="single" w:color="auto"/>
                <w14:textFill>
                  <w14:solidFill>
                    <w14:schemeClr w14:val="tx1"/>
                  </w14:solidFill>
                </w14:textFill>
              </w:rPr>
              <w:t>《锅炉大气污染物排放标准》</w:t>
            </w:r>
            <w:r>
              <w:rPr>
                <w:rFonts w:hint="eastAsia" w:ascii="Times New Roman" w:hAnsi="Times New Roman"/>
                <w:i/>
                <w:iCs/>
                <w:color w:val="000000" w:themeColor="text1"/>
                <w:u w:val="single" w:color="auto"/>
                <w14:textFill>
                  <w14:solidFill>
                    <w14:schemeClr w14:val="tx1"/>
                  </w14:solidFill>
                </w14:textFill>
              </w:rPr>
              <w:t>（</w:t>
            </w:r>
            <w:r>
              <w:rPr>
                <w:rFonts w:ascii="Times New Roman" w:hAnsi="Times New Roman"/>
                <w:i/>
                <w:iCs/>
                <w:color w:val="000000" w:themeColor="text1"/>
                <w:u w:val="single" w:color="auto"/>
                <w14:textFill>
                  <w14:solidFill>
                    <w14:schemeClr w14:val="tx1"/>
                  </w14:solidFill>
                </w14:textFill>
              </w:rPr>
              <w:t>GB13271-2014</w:t>
            </w:r>
            <w:r>
              <w:rPr>
                <w:rFonts w:hint="eastAsia" w:ascii="Times New Roman" w:hAnsi="Times New Roman"/>
                <w:i/>
                <w:iCs/>
                <w:color w:val="000000" w:themeColor="text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18" w:type="dxa"/>
            <w:vMerge w:val="restart"/>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地表水环境</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锅炉排水</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t>COD</w:t>
            </w:r>
            <w:r>
              <w:rPr>
                <w:rFonts w:hint="eastAsia" w:ascii="Times New Roman" w:hAnsi="Times New Roman" w:cs="宋体"/>
                <w:i/>
                <w:iCs/>
                <w:color w:val="000000" w:themeColor="text1"/>
                <w:kern w:val="21"/>
                <w:szCs w:val="21"/>
                <w:u w:val="single" w:color="auto"/>
                <w14:textFill>
                  <w14:solidFill>
                    <w14:schemeClr w14:val="tx1"/>
                  </w14:solidFill>
                </w14:textFill>
              </w:rPr>
              <w:t>、</w:t>
            </w:r>
            <w:r>
              <w:rPr>
                <w:rFonts w:ascii="Times New Roman" w:hAnsi="Times New Roman" w:cs="宋体"/>
                <w:i/>
                <w:iCs/>
                <w:color w:val="000000" w:themeColor="text1"/>
                <w:kern w:val="21"/>
                <w:szCs w:val="21"/>
                <w:u w:val="single" w:color="auto"/>
                <w14:textFill>
                  <w14:solidFill>
                    <w14:schemeClr w14:val="tx1"/>
                  </w14:solidFill>
                </w14:textFill>
              </w:rPr>
              <w:t>SS</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lang w:val="en-US" w:eastAsia="zh-CN"/>
                <w14:textFill>
                  <w14:solidFill>
                    <w14:schemeClr w14:val="tx1"/>
                  </w14:solidFill>
                </w14:textFill>
              </w:rPr>
              <w:t>锅炉排水排入各厂区防渗化粪池内（150m</w:t>
            </w:r>
            <w:r>
              <w:rPr>
                <w:rFonts w:hint="eastAsia" w:ascii="Times New Roman" w:hAnsi="Times New Roman" w:cs="宋体"/>
                <w:i/>
                <w:iCs/>
                <w:color w:val="000000" w:themeColor="text1"/>
                <w:kern w:val="21"/>
                <w:szCs w:val="21"/>
                <w:u w:val="single" w:color="auto"/>
                <w:vertAlign w:val="superscript"/>
                <w:lang w:val="en-US" w:eastAsia="zh-CN"/>
                <w14:textFill>
                  <w14:solidFill>
                    <w14:schemeClr w14:val="tx1"/>
                  </w14:solidFill>
                </w14:textFill>
              </w:rPr>
              <w:t>3</w:t>
            </w:r>
            <w:r>
              <w:rPr>
                <w:rFonts w:hint="eastAsia" w:ascii="Times New Roman" w:hAnsi="Times New Roman" w:cs="宋体"/>
                <w:i/>
                <w:iCs/>
                <w:color w:val="000000" w:themeColor="text1"/>
                <w:kern w:val="21"/>
                <w:szCs w:val="21"/>
                <w:u w:val="single" w:color="auto"/>
                <w:lang w:val="en-US" w:eastAsia="zh-CN"/>
                <w14:textFill>
                  <w14:solidFill>
                    <w14:schemeClr w14:val="tx1"/>
                  </w14:solidFill>
                </w14:textFill>
              </w:rPr>
              <w:t>），定期清运至江源区污水处理厂处理</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18" w:type="dxa"/>
            <w:vMerge w:val="continue"/>
            <w:vAlign w:val="center"/>
          </w:tcPr>
          <w:p>
            <w:pPr>
              <w:adjustRightInd w:val="0"/>
              <w:snapToGrid w:val="0"/>
              <w:jc w:val="center"/>
              <w:rPr>
                <w:rFonts w:hint="eastAsia" w:ascii="Times New Roman" w:hAnsi="Times New Roman" w:cs="宋体"/>
                <w:i/>
                <w:iCs/>
                <w:color w:val="000000" w:themeColor="text1"/>
                <w:kern w:val="21"/>
                <w:szCs w:val="21"/>
                <w:u w:val="single" w:color="auto"/>
                <w14:textFill>
                  <w14:solidFill>
                    <w14:schemeClr w14:val="tx1"/>
                  </w14:solidFill>
                </w14:textFill>
              </w:rPr>
            </w:pPr>
          </w:p>
        </w:tc>
        <w:tc>
          <w:tcPr>
            <w:tcW w:w="1696" w:type="dxa"/>
            <w:vAlign w:val="center"/>
          </w:tcPr>
          <w:p>
            <w:pPr>
              <w:adjustRightInd w:val="0"/>
              <w:snapToGrid w:val="0"/>
              <w:jc w:val="center"/>
              <w:rPr>
                <w:rFonts w:hint="eastAsia" w:ascii="Times New Roman" w:hAnsi="Times New Roman" w:eastAsia="宋体" w:cs="宋体"/>
                <w:i/>
                <w:iCs/>
                <w:color w:val="000000" w:themeColor="text1"/>
                <w:kern w:val="21"/>
                <w:szCs w:val="21"/>
                <w:u w:val="single" w:color="auto"/>
                <w:lang w:eastAsia="zh-CN"/>
                <w14:textFill>
                  <w14:solidFill>
                    <w14:schemeClr w14:val="tx1"/>
                  </w14:solidFill>
                </w14:textFill>
              </w:rPr>
            </w:pP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锅炉软化水</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t>COD</w:t>
            </w:r>
            <w:r>
              <w:rPr>
                <w:rFonts w:hint="eastAsia" w:ascii="Times New Roman" w:hAnsi="Times New Roman" w:cs="宋体"/>
                <w:i/>
                <w:iCs/>
                <w:color w:val="000000" w:themeColor="text1"/>
                <w:kern w:val="21"/>
                <w:szCs w:val="21"/>
                <w:u w:val="single" w:color="auto"/>
                <w14:textFill>
                  <w14:solidFill>
                    <w14:schemeClr w14:val="tx1"/>
                  </w14:solidFill>
                </w14:textFill>
              </w:rPr>
              <w:t>、</w:t>
            </w:r>
            <w:r>
              <w:rPr>
                <w:rFonts w:ascii="Times New Roman" w:hAnsi="Times New Roman" w:cs="宋体"/>
                <w:i/>
                <w:iCs/>
                <w:color w:val="000000" w:themeColor="text1"/>
                <w:kern w:val="21"/>
                <w:szCs w:val="21"/>
                <w:u w:val="single" w:color="auto"/>
                <w14:textFill>
                  <w14:solidFill>
                    <w14:schemeClr w14:val="tx1"/>
                  </w14:solidFill>
                </w14:textFill>
              </w:rPr>
              <w:t>SS</w:t>
            </w:r>
          </w:p>
        </w:tc>
        <w:tc>
          <w:tcPr>
            <w:tcW w:w="1552" w:type="dxa"/>
            <w:vAlign w:val="center"/>
          </w:tcPr>
          <w:p>
            <w:pPr>
              <w:adjustRightInd w:val="0"/>
              <w:snapToGrid w:val="0"/>
              <w:jc w:val="center"/>
              <w:rPr>
                <w:rFonts w:hint="eastAsia"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用于锅炉灰渣降尘</w:t>
            </w:r>
          </w:p>
        </w:tc>
        <w:tc>
          <w:tcPr>
            <w:tcW w:w="1842" w:type="dxa"/>
            <w:vAlign w:val="center"/>
          </w:tcPr>
          <w:p>
            <w:pPr>
              <w:adjustRightInd w:val="0"/>
              <w:snapToGrid w:val="0"/>
              <w:jc w:val="center"/>
              <w:rPr>
                <w:rFonts w:hint="eastAsia"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声环境</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设备</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连续等效A声级</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设备减震、厂房隔声。</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《工业企业厂界环境噪声排放标准》（GB12348-2008）中1类区标准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restart"/>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电磁辐射</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696"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55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c>
          <w:tcPr>
            <w:tcW w:w="1842"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固体废物</w:t>
            </w:r>
          </w:p>
        </w:tc>
        <w:tc>
          <w:tcPr>
            <w:tcW w:w="6786" w:type="dxa"/>
            <w:gridSpan w:val="4"/>
            <w:vAlign w:val="center"/>
          </w:tcPr>
          <w:p>
            <w:pPr>
              <w:adjustRightInd w:val="0"/>
              <w:snapToGrid w:val="0"/>
              <w:spacing w:line="360" w:lineRule="auto"/>
              <w:ind w:firstLine="420" w:firstLineChars="200"/>
              <w:jc w:val="left"/>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本项目固体废物主要为</w:t>
            </w:r>
            <w:r>
              <w:rPr>
                <w:rFonts w:hint="eastAsia" w:ascii="Times New Roman" w:hAnsi="Times New Roman" w:cs="宋体"/>
                <w:i/>
                <w:iCs/>
                <w:color w:val="000000" w:themeColor="text1"/>
                <w:kern w:val="21"/>
                <w:szCs w:val="21"/>
                <w:u w:val="single" w:color="auto"/>
                <w14:textFill>
                  <w14:solidFill>
                    <w14:schemeClr w14:val="tx1"/>
                  </w14:solidFill>
                </w14:textFill>
              </w:rPr>
              <w:t>锅炉灰渣</w:t>
            </w: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w:t>
            </w:r>
            <w:r>
              <w:rPr>
                <w:rFonts w:hint="eastAsia" w:ascii="Times New Roman" w:hAnsi="Times New Roman" w:cs="宋体"/>
                <w:i/>
                <w:iCs/>
                <w:color w:val="000000" w:themeColor="text1"/>
                <w:kern w:val="21"/>
                <w:szCs w:val="21"/>
                <w:u w:val="single" w:color="auto"/>
                <w14:textFill>
                  <w14:solidFill>
                    <w14:schemeClr w14:val="tx1"/>
                  </w14:solidFill>
                </w14:textFill>
              </w:rPr>
              <w:t>布袋粉尘</w:t>
            </w: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及废离子交换树脂</w:t>
            </w:r>
            <w:r>
              <w:rPr>
                <w:rFonts w:hint="eastAsia" w:ascii="Times New Roman" w:hAnsi="Times New Roman" w:cs="宋体"/>
                <w:i/>
                <w:iCs/>
                <w:color w:val="000000" w:themeColor="text1"/>
                <w:kern w:val="21"/>
                <w:szCs w:val="21"/>
                <w:u w:val="single" w:color="auto"/>
                <w14:textFill>
                  <w14:solidFill>
                    <w14:schemeClr w14:val="tx1"/>
                  </w14:solidFill>
                </w14:textFill>
              </w:rPr>
              <w:t>。锅炉灰渣和</w:t>
            </w: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除尘器灰渣</w:t>
            </w:r>
            <w:r>
              <w:rPr>
                <w:rFonts w:hint="eastAsia" w:ascii="Times New Roman" w:hAnsi="Times New Roman" w:cs="宋体"/>
                <w:i/>
                <w:iCs/>
                <w:color w:val="000000" w:themeColor="text1"/>
                <w:kern w:val="21"/>
                <w:szCs w:val="21"/>
                <w:u w:val="single" w:color="auto"/>
                <w:lang w:val="en-US" w:eastAsia="zh-CN"/>
                <w14:textFill>
                  <w14:solidFill>
                    <w14:schemeClr w14:val="tx1"/>
                  </w14:solidFill>
                </w14:textFill>
              </w:rPr>
              <w:t>定期外卖用作农肥还田，项目软化水过程中使用的树脂每年由厂家定期更换，更换的废树脂由厂家直接带走，本项且不单独存储和管理废树脂。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土壤及地下水</w:t>
            </w:r>
          </w:p>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污染防治措施</w:t>
            </w:r>
          </w:p>
        </w:tc>
        <w:tc>
          <w:tcPr>
            <w:tcW w:w="6786" w:type="dxa"/>
            <w:gridSpan w:val="4"/>
            <w:vAlign w:val="center"/>
          </w:tcPr>
          <w:p>
            <w:pPr>
              <w:adjustRightInd w:val="0"/>
              <w:snapToGrid w:val="0"/>
              <w:spacing w:line="360" w:lineRule="auto"/>
              <w:ind w:firstLine="420" w:firstLineChars="200"/>
              <w:jc w:val="left"/>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生态保护措施</w:t>
            </w:r>
          </w:p>
        </w:tc>
        <w:tc>
          <w:tcPr>
            <w:tcW w:w="6786" w:type="dxa"/>
            <w:gridSpan w:val="4"/>
            <w:vAlign w:val="center"/>
          </w:tcPr>
          <w:p>
            <w:pPr>
              <w:adjustRightInd w:val="0"/>
              <w:snapToGrid w:val="0"/>
              <w:spacing w:line="360" w:lineRule="auto"/>
              <w:ind w:firstLine="420" w:firstLineChars="200"/>
              <w:rPr>
                <w:rFonts w:hint="eastAsia" w:ascii="Times New Roman" w:hAnsi="Times New Roman" w:eastAsia="宋体" w:cs="宋体"/>
                <w:i/>
                <w:iCs/>
                <w:color w:val="000000" w:themeColor="text1"/>
                <w:kern w:val="21"/>
                <w:szCs w:val="21"/>
                <w:u w:val="single" w:color="auto"/>
                <w:lang w:eastAsia="zh-CN"/>
                <w14:textFill>
                  <w14:solidFill>
                    <w14:schemeClr w14:val="tx1"/>
                  </w14:solidFill>
                </w14:textFill>
              </w:rPr>
            </w:pPr>
            <w:r>
              <w:rPr>
                <w:rFonts w:hint="eastAsia" w:ascii="Times New Roman" w:hAnsi="Times New Roman" w:cs="宋体"/>
                <w:i/>
                <w:iCs/>
                <w:color w:val="000000" w:themeColor="text1"/>
                <w:kern w:val="21"/>
                <w:szCs w:val="21"/>
                <w:u w:val="single" w:color="auto"/>
                <w:lang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环境风险</w:t>
            </w:r>
          </w:p>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防范措施</w:t>
            </w:r>
          </w:p>
        </w:tc>
        <w:tc>
          <w:tcPr>
            <w:tcW w:w="6786" w:type="dxa"/>
            <w:gridSpan w:val="4"/>
            <w:vAlign w:val="center"/>
          </w:tcPr>
          <w:p>
            <w:pPr>
              <w:adjustRightInd w:val="0"/>
              <w:snapToGrid w:val="0"/>
              <w:spacing w:line="360" w:lineRule="auto"/>
              <w:ind w:firstLine="420" w:firstLineChars="200"/>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其他环境</w:t>
            </w:r>
          </w:p>
          <w:p>
            <w:pPr>
              <w:adjustRightInd w:val="0"/>
              <w:snapToGrid w:val="0"/>
              <w:jc w:val="center"/>
              <w:rPr>
                <w:rFonts w:ascii="Times New Roman" w:hAnsi="Times New Roman" w:cs="宋体"/>
                <w:i/>
                <w:iCs/>
                <w:color w:val="000000" w:themeColor="text1"/>
                <w:kern w:val="21"/>
                <w:szCs w:val="21"/>
                <w:u w:val="single" w:color="auto"/>
                <w14:textFill>
                  <w14:solidFill>
                    <w14:schemeClr w14:val="tx1"/>
                  </w14:solidFill>
                </w14:textFill>
              </w:rPr>
            </w:pPr>
            <w:r>
              <w:rPr>
                <w:rFonts w:hint="eastAsia" w:ascii="Times New Roman" w:hAnsi="Times New Roman" w:cs="宋体"/>
                <w:i/>
                <w:iCs/>
                <w:color w:val="000000" w:themeColor="text1"/>
                <w:kern w:val="21"/>
                <w:szCs w:val="21"/>
                <w:u w:val="single" w:color="auto"/>
                <w14:textFill>
                  <w14:solidFill>
                    <w14:schemeClr w14:val="tx1"/>
                  </w14:solidFill>
                </w14:textFill>
              </w:rPr>
              <w:t>管理要求</w:t>
            </w:r>
          </w:p>
        </w:tc>
        <w:tc>
          <w:tcPr>
            <w:tcW w:w="6786" w:type="dxa"/>
            <w:gridSpan w:val="4"/>
            <w:vAlign w:val="center"/>
          </w:tcPr>
          <w:p>
            <w:pPr>
              <w:spacing w:line="360" w:lineRule="auto"/>
              <w:ind w:firstLine="422" w:firstLineChars="200"/>
              <w:rPr>
                <w:rFonts w:ascii="Times New Roman" w:hAnsi="Times New Roman"/>
                <w:b/>
                <w:bCs/>
                <w:i/>
                <w:iCs/>
                <w:color w:val="000000" w:themeColor="text1"/>
                <w:szCs w:val="21"/>
                <w:u w:val="single" w:color="auto"/>
                <w14:textFill>
                  <w14:solidFill>
                    <w14:schemeClr w14:val="tx1"/>
                  </w14:solidFill>
                </w14:textFill>
              </w:rPr>
            </w:pPr>
            <w:r>
              <w:rPr>
                <w:rFonts w:hint="eastAsia" w:ascii="Times New Roman" w:hAnsi="Times New Roman"/>
                <w:b/>
                <w:bCs/>
                <w:i/>
                <w:iCs/>
                <w:color w:val="000000" w:themeColor="text1"/>
                <w:szCs w:val="21"/>
                <w:u w:val="single" w:color="auto"/>
                <w14:textFill>
                  <w14:solidFill>
                    <w14:schemeClr w14:val="tx1"/>
                  </w14:solidFill>
                </w14:textFill>
              </w:rPr>
              <w:t>1.排污许可相关要求</w:t>
            </w:r>
          </w:p>
          <w:p>
            <w:pPr>
              <w:spacing w:line="360" w:lineRule="auto"/>
              <w:ind w:firstLine="420" w:firstLineChars="200"/>
              <w:rPr>
                <w:rFonts w:hint="eastAsia" w:ascii="Times New Roman" w:hAnsi="Times New Roman"/>
                <w:i/>
                <w:iCs/>
                <w:color w:val="000000" w:themeColor="text1"/>
                <w:szCs w:val="21"/>
                <w:u w:val="single" w:color="auto"/>
                <w14:textFill>
                  <w14:solidFill>
                    <w14:schemeClr w14:val="tx1"/>
                  </w14:solidFill>
                </w14:textFill>
              </w:rPr>
            </w:pPr>
            <w:r>
              <w:rPr>
                <w:rFonts w:hint="eastAsia" w:ascii="Times New Roman" w:hAnsi="Times New Roman"/>
                <w:i/>
                <w:iCs/>
                <w:color w:val="000000" w:themeColor="text1"/>
                <w:szCs w:val="21"/>
                <w:u w:val="single" w:color="auto"/>
                <w14:textFill>
                  <w14:solidFill>
                    <w14:schemeClr w14:val="tx1"/>
                  </w14:solidFill>
                </w14:textFill>
              </w:rPr>
              <w:t>纳入固定污染源排污许可分类管理名录的企业事业单位和其他生产经营者应当按照规定的时限申请并取得排污许可证；未纳入固定污染源排污许可分类管理名录的排污单位，暂不需申请排污许可证。排污单位应当依法持有排污许可证，并按照排污许可证的规定排放污染物。排污单位应当按照排污许可证规定的关于执行报告内容和频次的要求，编制排污许可证执行报告；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排污单位应当对提交的台账记录、监测数据和执行报告的真实性、完整性负责，依法接受环境保护主管部门的监督检查。排污单位应当及时公开有关排污信息，自觉接受公众监督。</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Times New Roman"/>
                <w:i/>
                <w:iCs/>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1"/>
                <w:szCs w:val="21"/>
                <w:u w:val="single" w:color="auto"/>
                <w:lang w:val="en-US" w:eastAsia="zh-CN" w:bidi="ar-SA"/>
                <w14:textFill>
                  <w14:solidFill>
                    <w14:schemeClr w14:val="tx1"/>
                  </w14:solidFill>
                </w14:textFill>
              </w:rPr>
              <w:t>根据《排污许可证申请与核发技术规范  锅炉》（HJ953-2018）对建设单位提出如下：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i/>
                <w:iCs/>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i/>
                <w:iCs/>
                <w:color w:val="000000" w:themeColor="text1"/>
                <w:kern w:val="2"/>
                <w:sz w:val="21"/>
                <w:szCs w:val="21"/>
                <w:u w:val="single" w:color="auto"/>
                <w:lang w:val="en-US" w:eastAsia="zh-CN" w:bidi="ar-SA"/>
                <w14:textFill>
                  <w14:solidFill>
                    <w14:schemeClr w14:val="tx1"/>
                  </w14:solidFill>
                </w14:textFill>
              </w:rPr>
              <w:t>（1）环保设施应与锅炉同步运行，并保证在锅炉负荷波动的情况下仍能正常运行，实现达标排放。由于事故或设备维修等原因造成治理设施停止运行时，应立即报告当地生态环境主管部门。</w:t>
            </w:r>
          </w:p>
          <w:p>
            <w:pPr>
              <w:pStyle w:val="24"/>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cs="Times New Roman"/>
                <w:i/>
                <w:iCs/>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i/>
                <w:iCs/>
                <w:color w:val="000000" w:themeColor="text1"/>
                <w:kern w:val="2"/>
                <w:sz w:val="21"/>
                <w:szCs w:val="21"/>
                <w:u w:val="single" w:color="auto"/>
                <w:lang w:val="en-US" w:eastAsia="zh-CN" w:bidi="ar-SA"/>
                <w14:textFill>
                  <w14:solidFill>
                    <w14:schemeClr w14:val="tx1"/>
                  </w14:solidFill>
                </w14:textFill>
              </w:rPr>
              <w:t>（2）除尘治理设施运行应尽可能在满足设计工况的条件下进行，并根据工艺要求，定期对设备、电气、自控仪表及锅炉间进行检查维护，确保可靠稳定运行。</w:t>
            </w:r>
          </w:p>
          <w:p>
            <w:pPr>
              <w:pStyle w:val="24"/>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i/>
                <w:iCs/>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i/>
                <w:iCs/>
                <w:color w:val="000000" w:themeColor="text1"/>
                <w:kern w:val="2"/>
                <w:sz w:val="21"/>
                <w:szCs w:val="21"/>
                <w:u w:val="single" w:color="auto"/>
                <w:lang w:val="en-US" w:eastAsia="zh-CN" w:bidi="ar-SA"/>
                <w14:textFill>
                  <w14:solidFill>
                    <w14:schemeClr w14:val="tx1"/>
                  </w14:solidFill>
                </w14:textFill>
              </w:rPr>
              <w:t>（3）加强除尘治理设施巡检，消除设施隐患，保证设施正常稳定运行。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i/>
                <w:iCs/>
                <w:u w:val="single" w:color="auto"/>
                <w:lang w:val="en-US" w:eastAsia="zh-CN"/>
              </w:rPr>
            </w:pPr>
            <w:r>
              <w:rPr>
                <w:rFonts w:hint="eastAsia"/>
                <w:i/>
                <w:iCs/>
                <w:u w:val="single" w:color="auto"/>
                <w:lang w:val="en-US" w:eastAsia="zh-CN"/>
              </w:rPr>
              <w:t>（4）规范治理设施开停机记录、维修巡检记录、原辅材料及燃料使用记录、设备部件更换记录、治理前后烟气监测记录等，要求记录规范，内容完成。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i/>
                <w:iCs/>
                <w:u w:val="single" w:color="auto"/>
                <w:lang w:val="en-US" w:eastAsia="zh-CN"/>
              </w:rPr>
            </w:pPr>
            <w:r>
              <w:rPr>
                <w:rFonts w:hint="eastAsia"/>
                <w:i/>
                <w:iCs/>
                <w:u w:val="single" w:color="auto"/>
                <w:lang w:val="en-US" w:eastAsia="zh-CN"/>
              </w:rPr>
              <w:t>（5）不应设置烟气旁路通道。</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i/>
                <w:iCs/>
                <w:u w:val="single" w:color="auto"/>
                <w:lang w:val="en-US" w:eastAsia="zh-CN"/>
              </w:rPr>
            </w:pPr>
            <w:r>
              <w:rPr>
                <w:rFonts w:hint="eastAsia"/>
                <w:i/>
                <w:iCs/>
                <w:u w:val="single" w:color="auto"/>
                <w:lang w:val="en-US" w:eastAsia="zh-CN"/>
              </w:rPr>
              <w:t>（6）灰场、渣场应及时覆盖并定期洒水，设有灰仓的应采取密闭措施，设有渣库的应采用挡尘卷帘、围挡等形式的防尘措施。</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i/>
                <w:iCs/>
                <w:u w:val="single" w:color="auto"/>
                <w:lang w:val="en-US" w:eastAsia="zh-CN"/>
              </w:rPr>
            </w:pPr>
            <w:r>
              <w:rPr>
                <w:rFonts w:hint="eastAsia"/>
                <w:i/>
                <w:iCs/>
                <w:u w:val="single" w:color="auto"/>
                <w:lang w:val="en-US" w:eastAsia="zh-CN"/>
              </w:rPr>
              <w:t>（7）锅炉排污单位应当按照相关法律法规、标准和技术规范等的要求运行水污染防治设施并进行维护和管理，保证设施运行正常。锅炉排污单位水污染防治应遵循分类处理、一水多用的原则。鼓励锅炉排污单位实现废水的循环使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i/>
                <w:iCs/>
                <w:u w:val="single" w:color="auto"/>
                <w:lang w:val="en-US" w:eastAsia="zh-CN"/>
              </w:rPr>
            </w:pPr>
          </w:p>
          <w:p>
            <w:pPr>
              <w:spacing w:line="360" w:lineRule="auto"/>
              <w:ind w:firstLine="422" w:firstLineChars="200"/>
              <w:rPr>
                <w:rFonts w:ascii="Times New Roman" w:hAnsi="Times New Roman"/>
                <w:b/>
                <w:bCs/>
                <w:i/>
                <w:iCs/>
                <w:color w:val="000000" w:themeColor="text1"/>
                <w:kern w:val="44"/>
                <w:szCs w:val="21"/>
                <w:u w:val="single" w:color="auto"/>
                <w14:textFill>
                  <w14:solidFill>
                    <w14:schemeClr w14:val="tx1"/>
                  </w14:solidFill>
                </w14:textFill>
              </w:rPr>
            </w:pPr>
            <w:r>
              <w:rPr>
                <w:rFonts w:ascii="Times New Roman" w:hAnsi="Times New Roman"/>
                <w:b/>
                <w:bCs/>
                <w:i/>
                <w:iCs/>
                <w:color w:val="000000" w:themeColor="text1"/>
                <w:kern w:val="44"/>
                <w:szCs w:val="21"/>
                <w:u w:val="single" w:color="auto"/>
                <w14:textFill>
                  <w14:solidFill>
                    <w14:schemeClr w14:val="tx1"/>
                  </w14:solidFill>
                </w14:textFill>
              </w:rPr>
              <w:t>2</w:t>
            </w:r>
            <w:r>
              <w:rPr>
                <w:rFonts w:hint="eastAsia" w:ascii="Times New Roman" w:hAnsi="Times New Roman"/>
                <w:b/>
                <w:bCs/>
                <w:i/>
                <w:iCs/>
                <w:color w:val="000000" w:themeColor="text1"/>
                <w:kern w:val="44"/>
                <w:szCs w:val="21"/>
                <w:u w:val="single" w:color="auto"/>
                <w14:textFill>
                  <w14:solidFill>
                    <w14:schemeClr w14:val="tx1"/>
                  </w14:solidFill>
                </w14:textFill>
              </w:rPr>
              <w:t>.“三同时”自主验收</w:t>
            </w:r>
          </w:p>
          <w:p>
            <w:pPr>
              <w:pStyle w:val="2"/>
              <w:snapToGrid/>
              <w:spacing w:before="0" w:after="0" w:line="360" w:lineRule="auto"/>
              <w:ind w:right="0" w:firstLine="420" w:firstLineChars="200"/>
              <w:rPr>
                <w:rFonts w:ascii="Times New Roman" w:hAnsi="Times New Roman"/>
                <w:i/>
                <w:iCs/>
                <w:color w:val="000000" w:themeColor="text1"/>
                <w:sz w:val="21"/>
                <w:szCs w:val="21"/>
                <w:u w:val="single" w:color="auto"/>
                <w14:textFill>
                  <w14:solidFill>
                    <w14:schemeClr w14:val="tx1"/>
                  </w14:solidFill>
                </w14:textFill>
              </w:rPr>
            </w:pPr>
            <w:r>
              <w:rPr>
                <w:rFonts w:ascii="Times New Roman" w:hAnsi="Times New Roman"/>
                <w:i/>
                <w:iCs/>
                <w:color w:val="000000" w:themeColor="text1"/>
                <w:sz w:val="21"/>
                <w:szCs w:val="21"/>
                <w:u w:val="single" w:color="auto"/>
                <w14:textFill>
                  <w14:solidFill>
                    <w14:schemeClr w14:val="tx1"/>
                  </w14:solidFill>
                </w14:textFill>
              </w:rPr>
              <w:t>根据《关于规范建设单位自主开展建设项目竣工环境保护验收的通知》（环办环评函</w:t>
            </w:r>
            <w:r>
              <w:rPr>
                <w:rFonts w:hint="eastAsia" w:ascii="Times New Roman" w:hAnsi="Times New Roman"/>
                <w:i/>
                <w:iCs/>
                <w:color w:val="000000" w:themeColor="text1"/>
                <w:sz w:val="21"/>
                <w:szCs w:val="21"/>
                <w:u w:val="single" w:color="auto"/>
                <w14:textFill>
                  <w14:solidFill>
                    <w14:schemeClr w14:val="tx1"/>
                  </w14:solidFill>
                </w14:textFill>
              </w:rPr>
              <w:t>[</w:t>
            </w:r>
            <w:r>
              <w:rPr>
                <w:rFonts w:ascii="Times New Roman" w:hAnsi="Times New Roman"/>
                <w:i/>
                <w:iCs/>
                <w:color w:val="000000" w:themeColor="text1"/>
                <w:sz w:val="21"/>
                <w:szCs w:val="21"/>
                <w:u w:val="single" w:color="auto"/>
                <w14:textFill>
                  <w14:solidFill>
                    <w14:schemeClr w14:val="tx1"/>
                  </w14:solidFill>
                </w14:textFill>
              </w:rPr>
              <w:t>2017</w:t>
            </w:r>
            <w:r>
              <w:rPr>
                <w:rFonts w:hint="eastAsia" w:ascii="Times New Roman" w:hAnsi="Times New Roman"/>
                <w:i/>
                <w:iCs/>
                <w:color w:val="000000" w:themeColor="text1"/>
                <w:sz w:val="21"/>
                <w:szCs w:val="21"/>
                <w:u w:val="single" w:color="auto"/>
                <w14:textFill>
                  <w14:solidFill>
                    <w14:schemeClr w14:val="tx1"/>
                  </w14:solidFill>
                </w14:textFill>
              </w:rPr>
              <w:t>]</w:t>
            </w:r>
            <w:r>
              <w:rPr>
                <w:rFonts w:ascii="Times New Roman" w:hAnsi="Times New Roman"/>
                <w:i/>
                <w:iCs/>
                <w:color w:val="000000" w:themeColor="text1"/>
                <w:sz w:val="21"/>
                <w:szCs w:val="21"/>
                <w:u w:val="single" w:color="auto"/>
                <w14:textFill>
                  <w14:solidFill>
                    <w14:schemeClr w14:val="tx1"/>
                  </w14:solidFill>
                </w14:textFill>
              </w:rPr>
              <w:t xml:space="preserve"> 1235号）和《建设项目环境保护管理条例》（2017年</w:t>
            </w:r>
            <w:r>
              <w:rPr>
                <w:rFonts w:ascii="Times New Roman" w:hAnsi="Times New Roman" w:cs="宋体"/>
                <w:i/>
                <w:iCs/>
                <w:color w:val="000000" w:themeColor="text1"/>
                <w:sz w:val="21"/>
                <w:szCs w:val="21"/>
                <w:u w:val="single" w:color="auto"/>
                <w14:textFill>
                  <w14:solidFill>
                    <w14:schemeClr w14:val="tx1"/>
                  </w14:solidFill>
                </w14:textFill>
              </w:rPr>
              <w:t>10</w:t>
            </w:r>
            <w:r>
              <w:rPr>
                <w:rFonts w:ascii="Times New Roman" w:hAnsi="Times New Roman"/>
                <w:i/>
                <w:iCs/>
                <w:color w:val="000000" w:themeColor="text1"/>
                <w:sz w:val="21"/>
                <w:szCs w:val="21"/>
                <w:u w:val="single" w:color="auto"/>
                <w14:textFill>
                  <w14:solidFill>
                    <w14:schemeClr w14:val="tx1"/>
                  </w14:solidFill>
                </w14:textFill>
              </w:rPr>
              <w:t>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pPr>
              <w:spacing w:line="360" w:lineRule="auto"/>
              <w:ind w:firstLine="420" w:firstLineChars="200"/>
              <w:rPr>
                <w:rFonts w:ascii="Times New Roman" w:hAnsi="Times New Roman"/>
                <w:i/>
                <w:iCs/>
                <w:color w:val="000000" w:themeColor="text1"/>
                <w:kern w:val="0"/>
                <w:szCs w:val="21"/>
                <w:u w:val="single" w:color="auto"/>
                <w14:textFill>
                  <w14:solidFill>
                    <w14:schemeClr w14:val="tx1"/>
                  </w14:solidFill>
                </w14:textFill>
              </w:rPr>
            </w:pPr>
            <w:r>
              <w:rPr>
                <w:rFonts w:ascii="Times New Roman" w:hAnsi="Times New Roman"/>
                <w:i/>
                <w:iCs/>
                <w:color w:val="000000" w:themeColor="text1"/>
                <w:kern w:val="0"/>
                <w:szCs w:val="21"/>
                <w:u w:val="single" w:color="auto"/>
                <w14:textFill>
                  <w14:solidFill>
                    <w14:schemeClr w14:val="tx1"/>
                  </w14:solidFill>
                </w14:textFill>
              </w:rPr>
              <w:t>验收工作组应当严格依照国家有关法律法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w:t>
            </w:r>
            <w:r>
              <w:rPr>
                <w:rFonts w:hint="eastAsia" w:ascii="Times New Roman" w:hAnsi="Times New Roman"/>
                <w:i/>
                <w:iCs/>
                <w:color w:val="000000" w:themeColor="text1"/>
                <w:kern w:val="0"/>
                <w:szCs w:val="21"/>
                <w:u w:val="single" w:color="auto"/>
                <w14:textFill>
                  <w14:solidFill>
                    <w14:schemeClr w14:val="tx1"/>
                  </w14:solidFill>
                </w14:textFill>
              </w:rPr>
              <w:t>[</w:t>
            </w:r>
            <w:r>
              <w:rPr>
                <w:rFonts w:ascii="Times New Roman" w:hAnsi="Times New Roman"/>
                <w:i/>
                <w:iCs/>
                <w:color w:val="000000" w:themeColor="text1"/>
                <w:kern w:val="0"/>
                <w:szCs w:val="21"/>
                <w:u w:val="single" w:color="auto"/>
                <w14:textFill>
                  <w14:solidFill>
                    <w14:schemeClr w14:val="tx1"/>
                  </w14:solidFill>
                </w14:textFill>
              </w:rPr>
              <w:t>2015</w:t>
            </w:r>
            <w:r>
              <w:rPr>
                <w:rFonts w:hint="eastAsia" w:ascii="Times New Roman" w:hAnsi="Times New Roman"/>
                <w:i/>
                <w:iCs/>
                <w:color w:val="000000" w:themeColor="text1"/>
                <w:kern w:val="0"/>
                <w:szCs w:val="21"/>
                <w:u w:val="single" w:color="auto"/>
                <w14:textFill>
                  <w14:solidFill>
                    <w14:schemeClr w14:val="tx1"/>
                  </w14:solidFill>
                </w14:textFill>
              </w:rPr>
              <w:t>]</w:t>
            </w:r>
            <w:r>
              <w:rPr>
                <w:rFonts w:ascii="Times New Roman" w:hAnsi="Times New Roman"/>
                <w:i/>
                <w:iCs/>
                <w:color w:val="000000" w:themeColor="text1"/>
                <w:kern w:val="0"/>
                <w:szCs w:val="21"/>
                <w:u w:val="single" w:color="auto"/>
                <w14:textFill>
                  <w14:solidFill>
                    <w14:schemeClr w14:val="tx1"/>
                  </w14:solidFill>
                </w14:textFill>
              </w:rPr>
              <w:t>113号）执行。</w:t>
            </w: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r>
              <w:rPr>
                <w:rFonts w:ascii="Times New Roman" w:hAnsi="Times New Roman" w:cs="宋体"/>
                <w:i/>
                <w:iCs/>
                <w:color w:val="000000" w:themeColor="text1"/>
                <w:kern w:val="21"/>
                <w:szCs w:val="21"/>
                <w:u w:val="single" w:color="auto"/>
                <w14:textFill>
                  <w14:solidFill>
                    <w14:schemeClr w14:val="tx1"/>
                  </w14:solidFill>
                </w14:textFill>
              </w:rPr>
              <w:br w:type="textWrapping"/>
            </w: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rFonts w:ascii="Times New Roman" w:hAnsi="Times New Roman" w:cs="宋体"/>
                <w:i/>
                <w:iCs/>
                <w:color w:val="000000" w:themeColor="text1"/>
                <w:kern w:val="21"/>
                <w:szCs w:val="21"/>
                <w:u w:val="single" w:color="auto"/>
                <w14:textFill>
                  <w14:solidFill>
                    <w14:schemeClr w14:val="tx1"/>
                  </w14:solidFill>
                </w14:textFill>
              </w:rPr>
            </w:pPr>
          </w:p>
          <w:p>
            <w:pPr>
              <w:pStyle w:val="24"/>
              <w:rPr>
                <w:rFonts w:ascii="Times New Roman" w:hAnsi="Times New Roman" w:cs="宋体"/>
                <w:i/>
                <w:iCs/>
                <w:color w:val="000000" w:themeColor="text1"/>
                <w:kern w:val="21"/>
                <w:szCs w:val="21"/>
                <w:u w:val="single" w:color="auto"/>
                <w14:textFill>
                  <w14:solidFill>
                    <w14:schemeClr w14:val="tx1"/>
                  </w14:solidFill>
                </w14:textFill>
              </w:rPr>
            </w:pPr>
          </w:p>
          <w:p>
            <w:pPr>
              <w:rPr>
                <w:i/>
                <w:iCs/>
                <w:u w:val="single" w:color="auto"/>
              </w:rPr>
            </w:pP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p>
            <w:pPr>
              <w:adjustRightInd w:val="0"/>
              <w:snapToGrid w:val="0"/>
              <w:rPr>
                <w:rFonts w:ascii="Times New Roman" w:hAnsi="Times New Roman" w:cs="宋体"/>
                <w:i/>
                <w:iCs/>
                <w:color w:val="000000" w:themeColor="text1"/>
                <w:kern w:val="21"/>
                <w:szCs w:val="21"/>
                <w:u w:val="single" w:color="auto"/>
                <w14:textFill>
                  <w14:solidFill>
                    <w14:schemeClr w14:val="tx1"/>
                  </w14:solidFill>
                </w14:textFill>
              </w:rPr>
            </w:pPr>
          </w:p>
        </w:tc>
      </w:tr>
    </w:tbl>
    <w:p>
      <w:pPr>
        <w:pStyle w:val="16"/>
        <w:adjustRightInd w:val="0"/>
        <w:snapToGrid w:val="0"/>
        <w:jc w:val="center"/>
        <w:outlineLvl w:val="0"/>
        <w:rPr>
          <w:rFonts w:ascii="Times New Roman" w:hAnsi="Times New Roman" w:eastAsia="黑体"/>
          <w:i w:val="0"/>
          <w:iCs w:val="0"/>
          <w:snapToGrid w:val="0"/>
          <w:color w:val="000000" w:themeColor="text1"/>
          <w:kern w:val="21"/>
          <w:sz w:val="30"/>
          <w:szCs w:val="30"/>
          <w:u w:val="none" w:color="auto"/>
          <w14:textFill>
            <w14:solidFill>
              <w14:schemeClr w14:val="tx1"/>
            </w14:solidFill>
          </w14:textFill>
        </w:rPr>
      </w:pPr>
      <w:r>
        <w:rPr>
          <w:rFonts w:ascii="Times New Roman" w:hAnsi="Times New Roman"/>
          <w:i w:val="0"/>
          <w:iCs w:val="0"/>
          <w:snapToGrid w:val="0"/>
          <w:color w:val="000000" w:themeColor="text1"/>
          <w:kern w:val="21"/>
          <w:u w:val="none" w:color="auto"/>
          <w14:textFill>
            <w14:solidFill>
              <w14:schemeClr w14:val="tx1"/>
            </w14:solidFill>
          </w14:textFill>
        </w:rPr>
        <w:br w:type="page"/>
      </w:r>
      <w:r>
        <w:rPr>
          <w:rFonts w:hint="eastAsia" w:ascii="Times New Roman" w:hAnsi="Times New Roman" w:eastAsia="黑体"/>
          <w:i w:val="0"/>
          <w:iCs w:val="0"/>
          <w:snapToGrid w:val="0"/>
          <w:color w:val="000000" w:themeColor="text1"/>
          <w:kern w:val="21"/>
          <w:sz w:val="30"/>
          <w:szCs w:val="30"/>
          <w:u w:val="none" w:color="auto"/>
          <w14:textFill>
            <w14:solidFill>
              <w14:schemeClr w14:val="tx1"/>
            </w14:solidFill>
          </w14:textFill>
        </w:rPr>
        <w:t>六、结论</w:t>
      </w:r>
    </w:p>
    <w:tbl>
      <w:tblPr>
        <w:tblStyle w:val="18"/>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4" w:hRule="exact"/>
          <w:jc w:val="center"/>
        </w:trPr>
        <w:tc>
          <w:tcPr>
            <w:tcW w:w="8865" w:type="dxa"/>
          </w:tcPr>
          <w:p>
            <w:pPr>
              <w:autoSpaceDE w:val="0"/>
              <w:autoSpaceDN w:val="0"/>
              <w:spacing w:before="120" w:beforeLines="50" w:line="360" w:lineRule="auto"/>
              <w:ind w:firstLine="480" w:firstLineChars="200"/>
              <w:rPr>
                <w:i w:val="0"/>
                <w:iCs w:val="0"/>
                <w:color w:val="000000" w:themeColor="text1"/>
                <w:sz w:val="24"/>
                <w:u w:val="none" w:color="auto"/>
                <w:lang w:val="zh-CN"/>
                <w14:textFill>
                  <w14:solidFill>
                    <w14:schemeClr w14:val="tx1"/>
                  </w14:solidFill>
                </w14:textFill>
              </w:rPr>
            </w:pPr>
            <w:r>
              <w:rPr>
                <w:i w:val="0"/>
                <w:iCs w:val="0"/>
                <w:color w:val="000000" w:themeColor="text1"/>
                <w:sz w:val="24"/>
                <w:u w:val="none" w:color="auto"/>
                <w:lang w:val="zh-CN"/>
                <w14:textFill>
                  <w14:solidFill>
                    <w14:schemeClr w14:val="tx1"/>
                  </w14:solidFill>
                </w14:textFill>
              </w:rPr>
              <w:t>综上所述，</w:t>
            </w:r>
            <w:r>
              <w:rPr>
                <w:i w:val="0"/>
                <w:iCs w:val="0"/>
                <w:color w:val="000000" w:themeColor="text1"/>
                <w:sz w:val="24"/>
                <w:u w:val="none" w:color="auto"/>
                <w14:textFill>
                  <w14:solidFill>
                    <w14:schemeClr w14:val="tx1"/>
                  </w14:solidFill>
                </w14:textFill>
              </w:rPr>
              <w:t>项目</w:t>
            </w:r>
            <w:r>
              <w:rPr>
                <w:i w:val="0"/>
                <w:iCs w:val="0"/>
                <w:color w:val="000000" w:themeColor="text1"/>
                <w:sz w:val="24"/>
                <w:u w:val="none" w:color="auto"/>
                <w:lang w:val="zh-CN"/>
                <w14:textFill>
                  <w14:solidFill>
                    <w14:schemeClr w14:val="tx1"/>
                  </w14:solidFill>
                </w14:textFill>
              </w:rPr>
              <w:t>符合</w:t>
            </w:r>
            <w:r>
              <w:rPr>
                <w:rFonts w:hint="eastAsia"/>
                <w:i w:val="0"/>
                <w:iCs w:val="0"/>
                <w:color w:val="000000" w:themeColor="text1"/>
                <w:sz w:val="24"/>
                <w:u w:val="none" w:color="auto"/>
                <w:lang w:val="zh-CN"/>
                <w14:textFill>
                  <w14:solidFill>
                    <w14:schemeClr w14:val="tx1"/>
                  </w14:solidFill>
                </w14:textFill>
              </w:rPr>
              <w:t>江源区</w:t>
            </w:r>
            <w:r>
              <w:rPr>
                <w:rFonts w:hint="eastAsia" w:ascii="宋体" w:hAnsi="宋体"/>
                <w:i w:val="0"/>
                <w:iCs w:val="0"/>
                <w:color w:val="000000" w:themeColor="text1"/>
                <w:sz w:val="24"/>
                <w:u w:val="none" w:color="auto"/>
                <w14:textFill>
                  <w14:solidFill>
                    <w14:schemeClr w14:val="tx1"/>
                  </w14:solidFill>
                </w14:textFill>
              </w:rPr>
              <w:t>总</w:t>
            </w:r>
            <w:r>
              <w:rPr>
                <w:i w:val="0"/>
                <w:iCs w:val="0"/>
                <w:color w:val="000000" w:themeColor="text1"/>
                <w:sz w:val="24"/>
                <w:u w:val="none" w:color="auto"/>
                <w:lang w:val="zh-CN"/>
                <w14:textFill>
                  <w14:solidFill>
                    <w14:schemeClr w14:val="tx1"/>
                  </w14:solidFill>
                </w14:textFill>
              </w:rPr>
              <w:t>体规划与环境功能区划要求，项目选址是合理</w:t>
            </w:r>
            <w:r>
              <w:rPr>
                <w:rFonts w:hint="eastAsia"/>
                <w:i w:val="0"/>
                <w:iCs w:val="0"/>
                <w:color w:val="000000" w:themeColor="text1"/>
                <w:sz w:val="24"/>
                <w:u w:val="none" w:color="auto"/>
                <w:lang w:val="zh-CN"/>
                <w14:textFill>
                  <w14:solidFill>
                    <w14:schemeClr w14:val="tx1"/>
                  </w14:solidFill>
                </w14:textFill>
              </w:rPr>
              <w:t>，</w:t>
            </w:r>
            <w:r>
              <w:rPr>
                <w:i w:val="0"/>
                <w:iCs w:val="0"/>
                <w:color w:val="000000" w:themeColor="text1"/>
                <w:sz w:val="24"/>
                <w:u w:val="none" w:color="auto"/>
                <w:lang w:val="zh-CN"/>
                <w14:textFill>
                  <w14:solidFill>
                    <w14:schemeClr w14:val="tx1"/>
                  </w14:solidFill>
                </w14:textFill>
              </w:rPr>
              <w:t>项目所在区域尚有一定环境容量，同时，本项目的建设具有较好的社会效益与环境效益。</w:t>
            </w:r>
          </w:p>
          <w:p>
            <w:pPr>
              <w:spacing w:line="360" w:lineRule="auto"/>
              <w:ind w:firstLine="480" w:firstLineChars="200"/>
              <w:rPr>
                <w:i w:val="0"/>
                <w:iCs w:val="0"/>
                <w:color w:val="000000" w:themeColor="text1"/>
                <w:sz w:val="24"/>
                <w:u w:val="none" w:color="auto"/>
                <w14:textFill>
                  <w14:solidFill>
                    <w14:schemeClr w14:val="tx1"/>
                  </w14:solidFill>
                </w14:textFill>
              </w:rPr>
            </w:pPr>
            <w:r>
              <w:rPr>
                <w:i w:val="0"/>
                <w:iCs w:val="0"/>
                <w:color w:val="000000" w:themeColor="text1"/>
                <w:sz w:val="24"/>
                <w:u w:val="none" w:color="auto"/>
                <w:lang w:val="zh-CN"/>
                <w14:textFill>
                  <w14:solidFill>
                    <w14:schemeClr w14:val="tx1"/>
                  </w14:solidFill>
                </w14:textFill>
              </w:rPr>
              <w:t>项目</w:t>
            </w:r>
            <w:r>
              <w:rPr>
                <w:rFonts w:hint="eastAsia"/>
                <w:i w:val="0"/>
                <w:iCs w:val="0"/>
                <w:color w:val="000000" w:themeColor="text1"/>
                <w:sz w:val="24"/>
                <w:u w:val="none" w:color="auto"/>
                <w:lang w:val="zh-CN"/>
                <w14:textFill>
                  <w14:solidFill>
                    <w14:schemeClr w14:val="tx1"/>
                  </w14:solidFill>
                </w14:textFill>
              </w:rPr>
              <w:t>针对</w:t>
            </w:r>
            <w:r>
              <w:rPr>
                <w:i w:val="0"/>
                <w:iCs w:val="0"/>
                <w:color w:val="000000" w:themeColor="text1"/>
                <w:sz w:val="24"/>
                <w:u w:val="none" w:color="auto"/>
                <w14:textFill>
                  <w14:solidFill>
                    <w14:schemeClr w14:val="tx1"/>
                  </w14:solidFill>
                </w14:textFill>
              </w:rPr>
              <w:t>其废水、废气、噪声等各类污染物</w:t>
            </w:r>
            <w:r>
              <w:rPr>
                <w:i w:val="0"/>
                <w:iCs w:val="0"/>
                <w:color w:val="000000" w:themeColor="text1"/>
                <w:sz w:val="24"/>
                <w:u w:val="none" w:color="auto"/>
                <w:lang w:val="zh-CN"/>
                <w14:textFill>
                  <w14:solidFill>
                    <w14:schemeClr w14:val="tx1"/>
                  </w14:solidFill>
                </w14:textFill>
              </w:rPr>
              <w:t>在采取必要的污染防治措施后，</w:t>
            </w:r>
            <w:r>
              <w:rPr>
                <w:i w:val="0"/>
                <w:iCs w:val="0"/>
                <w:color w:val="000000" w:themeColor="text1"/>
                <w:sz w:val="24"/>
                <w:u w:val="none" w:color="auto"/>
                <w14:textFill>
                  <w14:solidFill>
                    <w14:schemeClr w14:val="tx1"/>
                  </w14:solidFill>
                </w14:textFill>
              </w:rPr>
              <w:t>可以实现达标排放</w:t>
            </w:r>
            <w:r>
              <w:rPr>
                <w:rFonts w:hint="eastAsia"/>
                <w:i w:val="0"/>
                <w:iCs w:val="0"/>
                <w:color w:val="000000" w:themeColor="text1"/>
                <w:sz w:val="24"/>
                <w:u w:val="none" w:color="auto"/>
                <w14:textFill>
                  <w14:solidFill>
                    <w14:schemeClr w14:val="tx1"/>
                  </w14:solidFill>
                </w14:textFill>
              </w:rPr>
              <w:t>，固体废物合理处置，另外对原辅材料的储存措施、风险防控等按照相关标准、规范采取措施后，对周围环境保护目标及周边企业的影响很小。</w:t>
            </w:r>
          </w:p>
          <w:p>
            <w:pPr>
              <w:spacing w:line="360" w:lineRule="auto"/>
              <w:ind w:firstLine="480" w:firstLineChars="200"/>
              <w:rPr>
                <w:i w:val="0"/>
                <w:iCs w:val="0"/>
                <w:color w:val="000000" w:themeColor="text1"/>
                <w:sz w:val="24"/>
                <w:u w:val="none" w:color="auto"/>
                <w14:textFill>
                  <w14:solidFill>
                    <w14:schemeClr w14:val="tx1"/>
                  </w14:solidFill>
                </w14:textFill>
              </w:rPr>
            </w:pPr>
            <w:r>
              <w:rPr>
                <w:rFonts w:hint="eastAsia"/>
                <w:i w:val="0"/>
                <w:iCs w:val="0"/>
                <w:color w:val="000000" w:themeColor="text1"/>
                <w:sz w:val="24"/>
                <w:u w:val="none" w:color="auto"/>
                <w14:textFill>
                  <w14:solidFill>
                    <w14:schemeClr w14:val="tx1"/>
                  </w14:solidFill>
                </w14:textFill>
              </w:rPr>
              <w:t>在企业认真落实本报告表中提出的各项污染防治措施并贯彻落实环保“三同时”原则，从环保角度考虑，建设项目选址合理、建设可行。</w:t>
            </w:r>
          </w:p>
          <w:p>
            <w:pPr>
              <w:adjustRightInd w:val="0"/>
              <w:snapToGrid w:val="0"/>
              <w:ind w:firstLine="480" w:firstLineChars="200"/>
              <w:rPr>
                <w:rFonts w:ascii="Times New Roman" w:hAnsi="Times New Roman" w:cs="宋体"/>
                <w:i w:val="0"/>
                <w:iCs w:val="0"/>
                <w:color w:val="000000" w:themeColor="text1"/>
                <w:kern w:val="21"/>
                <w:sz w:val="24"/>
                <w:u w:val="none" w:color="auto"/>
                <w14:textFill>
                  <w14:solidFill>
                    <w14:schemeClr w14:val="tx1"/>
                  </w14:solidFill>
                </w14:textFill>
              </w:rPr>
            </w:pPr>
          </w:p>
        </w:tc>
      </w:tr>
    </w:tbl>
    <w:p>
      <w:pPr>
        <w:rPr>
          <w:rFonts w:ascii="Times New Roman" w:hAnsi="Times New Roman"/>
          <w:i w:val="0"/>
          <w:iCs w:val="0"/>
          <w:color w:val="000000" w:themeColor="text1"/>
          <w:kern w:val="21"/>
          <w:u w:val="none" w:color="auto"/>
          <w14:textFill>
            <w14:solidFill>
              <w14:schemeClr w14:val="tx1"/>
            </w14:solidFill>
          </w14:textFill>
        </w:rPr>
        <w:sectPr>
          <w:pgSz w:w="11907" w:h="16838"/>
          <w:pgMar w:top="1418" w:right="1418" w:bottom="1418" w:left="1701" w:header="851" w:footer="851" w:gutter="0"/>
          <w:cols w:space="720" w:num="1"/>
          <w:docGrid w:linePitch="312" w:charSpace="0"/>
        </w:sectPr>
      </w:pPr>
    </w:p>
    <w:p>
      <w:pPr>
        <w:pStyle w:val="16"/>
        <w:adjustRightInd w:val="0"/>
        <w:snapToGrid w:val="0"/>
        <w:spacing w:before="0" w:beforeAutospacing="0" w:after="0" w:afterAutospacing="0"/>
        <w:outlineLvl w:val="0"/>
        <w:rPr>
          <w:rFonts w:ascii="Times New Roman" w:hAnsi="Times New Roman" w:eastAsia="黑体"/>
          <w:i w:val="0"/>
          <w:iCs w:val="0"/>
          <w:snapToGrid w:val="0"/>
          <w:color w:val="000000" w:themeColor="text1"/>
          <w:kern w:val="21"/>
          <w:sz w:val="21"/>
          <w:szCs w:val="21"/>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 w:val="32"/>
          <w:szCs w:val="32"/>
          <w:u w:val="none" w:color="auto"/>
          <w14:textFill>
            <w14:solidFill>
              <w14:schemeClr w14:val="tx1"/>
            </w14:solidFill>
          </w14:textFill>
        </w:rPr>
        <w:t>附表</w:t>
      </w:r>
    </w:p>
    <w:p>
      <w:pPr>
        <w:pStyle w:val="16"/>
        <w:adjustRightInd w:val="0"/>
        <w:snapToGrid w:val="0"/>
        <w:spacing w:before="0" w:beforeAutospacing="0" w:after="0" w:afterAutospacing="0" w:line="480" w:lineRule="auto"/>
        <w:jc w:val="center"/>
        <w:outlineLvl w:val="0"/>
        <w:rPr>
          <w:rFonts w:ascii="Times New Roman" w:hAnsi="Times New Roman" w:eastAsia="方正小标宋_GBK"/>
          <w:i w:val="0"/>
          <w:iCs w:val="0"/>
          <w:snapToGrid w:val="0"/>
          <w:color w:val="000000" w:themeColor="text1"/>
          <w:kern w:val="21"/>
          <w:sz w:val="38"/>
          <w:szCs w:val="38"/>
          <w:u w:val="none" w:color="auto"/>
          <w14:textFill>
            <w14:solidFill>
              <w14:schemeClr w14:val="tx1"/>
            </w14:solidFill>
          </w14:textFill>
        </w:rPr>
      </w:pPr>
      <w:r>
        <w:rPr>
          <w:rFonts w:hint="eastAsia" w:ascii="Times New Roman" w:hAnsi="Times New Roman" w:eastAsia="方正小标宋_GBK"/>
          <w:i w:val="0"/>
          <w:iCs w:val="0"/>
          <w:snapToGrid w:val="0"/>
          <w:color w:val="000000" w:themeColor="text1"/>
          <w:kern w:val="21"/>
          <w:sz w:val="38"/>
          <w:szCs w:val="38"/>
          <w:u w:val="none" w:color="auto"/>
          <w14:textFill>
            <w14:solidFill>
              <w14:schemeClr w14:val="tx1"/>
            </w14:solidFill>
          </w14:textFill>
        </w:rPr>
        <w:t>建设项目污染物排放量汇总表</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361"/>
        <w:gridCol w:w="1645"/>
        <w:gridCol w:w="1221"/>
        <w:gridCol w:w="1645"/>
        <w:gridCol w:w="1502"/>
        <w:gridCol w:w="1706"/>
        <w:gridCol w:w="1901"/>
        <w:gridCol w:w="12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tcBorders>
              <w:tl2br w:val="single" w:color="auto" w:sz="4" w:space="0"/>
            </w:tcBorders>
            <w:tcMar>
              <w:left w:w="28" w:type="dxa"/>
              <w:right w:w="28" w:type="dxa"/>
            </w:tcMar>
            <w:vAlign w:val="center"/>
          </w:tcPr>
          <w:p>
            <w:pPr>
              <w:pStyle w:val="27"/>
              <w:spacing w:beforeLines="0" w:afterLines="0" w:line="240" w:lineRule="auto"/>
              <w:jc w:val="right"/>
              <w:rPr>
                <w:rFonts w:ascii="Times New Roman" w:hAnsi="Times New Roman" w:eastAsia="黑体"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eastAsia="黑体" w:cs="宋体"/>
                <w:i w:val="0"/>
                <w:iCs w:val="0"/>
                <w:snapToGrid w:val="0"/>
                <w:color w:val="000000" w:themeColor="text1"/>
                <w:kern w:val="21"/>
                <w:szCs w:val="21"/>
                <w:u w:val="none" w:color="auto"/>
                <w14:textFill>
                  <w14:solidFill>
                    <w14:schemeClr w14:val="tx1"/>
                  </w14:solidFill>
                </w14:textFill>
              </w:rPr>
              <w:t>项目</w:t>
            </w:r>
          </w:p>
          <w:p>
            <w:pPr>
              <w:pStyle w:val="27"/>
              <w:spacing w:beforeLines="0" w:afterLines="0" w:line="240" w:lineRule="auto"/>
              <w:jc w:val="left"/>
              <w:rPr>
                <w:rFonts w:ascii="Times New Roman" w:hAnsi="Times New Roman" w:eastAsia="黑体"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eastAsia="黑体" w:cs="宋体"/>
                <w:i w:val="0"/>
                <w:iCs w:val="0"/>
                <w:snapToGrid w:val="0"/>
                <w:color w:val="000000" w:themeColor="text1"/>
                <w:kern w:val="21"/>
                <w:szCs w:val="21"/>
                <w:u w:val="none" w:color="auto"/>
                <w14:textFill>
                  <w14:solidFill>
                    <w14:schemeClr w14:val="tx1"/>
                  </w14:solidFill>
                </w14:textFill>
              </w:rPr>
              <w:t>分类</w:t>
            </w:r>
          </w:p>
        </w:tc>
        <w:tc>
          <w:tcPr>
            <w:tcW w:w="494" w:type="pct"/>
            <w:tcMar>
              <w:left w:w="28" w:type="dxa"/>
              <w:right w:w="28" w:type="dxa"/>
            </w:tcMar>
            <w:vAlign w:val="center"/>
          </w:tcPr>
          <w:p>
            <w:pPr>
              <w:pStyle w:val="27"/>
              <w:spacing w:beforeLines="0" w:afterLines="0" w:line="240" w:lineRule="auto"/>
              <w:rPr>
                <w:rFonts w:ascii="Times New Roman" w:hAnsi="Times New Roman" w:eastAsia="黑体"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eastAsia="黑体" w:cs="宋体"/>
                <w:i w:val="0"/>
                <w:iCs w:val="0"/>
                <w:snapToGrid w:val="0"/>
                <w:color w:val="000000" w:themeColor="text1"/>
                <w:kern w:val="21"/>
                <w:szCs w:val="21"/>
                <w:u w:val="none" w:color="auto"/>
                <w14:textFill>
                  <w14:solidFill>
                    <w14:schemeClr w14:val="tx1"/>
                  </w14:solidFill>
                </w14:textFill>
              </w:rPr>
              <w:t>污染物名称</w:t>
            </w:r>
          </w:p>
        </w:tc>
        <w:tc>
          <w:tcPr>
            <w:tcW w:w="597"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现有工程</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排放量（固</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体</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废</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物</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产生量）</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1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①</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443"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现有工程</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许可排放量</w:t>
            </w:r>
          </w:p>
          <w:p>
            <w:pPr>
              <w:pStyle w:val="27"/>
              <w:spacing w:beforeLines="0" w:afterLines="0"/>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2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snapToGrid w:val="0"/>
                <w:color w:val="000000" w:themeColor="text1"/>
                <w:kern w:val="21"/>
                <w:szCs w:val="21"/>
                <w:u w:val="none" w:color="auto"/>
                <w14:textFill>
                  <w14:solidFill>
                    <w14:schemeClr w14:val="tx1"/>
                  </w14:solidFill>
                </w14:textFill>
              </w:rPr>
              <w:t>②</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597"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在建工程</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排放量（固</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体</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废</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物</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产生量）</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3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③</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545"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本项目</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排放量（固</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体</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废</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物</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产生量）</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4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④</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619"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以新带老削减量</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（新建项目不填）</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5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⑤</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690"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本项目建成后</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全厂</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排放量（固</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体</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废</w:t>
            </w:r>
            <w:r>
              <w:rPr>
                <w:rFonts w:hint="eastAsia" w:ascii="Times New Roman" w:hAnsi="Times New Roman" w:eastAsia="黑体"/>
                <w:i w:val="0"/>
                <w:iCs w:val="0"/>
                <w:snapToGrid w:val="0"/>
                <w:color w:val="000000" w:themeColor="text1"/>
                <w:kern w:val="21"/>
                <w:szCs w:val="21"/>
                <w:u w:val="none" w:color="auto"/>
                <w14:textFill>
                  <w14:solidFill>
                    <w14:schemeClr w14:val="tx1"/>
                  </w14:solidFill>
                </w14:textFill>
              </w:rPr>
              <w:t>物</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产生量）</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6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⑥</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c>
          <w:tcPr>
            <w:tcW w:w="456" w:type="pct"/>
            <w:tcMar>
              <w:left w:w="28" w:type="dxa"/>
              <w:right w:w="28" w:type="dxa"/>
            </w:tcMar>
            <w:vAlign w:val="center"/>
          </w:tcPr>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t>变化量</w:t>
            </w:r>
          </w:p>
          <w:p>
            <w:pPr>
              <w:pStyle w:val="27"/>
              <w:spacing w:beforeLines="0" w:afterLines="0" w:line="240" w:lineRule="auto"/>
              <w:rPr>
                <w:rFonts w:ascii="Times New Roman" w:hAnsi="Times New Roman" w:eastAsia="黑体"/>
                <w:i w:val="0"/>
                <w:iCs w:val="0"/>
                <w:snapToGrid w:val="0"/>
                <w:color w:val="000000" w:themeColor="text1"/>
                <w:kern w:val="21"/>
                <w:szCs w:val="21"/>
                <w:u w:val="none" w:color="auto"/>
                <w14:textFill>
                  <w14:solidFill>
                    <w14:schemeClr w14:val="tx1"/>
                  </w14:solidFill>
                </w14:textFill>
              </w:rPr>
            </w:pP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instrText xml:space="preserve"> = 7 \* GB3 \* MERGEFORMAT </w:instrTex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eastAsia="黑体" w:cs="宋体"/>
                <w:i w:val="0"/>
                <w:iCs w:val="0"/>
                <w:color w:val="000000" w:themeColor="text1"/>
                <w:kern w:val="21"/>
                <w:szCs w:val="21"/>
                <w:u w:val="none" w:color="auto"/>
                <w14:textFill>
                  <w14:solidFill>
                    <w14:schemeClr w14:val="tx1"/>
                  </w14:solidFill>
                </w14:textFill>
              </w:rPr>
              <w:t>⑦</w:t>
            </w:r>
            <w:r>
              <w:rPr>
                <w:rFonts w:ascii="Times New Roman" w:hAnsi="Times New Roman" w:eastAsia="黑体"/>
                <w:i w:val="0"/>
                <w:iCs w:val="0"/>
                <w:snapToGrid w:val="0"/>
                <w:color w:val="000000" w:themeColor="text1"/>
                <w:kern w:val="21"/>
                <w:szCs w:val="21"/>
                <w:u w:val="none" w:color="auto"/>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restar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废气</w:t>
            </w:r>
          </w:p>
        </w:tc>
        <w:tc>
          <w:tcPr>
            <w:tcW w:w="494"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SO</w:t>
            </w:r>
            <w:r>
              <w:rPr>
                <w:rFonts w:hint="eastAsia" w:ascii="Times New Roman" w:hAnsi="Times New Roman" w:cs="宋体"/>
                <w:i w:val="0"/>
                <w:iCs w:val="0"/>
                <w:color w:val="000000" w:themeColor="text1"/>
                <w:szCs w:val="21"/>
                <w:u w:val="none" w:color="auto"/>
                <w:vertAlign w:val="subscript"/>
                <w14:textFill>
                  <w14:solidFill>
                    <w14:schemeClr w14:val="tx1"/>
                  </w14:solidFill>
                </w14:textFill>
              </w:rPr>
              <w:t>2</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tcBorders>
              <w:tl2br w:val="nil"/>
              <w:tr2bl w:val="nil"/>
            </w:tcBorders>
            <w:shd w:val="clear" w:color="auto" w:fill="auto"/>
            <w:vAlign w:val="center"/>
          </w:tcPr>
          <w:p>
            <w:pPr>
              <w:pStyle w:val="3"/>
              <w:numPr>
                <w:ilvl w:val="0"/>
                <w:numId w:val="0"/>
              </w:numPr>
              <w:jc w:val="center"/>
              <w:rPr>
                <w:rFonts w:hint="default" w:ascii="Times New Roman" w:hAnsi="Times New Roman" w:eastAsia="宋体" w:cs="宋体"/>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1.836</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1901" w:type="dxa"/>
            <w:tcBorders>
              <w:tl2br w:val="nil"/>
              <w:tr2bl w:val="nil"/>
            </w:tcBorders>
            <w:shd w:val="clear" w:color="auto" w:fill="auto"/>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1.836</w:t>
            </w:r>
          </w:p>
        </w:tc>
        <w:tc>
          <w:tcPr>
            <w:tcW w:w="1257" w:type="dxa"/>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+1.836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颗粒物</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0.036</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1901" w:type="dxa"/>
            <w:tcBorders>
              <w:tl2br w:val="nil"/>
              <w:tr2bl w:val="nil"/>
            </w:tcBorders>
            <w:shd w:val="clear" w:color="auto" w:fill="auto"/>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0.036</w:t>
            </w:r>
          </w:p>
        </w:tc>
        <w:tc>
          <w:tcPr>
            <w:tcW w:w="1257" w:type="dxa"/>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+0.036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NOx</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tcBorders>
              <w:tl2br w:val="nil"/>
              <w:tr2bl w:val="nil"/>
            </w:tcBorders>
            <w:shd w:val="clear" w:color="auto" w:fill="auto"/>
            <w:vAlign w:val="center"/>
          </w:tcPr>
          <w:p>
            <w:pPr>
              <w:pStyle w:val="3"/>
              <w:numPr>
                <w:ilvl w:val="0"/>
                <w:numId w:val="0"/>
              </w:numPr>
              <w:jc w:val="center"/>
              <w:rPr>
                <w:rFonts w:hint="default" w:ascii="Times New Roman" w:hAnsi="Times New Roman" w:eastAsia="宋体" w:cs="宋体"/>
                <w:i w:val="0"/>
                <w:iCs w:val="0"/>
                <w:color w:val="000000" w:themeColor="text1"/>
                <w:szCs w:val="21"/>
                <w:u w:val="none" w:color="auto"/>
                <w:lang w:val="en-US" w:eastAsia="zh-CN"/>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3.672</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1901" w:type="dxa"/>
            <w:tcBorders>
              <w:tl2br w:val="nil"/>
              <w:tr2bl w:val="nil"/>
            </w:tcBorders>
            <w:shd w:val="clear" w:color="auto" w:fill="auto"/>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3.672</w:t>
            </w:r>
          </w:p>
        </w:tc>
        <w:tc>
          <w:tcPr>
            <w:tcW w:w="1257" w:type="dxa"/>
            <w:vAlign w:val="center"/>
          </w:tcPr>
          <w:p>
            <w:pPr>
              <w:pStyle w:val="3"/>
              <w:numPr>
                <w:ilvl w:val="0"/>
                <w:numId w:val="0"/>
              </w:numPr>
              <w:ind w:left="0" w:leftChars="0" w:firstLine="0" w:firstLineChars="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lang w:val="en-US" w:eastAsia="zh-CN"/>
                <w14:textFill>
                  <w14:solidFill>
                    <w14:schemeClr w14:val="tx1"/>
                  </w14:solidFill>
                </w14:textFill>
              </w:rPr>
              <w:t>+3.672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饮食业油烟</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0.0121</w:t>
            </w:r>
          </w:p>
        </w:tc>
        <w:tc>
          <w:tcPr>
            <w:tcW w:w="619"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90" w:type="pct"/>
            <w:tcBorders>
              <w:tl2br w:val="nil"/>
              <w:tr2bl w:val="nil"/>
            </w:tcBorders>
            <w:shd w:val="clear" w:color="auto" w:fill="auto"/>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0.0121</w:t>
            </w:r>
          </w:p>
        </w:tc>
        <w:tc>
          <w:tcPr>
            <w:tcW w:w="456" w:type="pct"/>
            <w:vAlign w:val="center"/>
          </w:tcPr>
          <w:p>
            <w:pPr>
              <w:pStyle w:val="3"/>
              <w:numPr>
                <w:ilvl w:val="0"/>
                <w:numId w:val="0"/>
              </w:numPr>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+0.0121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restar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废水</w:t>
            </w:r>
          </w:p>
        </w:tc>
        <w:tc>
          <w:tcPr>
            <w:tcW w:w="494" w:type="pct"/>
            <w:vAlign w:val="center"/>
          </w:tcPr>
          <w:p>
            <w:pPr>
              <w:pStyle w:val="3"/>
              <w:numPr>
                <w:ilvl w:val="0"/>
                <w:numId w:val="0"/>
              </w:num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COD</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pStyle w:val="3"/>
              <w:numPr>
                <w:ilvl w:val="0"/>
                <w:numId w:val="0"/>
              </w:numPr>
              <w:jc w:val="center"/>
              <w:rPr>
                <w:rFonts w:hint="default"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0.0229</w:t>
            </w:r>
          </w:p>
        </w:tc>
        <w:tc>
          <w:tcPr>
            <w:tcW w:w="619" w:type="pct"/>
            <w:vAlign w:val="center"/>
          </w:tcPr>
          <w:p>
            <w:pPr>
              <w:jc w:val="center"/>
              <w:rPr>
                <w:i w:val="0"/>
                <w:iCs w:val="0"/>
                <w:color w:val="000000" w:themeColor="text1"/>
                <w:u w:val="none" w:color="auto"/>
                <w14:textFill>
                  <w14:solidFill>
                    <w14:schemeClr w14:val="tx1"/>
                  </w14:solidFill>
                </w14:textFill>
              </w:rPr>
            </w:pPr>
          </w:p>
        </w:tc>
        <w:tc>
          <w:tcPr>
            <w:tcW w:w="690" w:type="pct"/>
            <w:vAlign w:val="center"/>
          </w:tcPr>
          <w:p>
            <w:pPr>
              <w:pStyle w:val="3"/>
              <w:numPr>
                <w:ilvl w:val="0"/>
                <w:numId w:val="0"/>
              </w:numPr>
              <w:jc w:val="center"/>
              <w:rPr>
                <w:rFonts w:hint="eastAsia"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w:t>
            </w:r>
          </w:p>
        </w:tc>
        <w:tc>
          <w:tcPr>
            <w:tcW w:w="456" w:type="pct"/>
            <w:vAlign w:val="center"/>
          </w:tcPr>
          <w:p>
            <w:pPr>
              <w:pStyle w:val="3"/>
              <w:numPr>
                <w:ilvl w:val="0"/>
                <w:numId w:val="0"/>
              </w:numPr>
              <w:jc w:val="center"/>
              <w:rPr>
                <w:rFonts w:hint="eastAsia"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SS</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pStyle w:val="27"/>
              <w:spacing w:beforeLines="0" w:afterLines="0" w:line="240" w:lineRule="auto"/>
              <w:rPr>
                <w:rFonts w:hint="default"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00182</w:t>
            </w:r>
          </w:p>
        </w:tc>
        <w:tc>
          <w:tcPr>
            <w:tcW w:w="619" w:type="pct"/>
            <w:vAlign w:val="center"/>
          </w:tcPr>
          <w:p>
            <w:pPr>
              <w:jc w:val="center"/>
              <w:rPr>
                <w:i w:val="0"/>
                <w:iCs w:val="0"/>
                <w:color w:val="000000" w:themeColor="text1"/>
                <w:u w:val="none" w:color="auto"/>
                <w14:textFill>
                  <w14:solidFill>
                    <w14:schemeClr w14:val="tx1"/>
                  </w14:solidFill>
                </w14:textFill>
              </w:rPr>
            </w:pPr>
          </w:p>
        </w:tc>
        <w:tc>
          <w:tcPr>
            <w:tcW w:w="690" w:type="pct"/>
            <w:vAlign w:val="center"/>
          </w:tcPr>
          <w:p>
            <w:pPr>
              <w:pStyle w:val="27"/>
              <w:spacing w:beforeLines="0" w:afterLines="0" w:line="240" w:lineRule="auto"/>
              <w:rPr>
                <w:rFonts w:hint="eastAsia"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w:t>
            </w:r>
          </w:p>
        </w:tc>
        <w:tc>
          <w:tcPr>
            <w:tcW w:w="456" w:type="pct"/>
            <w:vAlign w:val="center"/>
          </w:tcPr>
          <w:p>
            <w:pPr>
              <w:pStyle w:val="27"/>
              <w:spacing w:beforeLines="0" w:afterLines="0" w:line="240" w:lineRule="auto"/>
              <w:rPr>
                <w:rFonts w:hint="eastAsia"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szCs w:val="21"/>
                <w:u w:val="none" w:color="auto"/>
                <w14:textFill>
                  <w14:solidFill>
                    <w14:schemeClr w14:val="tx1"/>
                  </w14:solidFill>
                </w14:textFill>
              </w:rPr>
              <w:t>氨氮</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c>
          <w:tcPr>
            <w:tcW w:w="619" w:type="pct"/>
            <w:vAlign w:val="center"/>
          </w:tcPr>
          <w:p>
            <w:pPr>
              <w:jc w:val="center"/>
              <w:rPr>
                <w:i w:val="0"/>
                <w:iCs w:val="0"/>
                <w:color w:val="000000" w:themeColor="text1"/>
                <w:u w:val="none" w:color="auto"/>
                <w14:textFill>
                  <w14:solidFill>
                    <w14:schemeClr w14:val="tx1"/>
                  </w14:solidFill>
                </w14:textFill>
              </w:rPr>
            </w:pPr>
          </w:p>
        </w:tc>
        <w:tc>
          <w:tcPr>
            <w:tcW w:w="690"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c>
          <w:tcPr>
            <w:tcW w:w="456"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adjustRightInd w:val="0"/>
              <w:snapToGrid w:val="0"/>
              <w:jc w:val="center"/>
              <w:rPr>
                <w:rFonts w:ascii="Times New Roman" w:hAnsi="Times New Roman" w:cs="宋体"/>
                <w:i w:val="0"/>
                <w:iCs w:val="0"/>
                <w:color w:val="000000" w:themeColor="text1"/>
                <w:szCs w:val="21"/>
                <w:u w:val="none" w:color="auto"/>
                <w14:textFill>
                  <w14:solidFill>
                    <w14:schemeClr w14:val="tx1"/>
                  </w14:solidFill>
                </w14:textFill>
              </w:rPr>
            </w:pPr>
            <w:r>
              <w:rPr>
                <w:rFonts w:hint="eastAsia" w:ascii="Times New Roman" w:hAnsi="Times New Roman" w:cs="宋体"/>
                <w:i w:val="0"/>
                <w:iCs w:val="0"/>
                <w:color w:val="000000" w:themeColor="text1"/>
                <w:kern w:val="21"/>
                <w:szCs w:val="21"/>
                <w:u w:val="none" w:color="auto"/>
                <w14:textFill>
                  <w14:solidFill>
                    <w14:schemeClr w14:val="tx1"/>
                  </w14:solidFill>
                </w14:textFill>
              </w:rPr>
              <w:t>B</w:t>
            </w:r>
            <w:r>
              <w:rPr>
                <w:rFonts w:ascii="Times New Roman" w:hAnsi="Times New Roman" w:cs="宋体"/>
                <w:i w:val="0"/>
                <w:iCs w:val="0"/>
                <w:color w:val="000000" w:themeColor="text1"/>
                <w:kern w:val="21"/>
                <w:szCs w:val="21"/>
                <w:u w:val="none" w:color="auto"/>
                <w14:textFill>
                  <w14:solidFill>
                    <w14:schemeClr w14:val="tx1"/>
                  </w14:solidFill>
                </w14:textFill>
              </w:rPr>
              <w:t>OD</w:t>
            </w:r>
            <w:r>
              <w:rPr>
                <w:rFonts w:ascii="Times New Roman" w:hAnsi="Times New Roman" w:cs="宋体"/>
                <w:i w:val="0"/>
                <w:iCs w:val="0"/>
                <w:color w:val="000000" w:themeColor="text1"/>
                <w:kern w:val="21"/>
                <w:szCs w:val="21"/>
                <w:u w:val="none" w:color="auto"/>
                <w:vertAlign w:val="subscript"/>
                <w14:textFill>
                  <w14:solidFill>
                    <w14:schemeClr w14:val="tx1"/>
                  </w14:solidFill>
                </w14:textFill>
              </w:rPr>
              <w:t>5</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c>
          <w:tcPr>
            <w:tcW w:w="619" w:type="pct"/>
            <w:vAlign w:val="center"/>
          </w:tcPr>
          <w:p>
            <w:pPr>
              <w:jc w:val="center"/>
              <w:rPr>
                <w:i w:val="0"/>
                <w:iCs w:val="0"/>
                <w:color w:val="000000" w:themeColor="text1"/>
                <w:u w:val="none" w:color="auto"/>
                <w14:textFill>
                  <w14:solidFill>
                    <w14:schemeClr w14:val="tx1"/>
                  </w14:solidFill>
                </w14:textFill>
              </w:rPr>
            </w:pPr>
          </w:p>
        </w:tc>
        <w:tc>
          <w:tcPr>
            <w:tcW w:w="690"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c>
          <w:tcPr>
            <w:tcW w:w="456" w:type="pct"/>
            <w:vAlign w:val="center"/>
          </w:tcPr>
          <w:p>
            <w:pPr>
              <w:pStyle w:val="27"/>
              <w:spacing w:beforeLines="0" w:afterLines="0" w:line="240" w:lineRule="auto"/>
              <w:rPr>
                <w:rFonts w:ascii="Times New Roman" w:hAnsi="Times New Roman" w:cs="宋体"/>
                <w:i w:val="0"/>
                <w:iCs w:val="0"/>
                <w:color w:val="000000" w:themeColor="text1"/>
                <w:szCs w:val="21"/>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restar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一般工业</w:t>
            </w:r>
          </w:p>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固体废物</w:t>
            </w:r>
          </w:p>
        </w:tc>
        <w:tc>
          <w:tcPr>
            <w:tcW w:w="494" w:type="pct"/>
            <w:vAlign w:val="center"/>
          </w:tcPr>
          <w:p>
            <w:pPr>
              <w:pStyle w:val="27"/>
              <w:spacing w:beforeLines="0" w:afterLines="0" w:line="240" w:lineRule="auto"/>
              <w:rPr>
                <w:rFonts w:hint="eastAsia" w:ascii="Times New Roman" w:hAnsi="Times New Roman" w:eastAsia="宋体" w:cs="宋体"/>
                <w:i w:val="0"/>
                <w:iCs w:val="0"/>
                <w:snapToGrid w:val="0"/>
                <w:color w:val="000000" w:themeColor="text1"/>
                <w:kern w:val="21"/>
                <w:szCs w:val="21"/>
                <w:u w:val="none" w:color="auto"/>
                <w:lang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eastAsia="zh-CN"/>
                <w14:textFill>
                  <w14:solidFill>
                    <w14:schemeClr w14:val="tx1"/>
                  </w14:solidFill>
                </w14:textFill>
              </w:rPr>
              <w:t>废离子交换树脂</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jc w:val="center"/>
              <w:rPr>
                <w:rFonts w:hint="default" w:eastAsia="宋体"/>
                <w:i w:val="0"/>
                <w:iCs w:val="0"/>
                <w:color w:val="000000" w:themeColor="text1"/>
                <w:u w:val="none" w:color="auto"/>
                <w:lang w:val="en-US" w:eastAsia="zh-CN"/>
                <w14:textFill>
                  <w14:solidFill>
                    <w14:schemeClr w14:val="tx1"/>
                  </w14:solidFill>
                </w14:textFill>
              </w:rPr>
            </w:pPr>
            <w:r>
              <w:rPr>
                <w:rFonts w:hint="eastAsia"/>
                <w:i w:val="0"/>
                <w:iCs w:val="0"/>
                <w:color w:val="000000" w:themeColor="text1"/>
                <w:u w:val="none" w:color="auto"/>
                <w:lang w:val="en-US" w:eastAsia="zh-CN"/>
                <w14:textFill>
                  <w14:solidFill>
                    <w14:schemeClr w14:val="tx1"/>
                  </w14:solidFill>
                </w14:textFill>
              </w:rPr>
              <w:t>0.1</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90" w:type="pct"/>
            <w:vAlign w:val="center"/>
          </w:tcPr>
          <w:p>
            <w:pPr>
              <w:jc w:val="center"/>
              <w:rPr>
                <w:rFonts w:hint="default" w:eastAsia="宋体"/>
                <w:i w:val="0"/>
                <w:iCs w:val="0"/>
                <w:color w:val="000000" w:themeColor="text1"/>
                <w:u w:val="none" w:color="auto"/>
                <w:lang w:val="en-US" w:eastAsia="zh-CN"/>
                <w14:textFill>
                  <w14:solidFill>
                    <w14:schemeClr w14:val="tx1"/>
                  </w14:solidFill>
                </w14:textFill>
              </w:rPr>
            </w:pPr>
            <w:r>
              <w:rPr>
                <w:rFonts w:hint="eastAsia"/>
                <w:i w:val="0"/>
                <w:iCs w:val="0"/>
                <w:color w:val="000000" w:themeColor="text1"/>
                <w:u w:val="none" w:color="auto"/>
                <w:lang w:val="en-US" w:eastAsia="zh-CN"/>
                <w14:textFill>
                  <w14:solidFill>
                    <w14:schemeClr w14:val="tx1"/>
                  </w14:solidFill>
                </w14:textFill>
              </w:rPr>
              <w:t>0.1</w:t>
            </w:r>
          </w:p>
        </w:tc>
        <w:tc>
          <w:tcPr>
            <w:tcW w:w="456" w:type="pct"/>
            <w:vAlign w:val="center"/>
          </w:tcPr>
          <w:p>
            <w:pPr>
              <w:jc w:val="center"/>
              <w:rPr>
                <w:rFonts w:hint="default" w:eastAsia="宋体"/>
                <w:i w:val="0"/>
                <w:iCs w:val="0"/>
                <w:color w:val="000000" w:themeColor="text1"/>
                <w:u w:val="none" w:color="auto"/>
                <w:lang w:val="en-US" w:eastAsia="zh-CN"/>
                <w14:textFill>
                  <w14:solidFill>
                    <w14:schemeClr w14:val="tx1"/>
                  </w14:solidFill>
                </w14:textFill>
              </w:rPr>
            </w:pPr>
            <w:r>
              <w:rPr>
                <w:rFonts w:ascii="Times New Roman" w:hAnsi="Times New Roman" w:cs="宋体"/>
                <w:i w:val="0"/>
                <w:iCs w:val="0"/>
                <w:snapToGrid w:val="0"/>
                <w:color w:val="000000" w:themeColor="text1"/>
                <w:kern w:val="21"/>
                <w:szCs w:val="21"/>
                <w:u w:val="none" w:color="auto"/>
                <w14:textFill>
                  <w14:solidFill>
                    <w14:schemeClr w14:val="tx1"/>
                  </w14:solidFill>
                </w14:textFill>
              </w:rPr>
              <w:t>+</w:t>
            </w: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布袋粉尘</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jc w:val="center"/>
              <w:rPr>
                <w:rFonts w:hint="default" w:eastAsia="宋体"/>
                <w:i w:val="0"/>
                <w:iCs w:val="0"/>
                <w:color w:val="000000" w:themeColor="text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1.764</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90"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1.764</w:t>
            </w:r>
          </w:p>
        </w:tc>
        <w:tc>
          <w:tcPr>
            <w:tcW w:w="456"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锅炉灰渣</w:t>
            </w:r>
          </w:p>
        </w:tc>
        <w:tc>
          <w:tcPr>
            <w:tcW w:w="597"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43"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597"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545" w:type="pct"/>
            <w:vAlign w:val="center"/>
          </w:tcPr>
          <w:p>
            <w:pPr>
              <w:jc w:val="center"/>
              <w:rPr>
                <w:rFonts w:hint="default" w:ascii="Times New Roman" w:hAnsi="Times New Roman" w:eastAsia="宋体" w:cs="宋体"/>
                <w:i w:val="0"/>
                <w:iCs w:val="0"/>
                <w:snapToGrid w:val="0"/>
                <w:color w:val="000000" w:themeColor="text1"/>
                <w:kern w:val="21"/>
                <w:szCs w:val="21"/>
                <w:u w:val="none" w:color="auto"/>
                <w:lang w:val="en-US" w:eastAsia="zh-CN"/>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110.52</w:t>
            </w:r>
          </w:p>
        </w:tc>
        <w:tc>
          <w:tcPr>
            <w:tcW w:w="619"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690"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110.52</w:t>
            </w:r>
          </w:p>
        </w:tc>
        <w:tc>
          <w:tcPr>
            <w:tcW w:w="456" w:type="pct"/>
            <w:vAlign w:val="center"/>
          </w:tcPr>
          <w:p>
            <w:pPr>
              <w:jc w:val="center"/>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r>
              <w:rPr>
                <w:rFonts w:hint="eastAsia" w:ascii="Times New Roman" w:hAnsi="Times New Roman" w:cs="宋体"/>
                <w:i w:val="0"/>
                <w:iCs w:val="0"/>
                <w:snapToGrid w:val="0"/>
                <w:color w:val="000000" w:themeColor="text1"/>
                <w:kern w:val="21"/>
                <w:szCs w:val="21"/>
                <w:u w:val="none" w:color="auto"/>
                <w:lang w:val="en-US" w:eastAsia="zh-CN"/>
                <w14:textFill>
                  <w14:solidFill>
                    <w14:schemeClr w14:val="tx1"/>
                  </w14:solidFill>
                </w14:textFill>
              </w:rPr>
              <w:t>110.52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restar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危险废物</w:t>
            </w:r>
          </w:p>
        </w:tc>
        <w:tc>
          <w:tcPr>
            <w:tcW w:w="494" w:type="pc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90"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56"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vMerge w:val="continue"/>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p>
        </w:tc>
        <w:tc>
          <w:tcPr>
            <w:tcW w:w="494" w:type="pct"/>
            <w:vAlign w:val="center"/>
          </w:tcPr>
          <w:p>
            <w:pPr>
              <w:pStyle w:val="27"/>
              <w:spacing w:beforeLines="0" w:afterLines="0" w:line="240" w:lineRule="auto"/>
              <w:rPr>
                <w:rFonts w:ascii="Times New Roman" w:hAnsi="Times New Roman" w:cs="宋体"/>
                <w:i w:val="0"/>
                <w:iCs w:val="0"/>
                <w:snapToGrid w:val="0"/>
                <w:color w:val="000000" w:themeColor="text1"/>
                <w:kern w:val="21"/>
                <w:szCs w:val="2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43"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97"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545"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19"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690"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c>
          <w:tcPr>
            <w:tcW w:w="456" w:type="pct"/>
            <w:vAlign w:val="center"/>
          </w:tcPr>
          <w:p>
            <w:pPr>
              <w:jc w:val="center"/>
              <w:rPr>
                <w:i w:val="0"/>
                <w:iCs w:val="0"/>
                <w:color w:val="000000" w:themeColor="text1"/>
                <w:u w:val="none" w:color="auto"/>
                <w14:textFill>
                  <w14:solidFill>
                    <w14:schemeClr w14:val="tx1"/>
                  </w14:solidFill>
                </w14:textFill>
              </w:rPr>
            </w:pPr>
            <w:r>
              <w:rPr>
                <w:rFonts w:hint="eastAsia" w:ascii="Times New Roman" w:hAnsi="Times New Roman" w:cs="宋体"/>
                <w:i w:val="0"/>
                <w:iCs w:val="0"/>
                <w:snapToGrid w:val="0"/>
                <w:color w:val="000000" w:themeColor="text1"/>
                <w:kern w:val="21"/>
                <w:szCs w:val="21"/>
                <w:u w:val="none" w:color="auto"/>
                <w14:textFill>
                  <w14:solidFill>
                    <w14:schemeClr w14:val="tx1"/>
                  </w14:solidFill>
                </w14:textFill>
              </w:rPr>
              <w:t>/</w:t>
            </w:r>
          </w:p>
        </w:tc>
      </w:tr>
    </w:tbl>
    <w:p>
      <w:pPr>
        <w:pStyle w:val="27"/>
        <w:spacing w:before="192" w:beforeLines="80" w:after="24"/>
        <w:jc w:val="left"/>
        <w:rPr>
          <w:rFonts w:ascii="Times New Roman" w:hAnsi="Times New Roman"/>
          <w:i w:val="0"/>
          <w:iCs w:val="0"/>
          <w:snapToGrid w:val="0"/>
          <w:color w:val="000000" w:themeColor="text1"/>
          <w:kern w:val="21"/>
          <w:szCs w:val="21"/>
          <w:u w:val="none" w:color="auto"/>
          <w14:textFill>
            <w14:solidFill>
              <w14:schemeClr w14:val="tx1"/>
            </w14:solidFill>
          </w14:textFill>
        </w:rPr>
      </w:pPr>
      <w:r>
        <w:rPr>
          <w:rFonts w:ascii="Times New Roman" w:hAnsi="Times New Roman"/>
          <w:i w:val="0"/>
          <w:iCs w:val="0"/>
          <w:snapToGrid w:val="0"/>
          <w:color w:val="000000" w:themeColor="text1"/>
          <w:kern w:val="21"/>
          <w:szCs w:val="21"/>
          <w:u w:val="none" w:color="auto"/>
          <w14:textFill>
            <w14:solidFill>
              <w14:schemeClr w14:val="tx1"/>
            </w14:solidFill>
          </w14:textFill>
        </w:rPr>
        <w:t>注：</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6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⑥</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1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①</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3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③</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4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④</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5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⑤</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7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⑦</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6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⑥</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r>
        <w:rPr>
          <w:rFonts w:ascii="Times New Roman" w:hAnsi="Times New Roman"/>
          <w:i w:val="0"/>
          <w:iCs w:val="0"/>
          <w:snapToGrid w:val="0"/>
          <w:color w:val="000000" w:themeColor="text1"/>
          <w:kern w:val="21"/>
          <w:szCs w:val="21"/>
          <w:u w:val="none" w:color="auto"/>
          <w14:textFill>
            <w14:solidFill>
              <w14:schemeClr w14:val="tx1"/>
            </w14:solidFill>
          </w14:textFill>
        </w:rPr>
        <w:t>-</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begin"/>
      </w:r>
      <w:r>
        <w:rPr>
          <w:rFonts w:ascii="Times New Roman" w:hAnsi="Times New Roman"/>
          <w:i w:val="0"/>
          <w:iCs w:val="0"/>
          <w:snapToGrid w:val="0"/>
          <w:color w:val="000000" w:themeColor="text1"/>
          <w:kern w:val="21"/>
          <w:szCs w:val="21"/>
          <w:u w:val="none" w:color="auto"/>
          <w14:textFill>
            <w14:solidFill>
              <w14:schemeClr w14:val="tx1"/>
            </w14:solidFill>
          </w14:textFill>
        </w:rPr>
        <w:instrText xml:space="preserve"> = 1 \* GB3 \* MERGEFORMAT </w:instrTex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separate"/>
      </w:r>
      <w:r>
        <w:rPr>
          <w:rFonts w:hint="eastAsia" w:ascii="Times New Roman" w:hAnsi="Times New Roman"/>
          <w:i w:val="0"/>
          <w:iCs w:val="0"/>
          <w:color w:val="000000" w:themeColor="text1"/>
          <w:kern w:val="21"/>
          <w:szCs w:val="21"/>
          <w:u w:val="none" w:color="auto"/>
          <w14:textFill>
            <w14:solidFill>
              <w14:schemeClr w14:val="tx1"/>
            </w14:solidFill>
          </w14:textFill>
        </w:rPr>
        <w:t>①</w:t>
      </w:r>
      <w:r>
        <w:rPr>
          <w:rFonts w:ascii="Times New Roman" w:hAnsi="Times New Roman"/>
          <w:i w:val="0"/>
          <w:iCs w:val="0"/>
          <w:snapToGrid w:val="0"/>
          <w:color w:val="000000" w:themeColor="text1"/>
          <w:kern w:val="21"/>
          <w:szCs w:val="21"/>
          <w:u w:val="none" w:color="auto"/>
          <w14:textFill>
            <w14:solidFill>
              <w14:schemeClr w14:val="tx1"/>
            </w14:solidFill>
          </w14:textFill>
        </w:rPr>
        <w:fldChar w:fldCharType="end"/>
      </w:r>
    </w:p>
    <w:p>
      <w:pPr>
        <w:rPr>
          <w:rFonts w:ascii="Times New Roman" w:hAnsi="Times New Roman" w:eastAsia="黑体"/>
          <w:i w:val="0"/>
          <w:iCs w:val="0"/>
          <w:color w:val="000000" w:themeColor="text1"/>
          <w:kern w:val="21"/>
          <w:u w:val="none" w:color="auto"/>
          <w14:textFill>
            <w14:solidFill>
              <w14:schemeClr w14:val="tx1"/>
            </w14:solidFill>
          </w14:textFill>
        </w:rPr>
      </w:pPr>
      <w:r>
        <w:rPr>
          <w:rFonts w:hint="eastAsia" w:ascii="Times New Roman" w:hAnsi="Times New Roman" w:eastAsia="黑体"/>
          <w:i w:val="0"/>
          <w:iCs w:val="0"/>
          <w:color w:val="000000" w:themeColor="text1"/>
          <w:szCs w:val="21"/>
          <w:u w:val="none" w:color="auto"/>
          <w14:textFill>
            <w14:solidFill>
              <w14:schemeClr w14:val="tx1"/>
            </w14:solidFill>
          </w14:textFill>
        </w:rPr>
        <w:t>（注：</w:t>
      </w:r>
      <w:r>
        <w:rPr>
          <w:rFonts w:hint="eastAsia" w:ascii="Times New Roman" w:hAnsi="Times New Roman"/>
          <w:i w:val="0"/>
          <w:iCs w:val="0"/>
          <w:color w:val="000000" w:themeColor="text1"/>
          <w:szCs w:val="21"/>
          <w:u w:val="none" w:color="auto"/>
          <w14:textFill>
            <w14:solidFill>
              <w14:schemeClr w14:val="tx1"/>
            </w14:solidFill>
          </w14:textFill>
        </w:rPr>
        <w:t>填写建设项目污染物排放量汇总表，其中现有工程污染物排放情况根据排污许可证执行报告填写，无排污许可证执行报告或执行报告中无相关内容的，通过监测数据核算现有工程污染物排放情况。</w:t>
      </w:r>
      <w:r>
        <w:rPr>
          <w:rFonts w:hint="eastAsia" w:ascii="Times New Roman" w:hAnsi="Times New Roman" w:eastAsia="黑体"/>
          <w:i w:val="0"/>
          <w:iCs w:val="0"/>
          <w:color w:val="000000" w:themeColor="text1"/>
          <w:szCs w:val="21"/>
          <w:u w:val="none" w:color="auto"/>
          <w14:textFill>
            <w14:solidFill>
              <w14:schemeClr w14:val="tx1"/>
            </w14:solidFill>
          </w14:textFill>
        </w:rPr>
        <w:t>）</w:t>
      </w:r>
    </w:p>
    <w:sectPr>
      <w:footerReference r:id="rId6" w:type="default"/>
      <w:pgSz w:w="16838" w:h="11907" w:orient="landscape"/>
      <w:pgMar w:top="1418" w:right="1418" w:bottom="170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Style w:val="21"/>
        <w:rFonts w:ascii="宋体" w:hAnsi="宋体"/>
        <w:sz w:val="26"/>
        <w:szCs w:val="26"/>
      </w:rPr>
      <w:t>3</w:t>
    </w:r>
    <w:r>
      <w:rPr>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Style w:val="21"/>
        <w:rFonts w:ascii="宋体" w:hAnsi="宋体"/>
        <w:sz w:val="26"/>
        <w:szCs w:val="26"/>
      </w:rPr>
      <w:t>27</w:t>
    </w:r>
    <w:r>
      <w:rPr>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FF9EE"/>
    <w:multiLevelType w:val="singleLevel"/>
    <w:tmpl w:val="CEAFF9EE"/>
    <w:lvl w:ilvl="0" w:tentative="0">
      <w:start w:val="4"/>
      <w:numFmt w:val="decimal"/>
      <w:lvlText w:val="%1."/>
      <w:lvlJc w:val="left"/>
      <w:pPr>
        <w:tabs>
          <w:tab w:val="left" w:pos="312"/>
        </w:tabs>
      </w:pPr>
    </w:lvl>
  </w:abstractNum>
  <w:abstractNum w:abstractNumId="1">
    <w:nsid w:val="23F99BCA"/>
    <w:multiLevelType w:val="singleLevel"/>
    <w:tmpl w:val="23F99BCA"/>
    <w:lvl w:ilvl="0" w:tentative="0">
      <w:start w:val="18"/>
      <w:numFmt w:val="upperLetter"/>
      <w:suff w:val="nothing"/>
      <w:lvlText w:val="%1-"/>
      <w:lvlJc w:val="left"/>
    </w:lvl>
  </w:abstractNum>
  <w:abstractNum w:abstractNumId="2">
    <w:nsid w:val="299A7707"/>
    <w:multiLevelType w:val="singleLevel"/>
    <w:tmpl w:val="299A7707"/>
    <w:lvl w:ilvl="0" w:tentative="0">
      <w:start w:val="6"/>
      <w:numFmt w:val="decimal"/>
      <w:lvlText w:val="%1."/>
      <w:lvlJc w:val="left"/>
      <w:pPr>
        <w:tabs>
          <w:tab w:val="left" w:pos="312"/>
        </w:tabs>
      </w:pPr>
    </w:lvl>
  </w:abstractNum>
  <w:abstractNum w:abstractNumId="3">
    <w:nsid w:val="43DAFEB2"/>
    <w:multiLevelType w:val="singleLevel"/>
    <w:tmpl w:val="43DAFEB2"/>
    <w:lvl w:ilvl="0" w:tentative="0">
      <w:start w:val="1"/>
      <w:numFmt w:val="decimal"/>
      <w:suff w:val="nothing"/>
      <w:lvlText w:val="（%1）"/>
      <w:lvlJc w:val="left"/>
    </w:lvl>
  </w:abstractNum>
  <w:abstractNum w:abstractNumId="4">
    <w:nsid w:val="5585F23E"/>
    <w:multiLevelType w:val="singleLevel"/>
    <w:tmpl w:val="5585F23E"/>
    <w:lvl w:ilvl="0" w:tentative="0">
      <w:start w:val="1"/>
      <w:numFmt w:val="decimal"/>
      <w:suff w:val="nothing"/>
      <w:lvlText w:val="（%1）"/>
      <w:lvlJc w:val="left"/>
    </w:lvl>
  </w:abstractNum>
  <w:abstractNum w:abstractNumId="5">
    <w:nsid w:val="656E2FDC"/>
    <w:multiLevelType w:val="singleLevel"/>
    <w:tmpl w:val="656E2FDC"/>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6">
    <w:nsid w:val="698E3F8A"/>
    <w:multiLevelType w:val="multilevel"/>
    <w:tmpl w:val="698E3F8A"/>
    <w:lvl w:ilvl="0" w:tentative="0">
      <w:start w:val="1"/>
      <w:numFmt w:val="decimal"/>
      <w:isLgl/>
      <w:suff w:val="space"/>
      <w:lvlText w:val="%1"/>
      <w:lvlJc w:val="left"/>
      <w:pPr>
        <w:ind w:left="142"/>
      </w:pPr>
      <w:rPr>
        <w:rFonts w:hint="eastAsia"/>
      </w:rPr>
    </w:lvl>
    <w:lvl w:ilvl="1" w:tentative="0">
      <w:start w:val="1"/>
      <w:numFmt w:val="decimal"/>
      <w:suff w:val="space"/>
      <w:lvlText w:val="%1.%2"/>
      <w:lvlJc w:val="left"/>
      <w:rPr>
        <w:rFonts w:hint="eastAsia"/>
      </w:rPr>
    </w:lvl>
    <w:lvl w:ilvl="2" w:tentative="0">
      <w:start w:val="1"/>
      <w:numFmt w:val="decimal"/>
      <w:suff w:val="space"/>
      <w:lvlText w:val="%1.%2.%3"/>
      <w:lvlJc w:val="left"/>
      <w:rPr>
        <w:rFonts w:hint="eastAsia" w:ascii="Times New Roman" w:hAnsi="Times New Roman" w:cs="Times New Roman"/>
        <w:b/>
        <w:bCs/>
        <w:i w:val="0"/>
        <w:iCs w:val="0"/>
        <w:caps w:val="0"/>
        <w:smallCaps w:val="0"/>
        <w:strike w:val="0"/>
        <w:dstrike w:val="0"/>
        <w:vanish w:val="0"/>
        <w:color w:val="000000"/>
        <w:spacing w:val="0"/>
        <w:position w:val="0"/>
        <w:u w:val="none"/>
        <w:vertAlign w:val="baseline"/>
      </w:rPr>
    </w:lvl>
    <w:lvl w:ilvl="3" w:tentative="0">
      <w:start w:val="1"/>
      <w:numFmt w:val="decimal"/>
      <w:pStyle w:val="51"/>
      <w:suff w:val="space"/>
      <w:lvlText w:val="%1.%2.%3.%4"/>
      <w:lvlJc w:val="left"/>
      <w:rPr>
        <w:rFonts w:hint="eastAsia"/>
      </w:rPr>
    </w:lvl>
    <w:lvl w:ilvl="4" w:tentative="0">
      <w:start w:val="1"/>
      <w:numFmt w:val="decimal"/>
      <w:lvlRestart w:val="0"/>
      <w:suff w:val="space"/>
      <w:lvlText w:val="表%1-%5"/>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5" w:tentative="0">
      <w:start w:val="1"/>
      <w:numFmt w:val="decimal"/>
      <w:lvlRestart w:val="0"/>
      <w:pStyle w:val="54"/>
      <w:suff w:val="space"/>
      <w:lvlText w:val="图%1-%6"/>
      <w:lvlJc w:val="left"/>
      <w:rPr>
        <w:rFonts w:hint="eastAsia"/>
      </w:rPr>
    </w:lvl>
    <w:lvl w:ilvl="6" w:tentative="0">
      <w:start w:val="1"/>
      <w:numFmt w:val="decimal"/>
      <w:lvlText w:val="%1.%2.%3.%4.%5.%6.%7."/>
      <w:lvlJc w:val="left"/>
      <w:pPr>
        <w:tabs>
          <w:tab w:val="left" w:pos="1276"/>
        </w:tabs>
      </w:pPr>
      <w:rPr>
        <w:rFonts w:hint="eastAsia"/>
      </w:rPr>
    </w:lvl>
    <w:lvl w:ilvl="7" w:tentative="0">
      <w:start w:val="1"/>
      <w:numFmt w:val="decimal"/>
      <w:lvlText w:val="%1.%2.%3.%4.%5.%6.%7.%8."/>
      <w:lvlJc w:val="left"/>
      <w:pPr>
        <w:tabs>
          <w:tab w:val="left" w:pos="1418"/>
        </w:tabs>
      </w:pPr>
      <w:rPr>
        <w:rFonts w:hint="eastAsia"/>
      </w:rPr>
    </w:lvl>
    <w:lvl w:ilvl="8" w:tentative="0">
      <w:start w:val="1"/>
      <w:numFmt w:val="decimal"/>
      <w:lvlText w:val="%1.%2.%3.%4.%5.%6.%7.%8.%9."/>
      <w:lvlJc w:val="left"/>
      <w:pPr>
        <w:tabs>
          <w:tab w:val="left" w:pos="1559"/>
        </w:tabs>
      </w:pPr>
      <w:rPr>
        <w:rFonts w:hint="eastAsia"/>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WViZWE0NGU1MzVhMGI0OTkyMmIxOWRiY2JhZjMifQ=="/>
  </w:docVars>
  <w:rsids>
    <w:rsidRoot w:val="00A14947"/>
    <w:rsid w:val="00000D0F"/>
    <w:rsid w:val="00001D3E"/>
    <w:rsid w:val="00002086"/>
    <w:rsid w:val="0000373F"/>
    <w:rsid w:val="00004E61"/>
    <w:rsid w:val="00005341"/>
    <w:rsid w:val="000060B3"/>
    <w:rsid w:val="000156A9"/>
    <w:rsid w:val="00021FEF"/>
    <w:rsid w:val="000235C8"/>
    <w:rsid w:val="000320A7"/>
    <w:rsid w:val="000330B4"/>
    <w:rsid w:val="00033FC9"/>
    <w:rsid w:val="00036FC6"/>
    <w:rsid w:val="0003724B"/>
    <w:rsid w:val="000425A8"/>
    <w:rsid w:val="00043184"/>
    <w:rsid w:val="0004364B"/>
    <w:rsid w:val="000456E1"/>
    <w:rsid w:val="00051B62"/>
    <w:rsid w:val="0005410B"/>
    <w:rsid w:val="00054789"/>
    <w:rsid w:val="000560B8"/>
    <w:rsid w:val="00060407"/>
    <w:rsid w:val="0006104D"/>
    <w:rsid w:val="0006177C"/>
    <w:rsid w:val="00061B1F"/>
    <w:rsid w:val="00062462"/>
    <w:rsid w:val="00062934"/>
    <w:rsid w:val="00067578"/>
    <w:rsid w:val="000675AC"/>
    <w:rsid w:val="000678BD"/>
    <w:rsid w:val="000707EA"/>
    <w:rsid w:val="000725D1"/>
    <w:rsid w:val="000733C4"/>
    <w:rsid w:val="00073415"/>
    <w:rsid w:val="000734A8"/>
    <w:rsid w:val="00074783"/>
    <w:rsid w:val="00074F72"/>
    <w:rsid w:val="0008070B"/>
    <w:rsid w:val="00080C3F"/>
    <w:rsid w:val="000810AC"/>
    <w:rsid w:val="00081A02"/>
    <w:rsid w:val="00082231"/>
    <w:rsid w:val="000844F2"/>
    <w:rsid w:val="0008676C"/>
    <w:rsid w:val="00086A40"/>
    <w:rsid w:val="00086AB5"/>
    <w:rsid w:val="0008757D"/>
    <w:rsid w:val="000878BF"/>
    <w:rsid w:val="0008798D"/>
    <w:rsid w:val="00090422"/>
    <w:rsid w:val="00091D8C"/>
    <w:rsid w:val="00092D38"/>
    <w:rsid w:val="0009377B"/>
    <w:rsid w:val="000A13E8"/>
    <w:rsid w:val="000A20C9"/>
    <w:rsid w:val="000A3C7E"/>
    <w:rsid w:val="000A4549"/>
    <w:rsid w:val="000A475E"/>
    <w:rsid w:val="000A7CA7"/>
    <w:rsid w:val="000A7ED2"/>
    <w:rsid w:val="000B058F"/>
    <w:rsid w:val="000B25EF"/>
    <w:rsid w:val="000B313F"/>
    <w:rsid w:val="000B3A8D"/>
    <w:rsid w:val="000B4467"/>
    <w:rsid w:val="000B4DB9"/>
    <w:rsid w:val="000B520D"/>
    <w:rsid w:val="000B53B2"/>
    <w:rsid w:val="000C09AC"/>
    <w:rsid w:val="000C767F"/>
    <w:rsid w:val="000D2CC6"/>
    <w:rsid w:val="000D3F78"/>
    <w:rsid w:val="000D5A44"/>
    <w:rsid w:val="000D7CFC"/>
    <w:rsid w:val="000E11D9"/>
    <w:rsid w:val="000E3ED2"/>
    <w:rsid w:val="000F563B"/>
    <w:rsid w:val="000F67C0"/>
    <w:rsid w:val="000F7634"/>
    <w:rsid w:val="001013EB"/>
    <w:rsid w:val="001030C0"/>
    <w:rsid w:val="001059C6"/>
    <w:rsid w:val="00107961"/>
    <w:rsid w:val="00111495"/>
    <w:rsid w:val="00111C7B"/>
    <w:rsid w:val="00112FCF"/>
    <w:rsid w:val="00113FFA"/>
    <w:rsid w:val="001220EA"/>
    <w:rsid w:val="00122BAB"/>
    <w:rsid w:val="001246C6"/>
    <w:rsid w:val="00126A95"/>
    <w:rsid w:val="00126E07"/>
    <w:rsid w:val="0012774D"/>
    <w:rsid w:val="001314FC"/>
    <w:rsid w:val="00131F42"/>
    <w:rsid w:val="0013534E"/>
    <w:rsid w:val="00135352"/>
    <w:rsid w:val="001357F1"/>
    <w:rsid w:val="0013763E"/>
    <w:rsid w:val="00140FA8"/>
    <w:rsid w:val="001424CD"/>
    <w:rsid w:val="001429B3"/>
    <w:rsid w:val="00142FEB"/>
    <w:rsid w:val="00143236"/>
    <w:rsid w:val="00143A2D"/>
    <w:rsid w:val="00145009"/>
    <w:rsid w:val="001457B7"/>
    <w:rsid w:val="00145A41"/>
    <w:rsid w:val="001471A1"/>
    <w:rsid w:val="001479B4"/>
    <w:rsid w:val="00150282"/>
    <w:rsid w:val="00151675"/>
    <w:rsid w:val="001539DD"/>
    <w:rsid w:val="00155180"/>
    <w:rsid w:val="00156965"/>
    <w:rsid w:val="00157435"/>
    <w:rsid w:val="0016019F"/>
    <w:rsid w:val="001641A1"/>
    <w:rsid w:val="00164E25"/>
    <w:rsid w:val="001652CB"/>
    <w:rsid w:val="001716A5"/>
    <w:rsid w:val="0017504D"/>
    <w:rsid w:val="0017671A"/>
    <w:rsid w:val="00176A9C"/>
    <w:rsid w:val="00176E61"/>
    <w:rsid w:val="00177422"/>
    <w:rsid w:val="00183AC9"/>
    <w:rsid w:val="00184590"/>
    <w:rsid w:val="00184B9A"/>
    <w:rsid w:val="001867A1"/>
    <w:rsid w:val="001870D1"/>
    <w:rsid w:val="0018781E"/>
    <w:rsid w:val="0019262D"/>
    <w:rsid w:val="001967BF"/>
    <w:rsid w:val="001A1B35"/>
    <w:rsid w:val="001A228D"/>
    <w:rsid w:val="001A39CE"/>
    <w:rsid w:val="001A48A2"/>
    <w:rsid w:val="001A6CFB"/>
    <w:rsid w:val="001A6F61"/>
    <w:rsid w:val="001B056B"/>
    <w:rsid w:val="001B1BB9"/>
    <w:rsid w:val="001B3135"/>
    <w:rsid w:val="001B3CE1"/>
    <w:rsid w:val="001B72B8"/>
    <w:rsid w:val="001B7325"/>
    <w:rsid w:val="001C009E"/>
    <w:rsid w:val="001C230B"/>
    <w:rsid w:val="001C3749"/>
    <w:rsid w:val="001C53B4"/>
    <w:rsid w:val="001C5C9C"/>
    <w:rsid w:val="001C69B3"/>
    <w:rsid w:val="001C6E91"/>
    <w:rsid w:val="001D0E79"/>
    <w:rsid w:val="001D124B"/>
    <w:rsid w:val="001D2412"/>
    <w:rsid w:val="001D5595"/>
    <w:rsid w:val="001D74D5"/>
    <w:rsid w:val="001D7874"/>
    <w:rsid w:val="001D7F22"/>
    <w:rsid w:val="001E0483"/>
    <w:rsid w:val="001F06F2"/>
    <w:rsid w:val="001F0F17"/>
    <w:rsid w:val="001F13CF"/>
    <w:rsid w:val="001F2C63"/>
    <w:rsid w:val="001F3347"/>
    <w:rsid w:val="001F69E4"/>
    <w:rsid w:val="001F72FF"/>
    <w:rsid w:val="001F759A"/>
    <w:rsid w:val="002017A8"/>
    <w:rsid w:val="0020253E"/>
    <w:rsid w:val="002031D6"/>
    <w:rsid w:val="00204BF2"/>
    <w:rsid w:val="00204EAB"/>
    <w:rsid w:val="002069A0"/>
    <w:rsid w:val="0021107C"/>
    <w:rsid w:val="002125B4"/>
    <w:rsid w:val="00213404"/>
    <w:rsid w:val="0021356A"/>
    <w:rsid w:val="00214471"/>
    <w:rsid w:val="002155B8"/>
    <w:rsid w:val="00215814"/>
    <w:rsid w:val="002174FB"/>
    <w:rsid w:val="00217921"/>
    <w:rsid w:val="00224839"/>
    <w:rsid w:val="002249B2"/>
    <w:rsid w:val="00226574"/>
    <w:rsid w:val="002274C3"/>
    <w:rsid w:val="002278EC"/>
    <w:rsid w:val="0023280E"/>
    <w:rsid w:val="00234B21"/>
    <w:rsid w:val="002377D1"/>
    <w:rsid w:val="002402E7"/>
    <w:rsid w:val="00240C6E"/>
    <w:rsid w:val="00242FD8"/>
    <w:rsid w:val="00246872"/>
    <w:rsid w:val="002506BC"/>
    <w:rsid w:val="002511D3"/>
    <w:rsid w:val="00254345"/>
    <w:rsid w:val="002552F4"/>
    <w:rsid w:val="00256AAE"/>
    <w:rsid w:val="002577C6"/>
    <w:rsid w:val="00262287"/>
    <w:rsid w:val="00263B12"/>
    <w:rsid w:val="00264557"/>
    <w:rsid w:val="0027063E"/>
    <w:rsid w:val="00271E84"/>
    <w:rsid w:val="00272A3C"/>
    <w:rsid w:val="002755A0"/>
    <w:rsid w:val="002805AB"/>
    <w:rsid w:val="0028071C"/>
    <w:rsid w:val="00282DB6"/>
    <w:rsid w:val="00284204"/>
    <w:rsid w:val="00286BD3"/>
    <w:rsid w:val="00291773"/>
    <w:rsid w:val="002917F8"/>
    <w:rsid w:val="0029699E"/>
    <w:rsid w:val="00296D55"/>
    <w:rsid w:val="002A168C"/>
    <w:rsid w:val="002A3DC7"/>
    <w:rsid w:val="002A4C98"/>
    <w:rsid w:val="002A7B15"/>
    <w:rsid w:val="002A7E99"/>
    <w:rsid w:val="002B252D"/>
    <w:rsid w:val="002B369C"/>
    <w:rsid w:val="002B3F7F"/>
    <w:rsid w:val="002B48FC"/>
    <w:rsid w:val="002B49E2"/>
    <w:rsid w:val="002B731B"/>
    <w:rsid w:val="002B7B00"/>
    <w:rsid w:val="002B7C44"/>
    <w:rsid w:val="002C2B17"/>
    <w:rsid w:val="002C43DB"/>
    <w:rsid w:val="002C7163"/>
    <w:rsid w:val="002D3DD0"/>
    <w:rsid w:val="002D6836"/>
    <w:rsid w:val="002E0AC3"/>
    <w:rsid w:val="002E1F3A"/>
    <w:rsid w:val="002E298A"/>
    <w:rsid w:val="002F0A93"/>
    <w:rsid w:val="002F0AC5"/>
    <w:rsid w:val="002F2E5F"/>
    <w:rsid w:val="002F3324"/>
    <w:rsid w:val="002F5505"/>
    <w:rsid w:val="002F5F26"/>
    <w:rsid w:val="003011B0"/>
    <w:rsid w:val="003013E3"/>
    <w:rsid w:val="00301978"/>
    <w:rsid w:val="00302F88"/>
    <w:rsid w:val="0030332C"/>
    <w:rsid w:val="003051C2"/>
    <w:rsid w:val="00305D38"/>
    <w:rsid w:val="00305EDD"/>
    <w:rsid w:val="003101C7"/>
    <w:rsid w:val="00312296"/>
    <w:rsid w:val="00314F0E"/>
    <w:rsid w:val="00316BEC"/>
    <w:rsid w:val="00316CD9"/>
    <w:rsid w:val="00317AC3"/>
    <w:rsid w:val="00321880"/>
    <w:rsid w:val="00321D8E"/>
    <w:rsid w:val="00321DD1"/>
    <w:rsid w:val="00325928"/>
    <w:rsid w:val="00332863"/>
    <w:rsid w:val="00333DAD"/>
    <w:rsid w:val="00333FEB"/>
    <w:rsid w:val="003340D1"/>
    <w:rsid w:val="003344C9"/>
    <w:rsid w:val="00334EF4"/>
    <w:rsid w:val="0033616C"/>
    <w:rsid w:val="0033684D"/>
    <w:rsid w:val="00336AE5"/>
    <w:rsid w:val="00337214"/>
    <w:rsid w:val="00337B42"/>
    <w:rsid w:val="00337BAF"/>
    <w:rsid w:val="003404DE"/>
    <w:rsid w:val="003409A5"/>
    <w:rsid w:val="00341B42"/>
    <w:rsid w:val="00342EB7"/>
    <w:rsid w:val="003431B2"/>
    <w:rsid w:val="0034348F"/>
    <w:rsid w:val="003452D9"/>
    <w:rsid w:val="0035303C"/>
    <w:rsid w:val="00356653"/>
    <w:rsid w:val="00356DD3"/>
    <w:rsid w:val="00357000"/>
    <w:rsid w:val="0035743F"/>
    <w:rsid w:val="00357BE2"/>
    <w:rsid w:val="003601E4"/>
    <w:rsid w:val="0036170C"/>
    <w:rsid w:val="0036229C"/>
    <w:rsid w:val="003652CD"/>
    <w:rsid w:val="00366256"/>
    <w:rsid w:val="00366E0F"/>
    <w:rsid w:val="003732D4"/>
    <w:rsid w:val="003759C9"/>
    <w:rsid w:val="00380411"/>
    <w:rsid w:val="00381A72"/>
    <w:rsid w:val="00384676"/>
    <w:rsid w:val="00390857"/>
    <w:rsid w:val="00390B9B"/>
    <w:rsid w:val="00393D60"/>
    <w:rsid w:val="00394194"/>
    <w:rsid w:val="003948FB"/>
    <w:rsid w:val="00394A16"/>
    <w:rsid w:val="00395992"/>
    <w:rsid w:val="00397691"/>
    <w:rsid w:val="003A0C24"/>
    <w:rsid w:val="003A2507"/>
    <w:rsid w:val="003A446F"/>
    <w:rsid w:val="003A4BF3"/>
    <w:rsid w:val="003A5625"/>
    <w:rsid w:val="003A5CB6"/>
    <w:rsid w:val="003A6549"/>
    <w:rsid w:val="003A698B"/>
    <w:rsid w:val="003A6B94"/>
    <w:rsid w:val="003A6CBA"/>
    <w:rsid w:val="003B420D"/>
    <w:rsid w:val="003B44B3"/>
    <w:rsid w:val="003B572A"/>
    <w:rsid w:val="003B701E"/>
    <w:rsid w:val="003C06F8"/>
    <w:rsid w:val="003C6C16"/>
    <w:rsid w:val="003C7EA6"/>
    <w:rsid w:val="003D51F3"/>
    <w:rsid w:val="003D794D"/>
    <w:rsid w:val="003E030C"/>
    <w:rsid w:val="003E0766"/>
    <w:rsid w:val="003E12C3"/>
    <w:rsid w:val="003E3058"/>
    <w:rsid w:val="003E36CF"/>
    <w:rsid w:val="003E3D85"/>
    <w:rsid w:val="003E5033"/>
    <w:rsid w:val="003E76A9"/>
    <w:rsid w:val="003F0809"/>
    <w:rsid w:val="003F1E9F"/>
    <w:rsid w:val="003F2738"/>
    <w:rsid w:val="003F6A8C"/>
    <w:rsid w:val="003F755C"/>
    <w:rsid w:val="003F776E"/>
    <w:rsid w:val="00400378"/>
    <w:rsid w:val="00400E68"/>
    <w:rsid w:val="00401DD3"/>
    <w:rsid w:val="00402014"/>
    <w:rsid w:val="00403B82"/>
    <w:rsid w:val="00406F01"/>
    <w:rsid w:val="00411B8C"/>
    <w:rsid w:val="00412A77"/>
    <w:rsid w:val="00412BDB"/>
    <w:rsid w:val="004140A9"/>
    <w:rsid w:val="004144D8"/>
    <w:rsid w:val="00414FFA"/>
    <w:rsid w:val="004163CC"/>
    <w:rsid w:val="00416D50"/>
    <w:rsid w:val="00416FD5"/>
    <w:rsid w:val="00417772"/>
    <w:rsid w:val="00420E6A"/>
    <w:rsid w:val="00425A9E"/>
    <w:rsid w:val="00425B33"/>
    <w:rsid w:val="00426D6B"/>
    <w:rsid w:val="004305D9"/>
    <w:rsid w:val="0043082A"/>
    <w:rsid w:val="00430BB8"/>
    <w:rsid w:val="0043176D"/>
    <w:rsid w:val="00431A6B"/>
    <w:rsid w:val="00431E6C"/>
    <w:rsid w:val="00433CE7"/>
    <w:rsid w:val="00435066"/>
    <w:rsid w:val="00437F8C"/>
    <w:rsid w:val="0044142F"/>
    <w:rsid w:val="004435D6"/>
    <w:rsid w:val="00452738"/>
    <w:rsid w:val="00454846"/>
    <w:rsid w:val="004551CA"/>
    <w:rsid w:val="00455F7F"/>
    <w:rsid w:val="00456091"/>
    <w:rsid w:val="00460B68"/>
    <w:rsid w:val="004624E6"/>
    <w:rsid w:val="00466321"/>
    <w:rsid w:val="00466E2B"/>
    <w:rsid w:val="0047291E"/>
    <w:rsid w:val="004744BE"/>
    <w:rsid w:val="00475C48"/>
    <w:rsid w:val="00476714"/>
    <w:rsid w:val="004810E3"/>
    <w:rsid w:val="0048244C"/>
    <w:rsid w:val="00484B9B"/>
    <w:rsid w:val="004855F6"/>
    <w:rsid w:val="0048661E"/>
    <w:rsid w:val="00487F97"/>
    <w:rsid w:val="00490C71"/>
    <w:rsid w:val="00492336"/>
    <w:rsid w:val="00494670"/>
    <w:rsid w:val="004958C5"/>
    <w:rsid w:val="00496E8F"/>
    <w:rsid w:val="00497EFD"/>
    <w:rsid w:val="004A3141"/>
    <w:rsid w:val="004A3823"/>
    <w:rsid w:val="004A3BD6"/>
    <w:rsid w:val="004A4A0C"/>
    <w:rsid w:val="004A51E8"/>
    <w:rsid w:val="004A60E8"/>
    <w:rsid w:val="004A66E9"/>
    <w:rsid w:val="004A75DF"/>
    <w:rsid w:val="004B58A4"/>
    <w:rsid w:val="004C4DE4"/>
    <w:rsid w:val="004C777A"/>
    <w:rsid w:val="004C7EF6"/>
    <w:rsid w:val="004D1A63"/>
    <w:rsid w:val="004D3BFE"/>
    <w:rsid w:val="004D4748"/>
    <w:rsid w:val="004D50F9"/>
    <w:rsid w:val="004E6946"/>
    <w:rsid w:val="004E7A15"/>
    <w:rsid w:val="004F0474"/>
    <w:rsid w:val="004F1AD8"/>
    <w:rsid w:val="004F29B8"/>
    <w:rsid w:val="004F2DCE"/>
    <w:rsid w:val="004F3C0E"/>
    <w:rsid w:val="00500EC4"/>
    <w:rsid w:val="00502E32"/>
    <w:rsid w:val="00502FB1"/>
    <w:rsid w:val="005039CB"/>
    <w:rsid w:val="0050558F"/>
    <w:rsid w:val="00506286"/>
    <w:rsid w:val="005072D1"/>
    <w:rsid w:val="00510813"/>
    <w:rsid w:val="00511990"/>
    <w:rsid w:val="00511DE0"/>
    <w:rsid w:val="005132E4"/>
    <w:rsid w:val="00514870"/>
    <w:rsid w:val="00514B9B"/>
    <w:rsid w:val="0051555E"/>
    <w:rsid w:val="00515DDF"/>
    <w:rsid w:val="005165C3"/>
    <w:rsid w:val="00516AA2"/>
    <w:rsid w:val="00517F02"/>
    <w:rsid w:val="005223D4"/>
    <w:rsid w:val="0052329E"/>
    <w:rsid w:val="00524303"/>
    <w:rsid w:val="005258A2"/>
    <w:rsid w:val="0052760C"/>
    <w:rsid w:val="005356B6"/>
    <w:rsid w:val="0053677E"/>
    <w:rsid w:val="00536F2A"/>
    <w:rsid w:val="005401AE"/>
    <w:rsid w:val="00542E07"/>
    <w:rsid w:val="00544C11"/>
    <w:rsid w:val="00545424"/>
    <w:rsid w:val="00550F88"/>
    <w:rsid w:val="00553D8C"/>
    <w:rsid w:val="00554A7B"/>
    <w:rsid w:val="0055572C"/>
    <w:rsid w:val="00555AEF"/>
    <w:rsid w:val="00560EFE"/>
    <w:rsid w:val="0056106A"/>
    <w:rsid w:val="00563D7E"/>
    <w:rsid w:val="0056470C"/>
    <w:rsid w:val="00567A7B"/>
    <w:rsid w:val="00567EBE"/>
    <w:rsid w:val="00567EE8"/>
    <w:rsid w:val="005720AE"/>
    <w:rsid w:val="00572AC3"/>
    <w:rsid w:val="00577686"/>
    <w:rsid w:val="005850BF"/>
    <w:rsid w:val="005850DD"/>
    <w:rsid w:val="00591267"/>
    <w:rsid w:val="00591C93"/>
    <w:rsid w:val="00594D77"/>
    <w:rsid w:val="005969E4"/>
    <w:rsid w:val="00596E3D"/>
    <w:rsid w:val="005A06B7"/>
    <w:rsid w:val="005A0949"/>
    <w:rsid w:val="005A1759"/>
    <w:rsid w:val="005A2798"/>
    <w:rsid w:val="005A472A"/>
    <w:rsid w:val="005A68A7"/>
    <w:rsid w:val="005A72FA"/>
    <w:rsid w:val="005B03B5"/>
    <w:rsid w:val="005B56B9"/>
    <w:rsid w:val="005B7CF4"/>
    <w:rsid w:val="005B7F49"/>
    <w:rsid w:val="005C152E"/>
    <w:rsid w:val="005C1C32"/>
    <w:rsid w:val="005D1042"/>
    <w:rsid w:val="005D36AB"/>
    <w:rsid w:val="005D56E8"/>
    <w:rsid w:val="005E077C"/>
    <w:rsid w:val="005E1948"/>
    <w:rsid w:val="005E2FF4"/>
    <w:rsid w:val="005E395F"/>
    <w:rsid w:val="005E7C70"/>
    <w:rsid w:val="005F44B9"/>
    <w:rsid w:val="00600F18"/>
    <w:rsid w:val="006032D1"/>
    <w:rsid w:val="00604C2E"/>
    <w:rsid w:val="00610053"/>
    <w:rsid w:val="006100EF"/>
    <w:rsid w:val="00612BB7"/>
    <w:rsid w:val="006132C8"/>
    <w:rsid w:val="00616068"/>
    <w:rsid w:val="00617CC3"/>
    <w:rsid w:val="0062105F"/>
    <w:rsid w:val="00622127"/>
    <w:rsid w:val="00623A3B"/>
    <w:rsid w:val="006377A6"/>
    <w:rsid w:val="00637A3D"/>
    <w:rsid w:val="006411EF"/>
    <w:rsid w:val="006422D7"/>
    <w:rsid w:val="0064344E"/>
    <w:rsid w:val="00644446"/>
    <w:rsid w:val="00645DCE"/>
    <w:rsid w:val="00646C80"/>
    <w:rsid w:val="006530BA"/>
    <w:rsid w:val="00656478"/>
    <w:rsid w:val="0066475B"/>
    <w:rsid w:val="00665B9B"/>
    <w:rsid w:val="006671C0"/>
    <w:rsid w:val="0067329B"/>
    <w:rsid w:val="00673943"/>
    <w:rsid w:val="00673DF2"/>
    <w:rsid w:val="006743D6"/>
    <w:rsid w:val="006748B8"/>
    <w:rsid w:val="00674D92"/>
    <w:rsid w:val="006775C3"/>
    <w:rsid w:val="00680FCE"/>
    <w:rsid w:val="00681577"/>
    <w:rsid w:val="00686BBE"/>
    <w:rsid w:val="00690582"/>
    <w:rsid w:val="0069290A"/>
    <w:rsid w:val="0069291A"/>
    <w:rsid w:val="00693A9D"/>
    <w:rsid w:val="0069433F"/>
    <w:rsid w:val="0069654B"/>
    <w:rsid w:val="0069775A"/>
    <w:rsid w:val="00697813"/>
    <w:rsid w:val="006A24DC"/>
    <w:rsid w:val="006A3251"/>
    <w:rsid w:val="006A3EE8"/>
    <w:rsid w:val="006A506E"/>
    <w:rsid w:val="006A66CB"/>
    <w:rsid w:val="006A6D40"/>
    <w:rsid w:val="006A72BF"/>
    <w:rsid w:val="006B03F2"/>
    <w:rsid w:val="006B33EF"/>
    <w:rsid w:val="006B37DC"/>
    <w:rsid w:val="006B41D7"/>
    <w:rsid w:val="006B4F68"/>
    <w:rsid w:val="006B5C90"/>
    <w:rsid w:val="006B7DDC"/>
    <w:rsid w:val="006C0592"/>
    <w:rsid w:val="006C272E"/>
    <w:rsid w:val="006C4BD0"/>
    <w:rsid w:val="006C5479"/>
    <w:rsid w:val="006D113A"/>
    <w:rsid w:val="006D13B5"/>
    <w:rsid w:val="006D3F89"/>
    <w:rsid w:val="006D4CDA"/>
    <w:rsid w:val="006D5328"/>
    <w:rsid w:val="006D59D0"/>
    <w:rsid w:val="006D6E4E"/>
    <w:rsid w:val="006D7F07"/>
    <w:rsid w:val="006E12FF"/>
    <w:rsid w:val="006E16E9"/>
    <w:rsid w:val="006E4DE7"/>
    <w:rsid w:val="006E607E"/>
    <w:rsid w:val="006E7D8D"/>
    <w:rsid w:val="006F0415"/>
    <w:rsid w:val="006F273D"/>
    <w:rsid w:val="006F70C9"/>
    <w:rsid w:val="007006DE"/>
    <w:rsid w:val="007007B6"/>
    <w:rsid w:val="00702E1D"/>
    <w:rsid w:val="00706C5D"/>
    <w:rsid w:val="00707362"/>
    <w:rsid w:val="00707ED2"/>
    <w:rsid w:val="0071405B"/>
    <w:rsid w:val="00723ACD"/>
    <w:rsid w:val="00726EA6"/>
    <w:rsid w:val="0072781E"/>
    <w:rsid w:val="00731D32"/>
    <w:rsid w:val="00732922"/>
    <w:rsid w:val="00736372"/>
    <w:rsid w:val="0073776A"/>
    <w:rsid w:val="007424F7"/>
    <w:rsid w:val="007426D1"/>
    <w:rsid w:val="00743277"/>
    <w:rsid w:val="00743781"/>
    <w:rsid w:val="00744BD7"/>
    <w:rsid w:val="00745C75"/>
    <w:rsid w:val="0075084F"/>
    <w:rsid w:val="0075162E"/>
    <w:rsid w:val="007536E9"/>
    <w:rsid w:val="00754034"/>
    <w:rsid w:val="00754116"/>
    <w:rsid w:val="0075441D"/>
    <w:rsid w:val="007552D5"/>
    <w:rsid w:val="00756556"/>
    <w:rsid w:val="00756D14"/>
    <w:rsid w:val="007609F4"/>
    <w:rsid w:val="007618C4"/>
    <w:rsid w:val="00762F9D"/>
    <w:rsid w:val="007657A5"/>
    <w:rsid w:val="00767818"/>
    <w:rsid w:val="00767980"/>
    <w:rsid w:val="00770B19"/>
    <w:rsid w:val="0077463F"/>
    <w:rsid w:val="00774F5B"/>
    <w:rsid w:val="007768E7"/>
    <w:rsid w:val="007775BD"/>
    <w:rsid w:val="00780177"/>
    <w:rsid w:val="0078142D"/>
    <w:rsid w:val="007820D1"/>
    <w:rsid w:val="007823FB"/>
    <w:rsid w:val="00783308"/>
    <w:rsid w:val="007836EA"/>
    <w:rsid w:val="00783BEE"/>
    <w:rsid w:val="00784CDA"/>
    <w:rsid w:val="00785314"/>
    <w:rsid w:val="0078590E"/>
    <w:rsid w:val="00786067"/>
    <w:rsid w:val="0079060E"/>
    <w:rsid w:val="007906C4"/>
    <w:rsid w:val="00790D58"/>
    <w:rsid w:val="007940EA"/>
    <w:rsid w:val="007947DD"/>
    <w:rsid w:val="00794BCF"/>
    <w:rsid w:val="0079593F"/>
    <w:rsid w:val="00795E72"/>
    <w:rsid w:val="0079618E"/>
    <w:rsid w:val="007967E8"/>
    <w:rsid w:val="00797C43"/>
    <w:rsid w:val="007A2170"/>
    <w:rsid w:val="007A22BF"/>
    <w:rsid w:val="007A3323"/>
    <w:rsid w:val="007A367C"/>
    <w:rsid w:val="007A3B70"/>
    <w:rsid w:val="007A5BA9"/>
    <w:rsid w:val="007A6B82"/>
    <w:rsid w:val="007A76C0"/>
    <w:rsid w:val="007A7DDE"/>
    <w:rsid w:val="007B72B8"/>
    <w:rsid w:val="007B7961"/>
    <w:rsid w:val="007B7A58"/>
    <w:rsid w:val="007C0531"/>
    <w:rsid w:val="007C21B5"/>
    <w:rsid w:val="007C2758"/>
    <w:rsid w:val="007C3093"/>
    <w:rsid w:val="007C7314"/>
    <w:rsid w:val="007D0E88"/>
    <w:rsid w:val="007E3F50"/>
    <w:rsid w:val="007E4BD2"/>
    <w:rsid w:val="007E7425"/>
    <w:rsid w:val="007F19B6"/>
    <w:rsid w:val="007F587A"/>
    <w:rsid w:val="007F6606"/>
    <w:rsid w:val="007F7459"/>
    <w:rsid w:val="00801393"/>
    <w:rsid w:val="0080219E"/>
    <w:rsid w:val="00802F88"/>
    <w:rsid w:val="00806997"/>
    <w:rsid w:val="0081293E"/>
    <w:rsid w:val="0081484F"/>
    <w:rsid w:val="0081508C"/>
    <w:rsid w:val="00815465"/>
    <w:rsid w:val="0081673C"/>
    <w:rsid w:val="00817E9A"/>
    <w:rsid w:val="00820FDB"/>
    <w:rsid w:val="00824181"/>
    <w:rsid w:val="00824A0B"/>
    <w:rsid w:val="00826C58"/>
    <w:rsid w:val="008306BD"/>
    <w:rsid w:val="008309E3"/>
    <w:rsid w:val="00831A80"/>
    <w:rsid w:val="00832C8A"/>
    <w:rsid w:val="00833743"/>
    <w:rsid w:val="008340A4"/>
    <w:rsid w:val="00840D44"/>
    <w:rsid w:val="0084126D"/>
    <w:rsid w:val="008437D0"/>
    <w:rsid w:val="00845C70"/>
    <w:rsid w:val="00846AD9"/>
    <w:rsid w:val="00847629"/>
    <w:rsid w:val="008476D4"/>
    <w:rsid w:val="008509B4"/>
    <w:rsid w:val="00850E5E"/>
    <w:rsid w:val="00851580"/>
    <w:rsid w:val="0085378F"/>
    <w:rsid w:val="00854051"/>
    <w:rsid w:val="008547D8"/>
    <w:rsid w:val="00855EBC"/>
    <w:rsid w:val="0086142E"/>
    <w:rsid w:val="00865718"/>
    <w:rsid w:val="0087135F"/>
    <w:rsid w:val="00872D94"/>
    <w:rsid w:val="00872FAD"/>
    <w:rsid w:val="00880364"/>
    <w:rsid w:val="008813F1"/>
    <w:rsid w:val="00881715"/>
    <w:rsid w:val="00883367"/>
    <w:rsid w:val="008876C7"/>
    <w:rsid w:val="00891592"/>
    <w:rsid w:val="0089191C"/>
    <w:rsid w:val="00891E9E"/>
    <w:rsid w:val="0089337A"/>
    <w:rsid w:val="00893435"/>
    <w:rsid w:val="00897598"/>
    <w:rsid w:val="00897EDB"/>
    <w:rsid w:val="008A2A66"/>
    <w:rsid w:val="008A2F68"/>
    <w:rsid w:val="008B03D6"/>
    <w:rsid w:val="008B3C57"/>
    <w:rsid w:val="008B4FA6"/>
    <w:rsid w:val="008B5282"/>
    <w:rsid w:val="008B5B8D"/>
    <w:rsid w:val="008B7C17"/>
    <w:rsid w:val="008C10E6"/>
    <w:rsid w:val="008C2D01"/>
    <w:rsid w:val="008C3C5A"/>
    <w:rsid w:val="008C40E6"/>
    <w:rsid w:val="008C44A4"/>
    <w:rsid w:val="008C5D2B"/>
    <w:rsid w:val="008C6729"/>
    <w:rsid w:val="008D0E20"/>
    <w:rsid w:val="008D0F7A"/>
    <w:rsid w:val="008D46C5"/>
    <w:rsid w:val="008D565D"/>
    <w:rsid w:val="008D68E4"/>
    <w:rsid w:val="008D6B21"/>
    <w:rsid w:val="008E0506"/>
    <w:rsid w:val="008E0CFF"/>
    <w:rsid w:val="008E4952"/>
    <w:rsid w:val="008E4DE8"/>
    <w:rsid w:val="008E53AF"/>
    <w:rsid w:val="008E5D6B"/>
    <w:rsid w:val="008E5EF5"/>
    <w:rsid w:val="008E7358"/>
    <w:rsid w:val="008E76F0"/>
    <w:rsid w:val="008E7DAD"/>
    <w:rsid w:val="008F087B"/>
    <w:rsid w:val="008F15FE"/>
    <w:rsid w:val="008F1F3E"/>
    <w:rsid w:val="008F2230"/>
    <w:rsid w:val="008F2D29"/>
    <w:rsid w:val="008F32AA"/>
    <w:rsid w:val="008F4940"/>
    <w:rsid w:val="008F5187"/>
    <w:rsid w:val="008F60D8"/>
    <w:rsid w:val="008F68E7"/>
    <w:rsid w:val="00901F92"/>
    <w:rsid w:val="00902727"/>
    <w:rsid w:val="00902DA3"/>
    <w:rsid w:val="0090312B"/>
    <w:rsid w:val="0090399B"/>
    <w:rsid w:val="00904894"/>
    <w:rsid w:val="009054E9"/>
    <w:rsid w:val="00906DD2"/>
    <w:rsid w:val="0090766F"/>
    <w:rsid w:val="00914F9D"/>
    <w:rsid w:val="0091736D"/>
    <w:rsid w:val="00921AA7"/>
    <w:rsid w:val="009225FF"/>
    <w:rsid w:val="00925A4E"/>
    <w:rsid w:val="00926BB9"/>
    <w:rsid w:val="0092735C"/>
    <w:rsid w:val="0093000D"/>
    <w:rsid w:val="0093037A"/>
    <w:rsid w:val="009323E9"/>
    <w:rsid w:val="00935BF7"/>
    <w:rsid w:val="0093617A"/>
    <w:rsid w:val="00940C17"/>
    <w:rsid w:val="0094154D"/>
    <w:rsid w:val="00941A61"/>
    <w:rsid w:val="00942165"/>
    <w:rsid w:val="0094446E"/>
    <w:rsid w:val="009447B9"/>
    <w:rsid w:val="009501B4"/>
    <w:rsid w:val="009514E0"/>
    <w:rsid w:val="0095155F"/>
    <w:rsid w:val="00952CB0"/>
    <w:rsid w:val="0095315C"/>
    <w:rsid w:val="00954429"/>
    <w:rsid w:val="00954DAA"/>
    <w:rsid w:val="009563CE"/>
    <w:rsid w:val="009606BD"/>
    <w:rsid w:val="00961650"/>
    <w:rsid w:val="009619FD"/>
    <w:rsid w:val="0096248A"/>
    <w:rsid w:val="00966709"/>
    <w:rsid w:val="00972733"/>
    <w:rsid w:val="00972BDE"/>
    <w:rsid w:val="00973097"/>
    <w:rsid w:val="00976328"/>
    <w:rsid w:val="0097680D"/>
    <w:rsid w:val="00977E2C"/>
    <w:rsid w:val="00982438"/>
    <w:rsid w:val="0098404C"/>
    <w:rsid w:val="00984AA7"/>
    <w:rsid w:val="00985283"/>
    <w:rsid w:val="00987755"/>
    <w:rsid w:val="00987E80"/>
    <w:rsid w:val="0099044D"/>
    <w:rsid w:val="00991A20"/>
    <w:rsid w:val="00992D33"/>
    <w:rsid w:val="00995788"/>
    <w:rsid w:val="00995992"/>
    <w:rsid w:val="00995E12"/>
    <w:rsid w:val="00996EF3"/>
    <w:rsid w:val="009A03E5"/>
    <w:rsid w:val="009A0F3B"/>
    <w:rsid w:val="009A156F"/>
    <w:rsid w:val="009A1BB4"/>
    <w:rsid w:val="009A2628"/>
    <w:rsid w:val="009A3200"/>
    <w:rsid w:val="009A33D0"/>
    <w:rsid w:val="009B0897"/>
    <w:rsid w:val="009B19EE"/>
    <w:rsid w:val="009B2934"/>
    <w:rsid w:val="009B64FF"/>
    <w:rsid w:val="009B7BD9"/>
    <w:rsid w:val="009C01DF"/>
    <w:rsid w:val="009C07E9"/>
    <w:rsid w:val="009C3CB0"/>
    <w:rsid w:val="009C441B"/>
    <w:rsid w:val="009C49E9"/>
    <w:rsid w:val="009C65A8"/>
    <w:rsid w:val="009C7DD5"/>
    <w:rsid w:val="009D07DE"/>
    <w:rsid w:val="009D0CD0"/>
    <w:rsid w:val="009D2F86"/>
    <w:rsid w:val="009D4377"/>
    <w:rsid w:val="009E227D"/>
    <w:rsid w:val="009E2532"/>
    <w:rsid w:val="009E5019"/>
    <w:rsid w:val="009E6CF6"/>
    <w:rsid w:val="009F4B82"/>
    <w:rsid w:val="009F5A1E"/>
    <w:rsid w:val="00A00BD2"/>
    <w:rsid w:val="00A016B2"/>
    <w:rsid w:val="00A021F4"/>
    <w:rsid w:val="00A03210"/>
    <w:rsid w:val="00A03309"/>
    <w:rsid w:val="00A04F1B"/>
    <w:rsid w:val="00A0501B"/>
    <w:rsid w:val="00A07FB6"/>
    <w:rsid w:val="00A101BB"/>
    <w:rsid w:val="00A10F66"/>
    <w:rsid w:val="00A14947"/>
    <w:rsid w:val="00A176B1"/>
    <w:rsid w:val="00A210A9"/>
    <w:rsid w:val="00A2184A"/>
    <w:rsid w:val="00A24A1A"/>
    <w:rsid w:val="00A273E4"/>
    <w:rsid w:val="00A32A83"/>
    <w:rsid w:val="00A368DB"/>
    <w:rsid w:val="00A37859"/>
    <w:rsid w:val="00A4000F"/>
    <w:rsid w:val="00A41136"/>
    <w:rsid w:val="00A423AA"/>
    <w:rsid w:val="00A4274C"/>
    <w:rsid w:val="00A4606A"/>
    <w:rsid w:val="00A5132C"/>
    <w:rsid w:val="00A53EC6"/>
    <w:rsid w:val="00A55C0F"/>
    <w:rsid w:val="00A5679B"/>
    <w:rsid w:val="00A56998"/>
    <w:rsid w:val="00A5779D"/>
    <w:rsid w:val="00A61C54"/>
    <w:rsid w:val="00A62E10"/>
    <w:rsid w:val="00A661E5"/>
    <w:rsid w:val="00A669BA"/>
    <w:rsid w:val="00A6701C"/>
    <w:rsid w:val="00A72425"/>
    <w:rsid w:val="00A72B1E"/>
    <w:rsid w:val="00A80026"/>
    <w:rsid w:val="00A80B98"/>
    <w:rsid w:val="00A8245D"/>
    <w:rsid w:val="00A85AEE"/>
    <w:rsid w:val="00A8713F"/>
    <w:rsid w:val="00A87793"/>
    <w:rsid w:val="00A90BA1"/>
    <w:rsid w:val="00A92F7D"/>
    <w:rsid w:val="00A9365D"/>
    <w:rsid w:val="00A94898"/>
    <w:rsid w:val="00A95179"/>
    <w:rsid w:val="00A971C5"/>
    <w:rsid w:val="00A97A9A"/>
    <w:rsid w:val="00AA0671"/>
    <w:rsid w:val="00AA2531"/>
    <w:rsid w:val="00AA330D"/>
    <w:rsid w:val="00AA720B"/>
    <w:rsid w:val="00AA76BF"/>
    <w:rsid w:val="00AB0671"/>
    <w:rsid w:val="00AB1E09"/>
    <w:rsid w:val="00AB20F2"/>
    <w:rsid w:val="00AB4643"/>
    <w:rsid w:val="00AB5330"/>
    <w:rsid w:val="00AB7747"/>
    <w:rsid w:val="00AB79C5"/>
    <w:rsid w:val="00AC0791"/>
    <w:rsid w:val="00AC14CE"/>
    <w:rsid w:val="00AC286D"/>
    <w:rsid w:val="00AC2A56"/>
    <w:rsid w:val="00AC400B"/>
    <w:rsid w:val="00AC5304"/>
    <w:rsid w:val="00AC7CF1"/>
    <w:rsid w:val="00AD055E"/>
    <w:rsid w:val="00AD1947"/>
    <w:rsid w:val="00AD2260"/>
    <w:rsid w:val="00AD47A7"/>
    <w:rsid w:val="00AD7AB0"/>
    <w:rsid w:val="00AE0D0A"/>
    <w:rsid w:val="00AE2272"/>
    <w:rsid w:val="00AE7357"/>
    <w:rsid w:val="00AE7386"/>
    <w:rsid w:val="00AF0CBF"/>
    <w:rsid w:val="00AF257F"/>
    <w:rsid w:val="00AF33CF"/>
    <w:rsid w:val="00AF4D50"/>
    <w:rsid w:val="00AF6179"/>
    <w:rsid w:val="00AF7D13"/>
    <w:rsid w:val="00B00078"/>
    <w:rsid w:val="00B00139"/>
    <w:rsid w:val="00B0315F"/>
    <w:rsid w:val="00B06F43"/>
    <w:rsid w:val="00B1295A"/>
    <w:rsid w:val="00B13E9C"/>
    <w:rsid w:val="00B16E3C"/>
    <w:rsid w:val="00B20A45"/>
    <w:rsid w:val="00B22C5C"/>
    <w:rsid w:val="00B24AB8"/>
    <w:rsid w:val="00B24F30"/>
    <w:rsid w:val="00B26124"/>
    <w:rsid w:val="00B31268"/>
    <w:rsid w:val="00B31ABF"/>
    <w:rsid w:val="00B3324E"/>
    <w:rsid w:val="00B3344B"/>
    <w:rsid w:val="00B33BE3"/>
    <w:rsid w:val="00B36D1E"/>
    <w:rsid w:val="00B37637"/>
    <w:rsid w:val="00B40DB5"/>
    <w:rsid w:val="00B42275"/>
    <w:rsid w:val="00B43720"/>
    <w:rsid w:val="00B467A6"/>
    <w:rsid w:val="00B508DC"/>
    <w:rsid w:val="00B51D44"/>
    <w:rsid w:val="00B53B5D"/>
    <w:rsid w:val="00B54DB8"/>
    <w:rsid w:val="00B54FAB"/>
    <w:rsid w:val="00B5577A"/>
    <w:rsid w:val="00B56311"/>
    <w:rsid w:val="00B56BD6"/>
    <w:rsid w:val="00B56C96"/>
    <w:rsid w:val="00B60502"/>
    <w:rsid w:val="00B6055E"/>
    <w:rsid w:val="00B619FB"/>
    <w:rsid w:val="00B6317D"/>
    <w:rsid w:val="00B642A5"/>
    <w:rsid w:val="00B65DC3"/>
    <w:rsid w:val="00B65E2C"/>
    <w:rsid w:val="00B7162E"/>
    <w:rsid w:val="00B7290C"/>
    <w:rsid w:val="00B73133"/>
    <w:rsid w:val="00B76239"/>
    <w:rsid w:val="00B76D06"/>
    <w:rsid w:val="00B7723F"/>
    <w:rsid w:val="00B77E85"/>
    <w:rsid w:val="00B80534"/>
    <w:rsid w:val="00B808F2"/>
    <w:rsid w:val="00B817A2"/>
    <w:rsid w:val="00B81B05"/>
    <w:rsid w:val="00B8433C"/>
    <w:rsid w:val="00B87491"/>
    <w:rsid w:val="00B9066F"/>
    <w:rsid w:val="00B90C3E"/>
    <w:rsid w:val="00B93629"/>
    <w:rsid w:val="00B93A2B"/>
    <w:rsid w:val="00B94788"/>
    <w:rsid w:val="00B95FB6"/>
    <w:rsid w:val="00BA0C08"/>
    <w:rsid w:val="00BA29E9"/>
    <w:rsid w:val="00BA41E1"/>
    <w:rsid w:val="00BA7142"/>
    <w:rsid w:val="00BA730D"/>
    <w:rsid w:val="00BA7F77"/>
    <w:rsid w:val="00BB237C"/>
    <w:rsid w:val="00BB29F0"/>
    <w:rsid w:val="00BB3793"/>
    <w:rsid w:val="00BB41A3"/>
    <w:rsid w:val="00BB5406"/>
    <w:rsid w:val="00BB5B8A"/>
    <w:rsid w:val="00BB77C1"/>
    <w:rsid w:val="00BC09D2"/>
    <w:rsid w:val="00BC208F"/>
    <w:rsid w:val="00BC32DC"/>
    <w:rsid w:val="00BC35B6"/>
    <w:rsid w:val="00BC372F"/>
    <w:rsid w:val="00BC4057"/>
    <w:rsid w:val="00BC4CD8"/>
    <w:rsid w:val="00BC4D4E"/>
    <w:rsid w:val="00BC6E3A"/>
    <w:rsid w:val="00BD0EDD"/>
    <w:rsid w:val="00BD182E"/>
    <w:rsid w:val="00BD1B51"/>
    <w:rsid w:val="00BD2F4C"/>
    <w:rsid w:val="00BD4596"/>
    <w:rsid w:val="00BD4649"/>
    <w:rsid w:val="00BE04A2"/>
    <w:rsid w:val="00BE1405"/>
    <w:rsid w:val="00BE1809"/>
    <w:rsid w:val="00BE312D"/>
    <w:rsid w:val="00BE33AB"/>
    <w:rsid w:val="00BE5536"/>
    <w:rsid w:val="00BE628C"/>
    <w:rsid w:val="00BE7527"/>
    <w:rsid w:val="00BF0585"/>
    <w:rsid w:val="00BF1C20"/>
    <w:rsid w:val="00BF5D21"/>
    <w:rsid w:val="00BF6398"/>
    <w:rsid w:val="00C00327"/>
    <w:rsid w:val="00C01E1F"/>
    <w:rsid w:val="00C0448B"/>
    <w:rsid w:val="00C04B33"/>
    <w:rsid w:val="00C06640"/>
    <w:rsid w:val="00C07D06"/>
    <w:rsid w:val="00C10578"/>
    <w:rsid w:val="00C12188"/>
    <w:rsid w:val="00C12A14"/>
    <w:rsid w:val="00C12D74"/>
    <w:rsid w:val="00C135BC"/>
    <w:rsid w:val="00C15C95"/>
    <w:rsid w:val="00C1624D"/>
    <w:rsid w:val="00C16776"/>
    <w:rsid w:val="00C172B8"/>
    <w:rsid w:val="00C241CF"/>
    <w:rsid w:val="00C2565B"/>
    <w:rsid w:val="00C2596A"/>
    <w:rsid w:val="00C26C59"/>
    <w:rsid w:val="00C27537"/>
    <w:rsid w:val="00C3165F"/>
    <w:rsid w:val="00C328FE"/>
    <w:rsid w:val="00C334D1"/>
    <w:rsid w:val="00C33507"/>
    <w:rsid w:val="00C33B0E"/>
    <w:rsid w:val="00C33D44"/>
    <w:rsid w:val="00C35079"/>
    <w:rsid w:val="00C35A97"/>
    <w:rsid w:val="00C36419"/>
    <w:rsid w:val="00C37E49"/>
    <w:rsid w:val="00C41C34"/>
    <w:rsid w:val="00C42108"/>
    <w:rsid w:val="00C42B7D"/>
    <w:rsid w:val="00C42E5C"/>
    <w:rsid w:val="00C43967"/>
    <w:rsid w:val="00C43ECB"/>
    <w:rsid w:val="00C4409D"/>
    <w:rsid w:val="00C4454F"/>
    <w:rsid w:val="00C44E72"/>
    <w:rsid w:val="00C45A06"/>
    <w:rsid w:val="00C47E5B"/>
    <w:rsid w:val="00C51BD8"/>
    <w:rsid w:val="00C524DA"/>
    <w:rsid w:val="00C530A1"/>
    <w:rsid w:val="00C54AAA"/>
    <w:rsid w:val="00C61E4B"/>
    <w:rsid w:val="00C6347C"/>
    <w:rsid w:val="00C64BFF"/>
    <w:rsid w:val="00C658B0"/>
    <w:rsid w:val="00C70130"/>
    <w:rsid w:val="00C704E9"/>
    <w:rsid w:val="00C70B37"/>
    <w:rsid w:val="00C71CB9"/>
    <w:rsid w:val="00C71E22"/>
    <w:rsid w:val="00C72D3F"/>
    <w:rsid w:val="00C749A4"/>
    <w:rsid w:val="00C763C9"/>
    <w:rsid w:val="00C80033"/>
    <w:rsid w:val="00C80057"/>
    <w:rsid w:val="00C820D9"/>
    <w:rsid w:val="00C82232"/>
    <w:rsid w:val="00C82913"/>
    <w:rsid w:val="00C86EF4"/>
    <w:rsid w:val="00C902A9"/>
    <w:rsid w:val="00C933B8"/>
    <w:rsid w:val="00C972B1"/>
    <w:rsid w:val="00CA09A2"/>
    <w:rsid w:val="00CA0E86"/>
    <w:rsid w:val="00CA2CCE"/>
    <w:rsid w:val="00CA3730"/>
    <w:rsid w:val="00CA43FD"/>
    <w:rsid w:val="00CA6178"/>
    <w:rsid w:val="00CA69FB"/>
    <w:rsid w:val="00CA6C83"/>
    <w:rsid w:val="00CA7EF8"/>
    <w:rsid w:val="00CB0B77"/>
    <w:rsid w:val="00CB0DBB"/>
    <w:rsid w:val="00CB2384"/>
    <w:rsid w:val="00CB37FD"/>
    <w:rsid w:val="00CB67F5"/>
    <w:rsid w:val="00CC0A27"/>
    <w:rsid w:val="00CC489B"/>
    <w:rsid w:val="00CC6438"/>
    <w:rsid w:val="00CD2BCD"/>
    <w:rsid w:val="00CD3A4C"/>
    <w:rsid w:val="00CD4008"/>
    <w:rsid w:val="00CD4D76"/>
    <w:rsid w:val="00CD5D89"/>
    <w:rsid w:val="00CD6E28"/>
    <w:rsid w:val="00CD7976"/>
    <w:rsid w:val="00CE10E9"/>
    <w:rsid w:val="00CE2910"/>
    <w:rsid w:val="00CE50AC"/>
    <w:rsid w:val="00CE5393"/>
    <w:rsid w:val="00CE5A63"/>
    <w:rsid w:val="00CF36BE"/>
    <w:rsid w:val="00CF6000"/>
    <w:rsid w:val="00CF6046"/>
    <w:rsid w:val="00D003F3"/>
    <w:rsid w:val="00D005A4"/>
    <w:rsid w:val="00D01784"/>
    <w:rsid w:val="00D0364F"/>
    <w:rsid w:val="00D0586A"/>
    <w:rsid w:val="00D0597C"/>
    <w:rsid w:val="00D05A8A"/>
    <w:rsid w:val="00D06834"/>
    <w:rsid w:val="00D10F6A"/>
    <w:rsid w:val="00D11353"/>
    <w:rsid w:val="00D13516"/>
    <w:rsid w:val="00D13C8B"/>
    <w:rsid w:val="00D22BBB"/>
    <w:rsid w:val="00D23CC3"/>
    <w:rsid w:val="00D26B17"/>
    <w:rsid w:val="00D27C80"/>
    <w:rsid w:val="00D308ED"/>
    <w:rsid w:val="00D30B50"/>
    <w:rsid w:val="00D36D86"/>
    <w:rsid w:val="00D41BF1"/>
    <w:rsid w:val="00D428AA"/>
    <w:rsid w:val="00D445CE"/>
    <w:rsid w:val="00D455DF"/>
    <w:rsid w:val="00D45A52"/>
    <w:rsid w:val="00D4680A"/>
    <w:rsid w:val="00D477A7"/>
    <w:rsid w:val="00D50A34"/>
    <w:rsid w:val="00D51B10"/>
    <w:rsid w:val="00D523C8"/>
    <w:rsid w:val="00D53EFA"/>
    <w:rsid w:val="00D66B51"/>
    <w:rsid w:val="00D67A72"/>
    <w:rsid w:val="00D73013"/>
    <w:rsid w:val="00D73D6B"/>
    <w:rsid w:val="00D777B8"/>
    <w:rsid w:val="00D80AEA"/>
    <w:rsid w:val="00D838E4"/>
    <w:rsid w:val="00D87896"/>
    <w:rsid w:val="00D93F38"/>
    <w:rsid w:val="00D94A7C"/>
    <w:rsid w:val="00D950CA"/>
    <w:rsid w:val="00D9575C"/>
    <w:rsid w:val="00D95896"/>
    <w:rsid w:val="00D96D45"/>
    <w:rsid w:val="00DA0BD1"/>
    <w:rsid w:val="00DA3D3F"/>
    <w:rsid w:val="00DB2983"/>
    <w:rsid w:val="00DB2E06"/>
    <w:rsid w:val="00DB5BDD"/>
    <w:rsid w:val="00DB7540"/>
    <w:rsid w:val="00DB7D4D"/>
    <w:rsid w:val="00DC1257"/>
    <w:rsid w:val="00DC269D"/>
    <w:rsid w:val="00DC3A06"/>
    <w:rsid w:val="00DC3DC0"/>
    <w:rsid w:val="00DC5B2B"/>
    <w:rsid w:val="00DD318D"/>
    <w:rsid w:val="00DD7963"/>
    <w:rsid w:val="00DE0729"/>
    <w:rsid w:val="00DE1B8D"/>
    <w:rsid w:val="00DE7886"/>
    <w:rsid w:val="00DF2A6B"/>
    <w:rsid w:val="00DF2E12"/>
    <w:rsid w:val="00DF32DF"/>
    <w:rsid w:val="00DF514A"/>
    <w:rsid w:val="00DF6690"/>
    <w:rsid w:val="00DF66ED"/>
    <w:rsid w:val="00DF6804"/>
    <w:rsid w:val="00DF7B32"/>
    <w:rsid w:val="00E007C4"/>
    <w:rsid w:val="00E01749"/>
    <w:rsid w:val="00E02843"/>
    <w:rsid w:val="00E0358D"/>
    <w:rsid w:val="00E04323"/>
    <w:rsid w:val="00E0445C"/>
    <w:rsid w:val="00E045BD"/>
    <w:rsid w:val="00E070A2"/>
    <w:rsid w:val="00E11993"/>
    <w:rsid w:val="00E201AF"/>
    <w:rsid w:val="00E207F6"/>
    <w:rsid w:val="00E21108"/>
    <w:rsid w:val="00E23E7B"/>
    <w:rsid w:val="00E2656A"/>
    <w:rsid w:val="00E26E18"/>
    <w:rsid w:val="00E31DFA"/>
    <w:rsid w:val="00E32FD4"/>
    <w:rsid w:val="00E34277"/>
    <w:rsid w:val="00E361EA"/>
    <w:rsid w:val="00E412D0"/>
    <w:rsid w:val="00E43F9B"/>
    <w:rsid w:val="00E457F2"/>
    <w:rsid w:val="00E4597E"/>
    <w:rsid w:val="00E50D2D"/>
    <w:rsid w:val="00E53B50"/>
    <w:rsid w:val="00E53C59"/>
    <w:rsid w:val="00E5493E"/>
    <w:rsid w:val="00E56322"/>
    <w:rsid w:val="00E60982"/>
    <w:rsid w:val="00E61030"/>
    <w:rsid w:val="00E62C62"/>
    <w:rsid w:val="00E6479B"/>
    <w:rsid w:val="00E654C1"/>
    <w:rsid w:val="00E65D97"/>
    <w:rsid w:val="00E66257"/>
    <w:rsid w:val="00E66764"/>
    <w:rsid w:val="00E67507"/>
    <w:rsid w:val="00E72A5A"/>
    <w:rsid w:val="00E73354"/>
    <w:rsid w:val="00E742E8"/>
    <w:rsid w:val="00E7524C"/>
    <w:rsid w:val="00E75B26"/>
    <w:rsid w:val="00E80E56"/>
    <w:rsid w:val="00E8486C"/>
    <w:rsid w:val="00E86CC8"/>
    <w:rsid w:val="00E874C9"/>
    <w:rsid w:val="00E8782C"/>
    <w:rsid w:val="00E906C6"/>
    <w:rsid w:val="00E91D0A"/>
    <w:rsid w:val="00E91E9B"/>
    <w:rsid w:val="00E9242D"/>
    <w:rsid w:val="00E96154"/>
    <w:rsid w:val="00E97099"/>
    <w:rsid w:val="00E97C74"/>
    <w:rsid w:val="00EA473B"/>
    <w:rsid w:val="00EA48EC"/>
    <w:rsid w:val="00EA5A67"/>
    <w:rsid w:val="00EB02BD"/>
    <w:rsid w:val="00EB1417"/>
    <w:rsid w:val="00EB3944"/>
    <w:rsid w:val="00EB425B"/>
    <w:rsid w:val="00EB5255"/>
    <w:rsid w:val="00EB5C47"/>
    <w:rsid w:val="00EB6435"/>
    <w:rsid w:val="00EC0F8B"/>
    <w:rsid w:val="00EC1182"/>
    <w:rsid w:val="00EC27F5"/>
    <w:rsid w:val="00EC4E0B"/>
    <w:rsid w:val="00EC5105"/>
    <w:rsid w:val="00EC52A4"/>
    <w:rsid w:val="00EC6816"/>
    <w:rsid w:val="00EC74AD"/>
    <w:rsid w:val="00ED0639"/>
    <w:rsid w:val="00ED2841"/>
    <w:rsid w:val="00ED3A42"/>
    <w:rsid w:val="00ED5D74"/>
    <w:rsid w:val="00EE3641"/>
    <w:rsid w:val="00EE3644"/>
    <w:rsid w:val="00EE3A01"/>
    <w:rsid w:val="00EE75BD"/>
    <w:rsid w:val="00EF1019"/>
    <w:rsid w:val="00EF1E97"/>
    <w:rsid w:val="00EF4755"/>
    <w:rsid w:val="00EF60A4"/>
    <w:rsid w:val="00EF7135"/>
    <w:rsid w:val="00F00E82"/>
    <w:rsid w:val="00F0103F"/>
    <w:rsid w:val="00F027DB"/>
    <w:rsid w:val="00F02E67"/>
    <w:rsid w:val="00F05B02"/>
    <w:rsid w:val="00F07D58"/>
    <w:rsid w:val="00F11A62"/>
    <w:rsid w:val="00F1266C"/>
    <w:rsid w:val="00F14A7A"/>
    <w:rsid w:val="00F14AA2"/>
    <w:rsid w:val="00F1533C"/>
    <w:rsid w:val="00F15C10"/>
    <w:rsid w:val="00F16E48"/>
    <w:rsid w:val="00F22985"/>
    <w:rsid w:val="00F24A21"/>
    <w:rsid w:val="00F27526"/>
    <w:rsid w:val="00F27890"/>
    <w:rsid w:val="00F30D24"/>
    <w:rsid w:val="00F3383E"/>
    <w:rsid w:val="00F33CE3"/>
    <w:rsid w:val="00F42540"/>
    <w:rsid w:val="00F42A21"/>
    <w:rsid w:val="00F4448B"/>
    <w:rsid w:val="00F44635"/>
    <w:rsid w:val="00F44892"/>
    <w:rsid w:val="00F465A7"/>
    <w:rsid w:val="00F5096C"/>
    <w:rsid w:val="00F50B7C"/>
    <w:rsid w:val="00F514EB"/>
    <w:rsid w:val="00F524EE"/>
    <w:rsid w:val="00F54922"/>
    <w:rsid w:val="00F550E6"/>
    <w:rsid w:val="00F60A57"/>
    <w:rsid w:val="00F62989"/>
    <w:rsid w:val="00F6401A"/>
    <w:rsid w:val="00F66BF2"/>
    <w:rsid w:val="00F72D20"/>
    <w:rsid w:val="00F74345"/>
    <w:rsid w:val="00F77242"/>
    <w:rsid w:val="00F7784E"/>
    <w:rsid w:val="00F80A0A"/>
    <w:rsid w:val="00F81460"/>
    <w:rsid w:val="00F82B19"/>
    <w:rsid w:val="00F841B3"/>
    <w:rsid w:val="00F8446E"/>
    <w:rsid w:val="00F901D6"/>
    <w:rsid w:val="00F9159B"/>
    <w:rsid w:val="00F9212D"/>
    <w:rsid w:val="00F9243F"/>
    <w:rsid w:val="00F93D17"/>
    <w:rsid w:val="00F942B6"/>
    <w:rsid w:val="00F965DA"/>
    <w:rsid w:val="00F974C8"/>
    <w:rsid w:val="00F9775C"/>
    <w:rsid w:val="00FA1E15"/>
    <w:rsid w:val="00FA406A"/>
    <w:rsid w:val="00FA5EB9"/>
    <w:rsid w:val="00FA61F2"/>
    <w:rsid w:val="00FA632F"/>
    <w:rsid w:val="00FB2545"/>
    <w:rsid w:val="00FB3DC2"/>
    <w:rsid w:val="00FB503A"/>
    <w:rsid w:val="00FB516C"/>
    <w:rsid w:val="00FB5228"/>
    <w:rsid w:val="00FB58A3"/>
    <w:rsid w:val="00FC296F"/>
    <w:rsid w:val="00FC4E0E"/>
    <w:rsid w:val="00FC5113"/>
    <w:rsid w:val="00FC610A"/>
    <w:rsid w:val="00FC7AC1"/>
    <w:rsid w:val="00FD0236"/>
    <w:rsid w:val="00FD18F4"/>
    <w:rsid w:val="00FD3E14"/>
    <w:rsid w:val="00FD54DB"/>
    <w:rsid w:val="00FD619F"/>
    <w:rsid w:val="00FE0BB8"/>
    <w:rsid w:val="00FE1C34"/>
    <w:rsid w:val="00FE4ACD"/>
    <w:rsid w:val="00FE553B"/>
    <w:rsid w:val="00FF0B0A"/>
    <w:rsid w:val="00FF2101"/>
    <w:rsid w:val="00FF5758"/>
    <w:rsid w:val="00FF7594"/>
    <w:rsid w:val="01290F7E"/>
    <w:rsid w:val="012D2A2A"/>
    <w:rsid w:val="0150576A"/>
    <w:rsid w:val="015D1E09"/>
    <w:rsid w:val="02697903"/>
    <w:rsid w:val="02F96569"/>
    <w:rsid w:val="03EA7B21"/>
    <w:rsid w:val="04617323"/>
    <w:rsid w:val="05F83EAE"/>
    <w:rsid w:val="063E7D85"/>
    <w:rsid w:val="07293586"/>
    <w:rsid w:val="07295285"/>
    <w:rsid w:val="074C627F"/>
    <w:rsid w:val="07636392"/>
    <w:rsid w:val="07770C56"/>
    <w:rsid w:val="092217DD"/>
    <w:rsid w:val="093A7294"/>
    <w:rsid w:val="0A263993"/>
    <w:rsid w:val="0A2D3AC2"/>
    <w:rsid w:val="0AA755DF"/>
    <w:rsid w:val="0B120D44"/>
    <w:rsid w:val="0BD27BF6"/>
    <w:rsid w:val="0C3B3C7D"/>
    <w:rsid w:val="0CAB2EAE"/>
    <w:rsid w:val="0CCA037C"/>
    <w:rsid w:val="0D621C7D"/>
    <w:rsid w:val="0E73034D"/>
    <w:rsid w:val="0EDC57B4"/>
    <w:rsid w:val="0F13775A"/>
    <w:rsid w:val="0F225B97"/>
    <w:rsid w:val="0F5F45FE"/>
    <w:rsid w:val="0F95746B"/>
    <w:rsid w:val="0F9A112B"/>
    <w:rsid w:val="106D2F64"/>
    <w:rsid w:val="10B63710"/>
    <w:rsid w:val="10F10820"/>
    <w:rsid w:val="111C2F7A"/>
    <w:rsid w:val="11665CA1"/>
    <w:rsid w:val="13951726"/>
    <w:rsid w:val="14396509"/>
    <w:rsid w:val="14BA600C"/>
    <w:rsid w:val="14DD2C3C"/>
    <w:rsid w:val="16087E1D"/>
    <w:rsid w:val="16FA3301"/>
    <w:rsid w:val="17701D14"/>
    <w:rsid w:val="17735226"/>
    <w:rsid w:val="18431377"/>
    <w:rsid w:val="189F624C"/>
    <w:rsid w:val="1A1C66C0"/>
    <w:rsid w:val="1A42393B"/>
    <w:rsid w:val="1AAD45DE"/>
    <w:rsid w:val="1B046F80"/>
    <w:rsid w:val="1B1C0922"/>
    <w:rsid w:val="1B3267B5"/>
    <w:rsid w:val="1B40161D"/>
    <w:rsid w:val="1B441859"/>
    <w:rsid w:val="1B6606B1"/>
    <w:rsid w:val="1BA84A19"/>
    <w:rsid w:val="1C5E7925"/>
    <w:rsid w:val="1CFD070F"/>
    <w:rsid w:val="1D5F6196"/>
    <w:rsid w:val="1D6132A5"/>
    <w:rsid w:val="1D8E56D5"/>
    <w:rsid w:val="1DDD7D99"/>
    <w:rsid w:val="1E7A43DA"/>
    <w:rsid w:val="1E900C2C"/>
    <w:rsid w:val="1FE7539E"/>
    <w:rsid w:val="20671BE0"/>
    <w:rsid w:val="20963CB8"/>
    <w:rsid w:val="20A81A1B"/>
    <w:rsid w:val="20B07FB6"/>
    <w:rsid w:val="20B646FB"/>
    <w:rsid w:val="213B74B1"/>
    <w:rsid w:val="215A2310"/>
    <w:rsid w:val="216C09A3"/>
    <w:rsid w:val="21D27FE9"/>
    <w:rsid w:val="21DE318A"/>
    <w:rsid w:val="21EF5B80"/>
    <w:rsid w:val="22576990"/>
    <w:rsid w:val="22AC1FCB"/>
    <w:rsid w:val="22F47480"/>
    <w:rsid w:val="23BD5497"/>
    <w:rsid w:val="23DE1C48"/>
    <w:rsid w:val="240210CD"/>
    <w:rsid w:val="24BF09F7"/>
    <w:rsid w:val="252D53FE"/>
    <w:rsid w:val="25EC2D81"/>
    <w:rsid w:val="273C35D0"/>
    <w:rsid w:val="277057A2"/>
    <w:rsid w:val="286B1BB5"/>
    <w:rsid w:val="28BC00F7"/>
    <w:rsid w:val="29206EB8"/>
    <w:rsid w:val="29595666"/>
    <w:rsid w:val="29874881"/>
    <w:rsid w:val="29E325E0"/>
    <w:rsid w:val="2A452503"/>
    <w:rsid w:val="2A45762F"/>
    <w:rsid w:val="2BA936A8"/>
    <w:rsid w:val="2C315A5A"/>
    <w:rsid w:val="2C4B1C25"/>
    <w:rsid w:val="2D5D572B"/>
    <w:rsid w:val="2D9E56F5"/>
    <w:rsid w:val="2E667F96"/>
    <w:rsid w:val="2E8226AB"/>
    <w:rsid w:val="2FD065E6"/>
    <w:rsid w:val="2FD96870"/>
    <w:rsid w:val="30580BC9"/>
    <w:rsid w:val="30A423FB"/>
    <w:rsid w:val="311E2ED7"/>
    <w:rsid w:val="315619EE"/>
    <w:rsid w:val="315C449C"/>
    <w:rsid w:val="31B82709"/>
    <w:rsid w:val="31D05482"/>
    <w:rsid w:val="32400B34"/>
    <w:rsid w:val="329E6876"/>
    <w:rsid w:val="32A02C75"/>
    <w:rsid w:val="333015F2"/>
    <w:rsid w:val="334B6320"/>
    <w:rsid w:val="33D934D4"/>
    <w:rsid w:val="33FE2F6A"/>
    <w:rsid w:val="340E07E5"/>
    <w:rsid w:val="341543E7"/>
    <w:rsid w:val="34235BF7"/>
    <w:rsid w:val="34B93435"/>
    <w:rsid w:val="3522465F"/>
    <w:rsid w:val="35254027"/>
    <w:rsid w:val="358C5FA8"/>
    <w:rsid w:val="35C15DF1"/>
    <w:rsid w:val="36074A7F"/>
    <w:rsid w:val="36923549"/>
    <w:rsid w:val="36B75FBF"/>
    <w:rsid w:val="36BD0C45"/>
    <w:rsid w:val="37E00298"/>
    <w:rsid w:val="38B302F9"/>
    <w:rsid w:val="38F12CD3"/>
    <w:rsid w:val="38F94775"/>
    <w:rsid w:val="392971ED"/>
    <w:rsid w:val="39325651"/>
    <w:rsid w:val="3A872856"/>
    <w:rsid w:val="3AB75076"/>
    <w:rsid w:val="3B3763D1"/>
    <w:rsid w:val="3C2F6E1E"/>
    <w:rsid w:val="3C4F64BA"/>
    <w:rsid w:val="3C614F2B"/>
    <w:rsid w:val="3CB6466C"/>
    <w:rsid w:val="3CDA245A"/>
    <w:rsid w:val="3D1E06B7"/>
    <w:rsid w:val="3EDA0523"/>
    <w:rsid w:val="407A6407"/>
    <w:rsid w:val="412050E5"/>
    <w:rsid w:val="41B9630E"/>
    <w:rsid w:val="41F36742"/>
    <w:rsid w:val="4200449D"/>
    <w:rsid w:val="42270CEC"/>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1C620A"/>
    <w:rsid w:val="4870272E"/>
    <w:rsid w:val="49DC7715"/>
    <w:rsid w:val="4A023139"/>
    <w:rsid w:val="4A520A07"/>
    <w:rsid w:val="4A7B576F"/>
    <w:rsid w:val="4AC60109"/>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0C76EAB"/>
    <w:rsid w:val="5162104E"/>
    <w:rsid w:val="52F57A3A"/>
    <w:rsid w:val="53A039CC"/>
    <w:rsid w:val="53A1505A"/>
    <w:rsid w:val="54063E08"/>
    <w:rsid w:val="543437E8"/>
    <w:rsid w:val="54A749AC"/>
    <w:rsid w:val="54F73313"/>
    <w:rsid w:val="54F80955"/>
    <w:rsid w:val="555170A7"/>
    <w:rsid w:val="5587536D"/>
    <w:rsid w:val="559B174B"/>
    <w:rsid w:val="55CE0CF4"/>
    <w:rsid w:val="56B22A9C"/>
    <w:rsid w:val="578E3414"/>
    <w:rsid w:val="57B72A76"/>
    <w:rsid w:val="57C3426C"/>
    <w:rsid w:val="57CE1F93"/>
    <w:rsid w:val="57DA74E8"/>
    <w:rsid w:val="588743D1"/>
    <w:rsid w:val="5887701A"/>
    <w:rsid w:val="59C0439F"/>
    <w:rsid w:val="5ABE2233"/>
    <w:rsid w:val="5BDF5D95"/>
    <w:rsid w:val="5BFE7528"/>
    <w:rsid w:val="5E2467F1"/>
    <w:rsid w:val="5E273154"/>
    <w:rsid w:val="5F1A2B43"/>
    <w:rsid w:val="5F2D038A"/>
    <w:rsid w:val="5FB837BB"/>
    <w:rsid w:val="5FE91459"/>
    <w:rsid w:val="60630DE6"/>
    <w:rsid w:val="60CC405A"/>
    <w:rsid w:val="6138446C"/>
    <w:rsid w:val="61E215D8"/>
    <w:rsid w:val="621B3775"/>
    <w:rsid w:val="62364782"/>
    <w:rsid w:val="629F6FB6"/>
    <w:rsid w:val="6394356A"/>
    <w:rsid w:val="63C61B2C"/>
    <w:rsid w:val="63D40BE9"/>
    <w:rsid w:val="64102431"/>
    <w:rsid w:val="64A5243A"/>
    <w:rsid w:val="64F531DE"/>
    <w:rsid w:val="65373578"/>
    <w:rsid w:val="65A75ABB"/>
    <w:rsid w:val="671F124A"/>
    <w:rsid w:val="677A33C6"/>
    <w:rsid w:val="681F6961"/>
    <w:rsid w:val="68610A2F"/>
    <w:rsid w:val="68805514"/>
    <w:rsid w:val="68B44968"/>
    <w:rsid w:val="69316E2F"/>
    <w:rsid w:val="694E2071"/>
    <w:rsid w:val="69766163"/>
    <w:rsid w:val="697A3B33"/>
    <w:rsid w:val="69D44760"/>
    <w:rsid w:val="6A520EC7"/>
    <w:rsid w:val="6AF87E20"/>
    <w:rsid w:val="6B322639"/>
    <w:rsid w:val="6BCE2E4D"/>
    <w:rsid w:val="6C636C38"/>
    <w:rsid w:val="6D121934"/>
    <w:rsid w:val="6DB34098"/>
    <w:rsid w:val="6DB545B6"/>
    <w:rsid w:val="6DE02FB4"/>
    <w:rsid w:val="6E514CED"/>
    <w:rsid w:val="6EB563D5"/>
    <w:rsid w:val="6EC12E29"/>
    <w:rsid w:val="6ED92677"/>
    <w:rsid w:val="6F225983"/>
    <w:rsid w:val="6FFC5590"/>
    <w:rsid w:val="700953A5"/>
    <w:rsid w:val="705D39B8"/>
    <w:rsid w:val="706D1DD0"/>
    <w:rsid w:val="70856B87"/>
    <w:rsid w:val="70D527EE"/>
    <w:rsid w:val="70D6480D"/>
    <w:rsid w:val="715B5300"/>
    <w:rsid w:val="71D27F8A"/>
    <w:rsid w:val="72553024"/>
    <w:rsid w:val="73122968"/>
    <w:rsid w:val="731F5D5E"/>
    <w:rsid w:val="73C51AD5"/>
    <w:rsid w:val="741E793C"/>
    <w:rsid w:val="745E3944"/>
    <w:rsid w:val="7635099D"/>
    <w:rsid w:val="77762421"/>
    <w:rsid w:val="77B56B1F"/>
    <w:rsid w:val="780F09F4"/>
    <w:rsid w:val="78997A19"/>
    <w:rsid w:val="78A90480"/>
    <w:rsid w:val="7A364017"/>
    <w:rsid w:val="7A8265E1"/>
    <w:rsid w:val="7B686D42"/>
    <w:rsid w:val="7B841746"/>
    <w:rsid w:val="7C6C5AC7"/>
    <w:rsid w:val="7CC6544B"/>
    <w:rsid w:val="7D0239FF"/>
    <w:rsid w:val="7D0B2C4B"/>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widowControl/>
      <w:snapToGrid w:val="0"/>
      <w:spacing w:before="60" w:after="160" w:line="259" w:lineRule="auto"/>
      <w:ind w:right="113"/>
    </w:pPr>
    <w:rPr>
      <w:kern w:val="0"/>
      <w:sz w:val="18"/>
      <w:szCs w:val="20"/>
    </w:rPr>
  </w:style>
  <w:style w:type="paragraph" w:styleId="3">
    <w:name w:val="List Bullet 5"/>
    <w:basedOn w:val="1"/>
    <w:qFormat/>
    <w:locked/>
    <w:uiPriority w:val="0"/>
    <w:pPr>
      <w:numPr>
        <w:ilvl w:val="0"/>
        <w:numId w:val="1"/>
      </w:numPr>
    </w:pPr>
  </w:style>
  <w:style w:type="paragraph" w:styleId="5">
    <w:name w:val="Normal Indent"/>
    <w:basedOn w:val="1"/>
    <w:qFormat/>
    <w:locked/>
    <w:uiPriority w:val="0"/>
    <w:pPr>
      <w:ind w:firstLine="420" w:firstLineChars="200"/>
    </w:pPr>
  </w:style>
  <w:style w:type="paragraph" w:styleId="6">
    <w:name w:val="annotation text"/>
    <w:basedOn w:val="1"/>
    <w:link w:val="36"/>
    <w:qFormat/>
    <w:uiPriority w:val="0"/>
    <w:pPr>
      <w:jc w:val="left"/>
    </w:pPr>
    <w:rPr>
      <w:kern w:val="0"/>
      <w:sz w:val="24"/>
      <w:szCs w:val="20"/>
    </w:rPr>
  </w:style>
  <w:style w:type="paragraph" w:styleId="7">
    <w:name w:val="Body Text Indent"/>
    <w:basedOn w:val="1"/>
    <w:link w:val="32"/>
    <w:qFormat/>
    <w:uiPriority w:val="0"/>
    <w:pPr>
      <w:spacing w:after="120"/>
      <w:ind w:left="420" w:leftChars="200"/>
    </w:pPr>
    <w:rPr>
      <w:kern w:val="0"/>
      <w:sz w:val="24"/>
      <w:szCs w:val="20"/>
    </w:rPr>
  </w:style>
  <w:style w:type="paragraph" w:styleId="8">
    <w:name w:val="Plain Text"/>
    <w:basedOn w:val="1"/>
    <w:link w:val="47"/>
    <w:qFormat/>
    <w:locked/>
    <w:uiPriority w:val="0"/>
    <w:rPr>
      <w:rFonts w:ascii="宋体" w:hAnsi="Courier New" w:cs="宋体"/>
      <w:kern w:val="0"/>
      <w:szCs w:val="21"/>
    </w:rPr>
  </w:style>
  <w:style w:type="paragraph" w:styleId="9">
    <w:name w:val="Date"/>
    <w:basedOn w:val="1"/>
    <w:next w:val="1"/>
    <w:link w:val="28"/>
    <w:qFormat/>
    <w:uiPriority w:val="0"/>
    <w:pPr>
      <w:ind w:left="100" w:leftChars="2500"/>
    </w:pPr>
    <w:rPr>
      <w:kern w:val="0"/>
      <w:sz w:val="24"/>
      <w:szCs w:val="20"/>
    </w:rPr>
  </w:style>
  <w:style w:type="paragraph" w:styleId="10">
    <w:name w:val="Body Text Indent 2"/>
    <w:basedOn w:val="1"/>
    <w:next w:val="1"/>
    <w:link w:val="66"/>
    <w:unhideWhenUsed/>
    <w:qFormat/>
    <w:locked/>
    <w:uiPriority w:val="0"/>
    <w:pPr>
      <w:spacing w:after="120" w:line="480" w:lineRule="auto"/>
      <w:ind w:left="420" w:leftChars="200"/>
    </w:pPr>
    <w:rPr>
      <w:rFonts w:ascii="Times New Roman" w:hAnsi="Times New Roman"/>
    </w:rPr>
  </w:style>
  <w:style w:type="paragraph" w:styleId="11">
    <w:name w:val="Balloon Text"/>
    <w:basedOn w:val="1"/>
    <w:link w:val="29"/>
    <w:semiHidden/>
    <w:qFormat/>
    <w:uiPriority w:val="0"/>
    <w:rPr>
      <w:kern w:val="0"/>
      <w:sz w:val="18"/>
      <w:szCs w:val="20"/>
    </w:rPr>
  </w:style>
  <w:style w:type="paragraph" w:styleId="12">
    <w:name w:val="footer"/>
    <w:basedOn w:val="1"/>
    <w:link w:val="37"/>
    <w:qFormat/>
    <w:uiPriority w:val="99"/>
    <w:pPr>
      <w:tabs>
        <w:tab w:val="center" w:pos="4153"/>
        <w:tab w:val="right" w:pos="8306"/>
      </w:tabs>
      <w:snapToGrid w:val="0"/>
      <w:jc w:val="left"/>
    </w:pPr>
    <w:rPr>
      <w:kern w:val="0"/>
      <w:sz w:val="18"/>
      <w:szCs w:val="20"/>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locked/>
    <w:uiPriority w:val="0"/>
  </w:style>
  <w:style w:type="paragraph" w:styleId="15">
    <w:name w:val="toc 2"/>
    <w:basedOn w:val="1"/>
    <w:next w:val="1"/>
    <w:qFormat/>
    <w:locked/>
    <w:uiPriority w:val="39"/>
    <w:pPr>
      <w:ind w:left="210"/>
      <w:jc w:val="left"/>
    </w:pPr>
    <w:rPr>
      <w:rFonts w:ascii="Times New Roman" w:hAnsi="Times New Roman"/>
      <w:smallCaps/>
      <w:sz w:val="20"/>
      <w:szCs w:val="20"/>
    </w:rPr>
  </w:style>
  <w:style w:type="paragraph" w:styleId="16">
    <w:name w:val="Normal (Web)"/>
    <w:basedOn w:val="1"/>
    <w:link w:val="30"/>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3"/>
    <w:semiHidden/>
    <w:qFormat/>
    <w:uiPriority w:val="0"/>
    <w:rPr>
      <w:b/>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locked/>
    <w:uiPriority w:val="0"/>
  </w:style>
  <w:style w:type="character" w:styleId="22">
    <w:name w:val="Hyperlink"/>
    <w:basedOn w:val="20"/>
    <w:qFormat/>
    <w:locked/>
    <w:uiPriority w:val="0"/>
    <w:rPr>
      <w:color w:val="0000FF"/>
      <w:u w:val="single"/>
    </w:rPr>
  </w:style>
  <w:style w:type="character" w:styleId="23">
    <w:name w:val="annotation reference"/>
    <w:qFormat/>
    <w:uiPriority w:val="0"/>
    <w:rPr>
      <w:sz w:val="21"/>
    </w:rPr>
  </w:style>
  <w:style w:type="paragraph" w:customStyle="1" w:styleId="24">
    <w:name w:val="Default"/>
    <w:basedOn w:val="25"/>
    <w:next w:val="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5">
    <w:name w:val="纯文本1"/>
    <w:basedOn w:val="1"/>
    <w:qFormat/>
    <w:uiPriority w:val="0"/>
    <w:pPr>
      <w:adjustRightInd w:val="0"/>
    </w:pPr>
    <w:rPr>
      <w:rFonts w:ascii="宋体" w:hAnsi="Courier New"/>
      <w:szCs w:val="20"/>
    </w:rPr>
  </w:style>
  <w:style w:type="character" w:customStyle="1" w:styleId="26">
    <w:name w:val="表格 Char"/>
    <w:link w:val="27"/>
    <w:qFormat/>
    <w:locked/>
    <w:uiPriority w:val="0"/>
    <w:rPr>
      <w:rFonts w:ascii="宋体"/>
      <w:sz w:val="21"/>
    </w:rPr>
  </w:style>
  <w:style w:type="paragraph" w:customStyle="1" w:styleId="27">
    <w:name w:val="表格"/>
    <w:basedOn w:val="1"/>
    <w:next w:val="1"/>
    <w:link w:val="26"/>
    <w:qFormat/>
    <w:uiPriority w:val="99"/>
    <w:pPr>
      <w:adjustRightInd w:val="0"/>
      <w:snapToGrid w:val="0"/>
      <w:spacing w:beforeLines="10" w:afterLines="10" w:line="259" w:lineRule="auto"/>
      <w:jc w:val="center"/>
    </w:pPr>
    <w:rPr>
      <w:rFonts w:ascii="宋体"/>
      <w:kern w:val="0"/>
      <w:szCs w:val="20"/>
    </w:rPr>
  </w:style>
  <w:style w:type="character" w:customStyle="1" w:styleId="28">
    <w:name w:val="日期 字符1"/>
    <w:link w:val="9"/>
    <w:qFormat/>
    <w:locked/>
    <w:uiPriority w:val="0"/>
    <w:rPr>
      <w:rFonts w:ascii="Times New Roman" w:hAnsi="Times New Roman" w:eastAsia="宋体"/>
      <w:sz w:val="24"/>
    </w:rPr>
  </w:style>
  <w:style w:type="character" w:customStyle="1" w:styleId="29">
    <w:name w:val="批注框文本 字符"/>
    <w:link w:val="11"/>
    <w:semiHidden/>
    <w:qFormat/>
    <w:locked/>
    <w:uiPriority w:val="0"/>
    <w:rPr>
      <w:rFonts w:ascii="Times New Roman" w:hAnsi="Times New Roman" w:eastAsia="宋体"/>
      <w:sz w:val="18"/>
    </w:rPr>
  </w:style>
  <w:style w:type="character" w:customStyle="1" w:styleId="30">
    <w:name w:val="普通(网站) 字符"/>
    <w:link w:val="16"/>
    <w:qFormat/>
    <w:locked/>
    <w:uiPriority w:val="0"/>
    <w:rPr>
      <w:rFonts w:ascii="宋体" w:hAnsi="宋体" w:eastAsia="宋体"/>
      <w:sz w:val="24"/>
    </w:rPr>
  </w:style>
  <w:style w:type="character" w:customStyle="1" w:styleId="31">
    <w:name w:val="正文文本 字符1"/>
    <w:semiHidden/>
    <w:qFormat/>
    <w:uiPriority w:val="0"/>
    <w:rPr>
      <w:rFonts w:ascii="Times New Roman" w:hAnsi="Times New Roman" w:eastAsia="宋体"/>
      <w:sz w:val="24"/>
    </w:rPr>
  </w:style>
  <w:style w:type="character" w:customStyle="1" w:styleId="32">
    <w:name w:val="正文文本缩进 字符"/>
    <w:link w:val="7"/>
    <w:semiHidden/>
    <w:qFormat/>
    <w:locked/>
    <w:uiPriority w:val="0"/>
    <w:rPr>
      <w:rFonts w:ascii="Times New Roman" w:hAnsi="Times New Roman" w:eastAsia="宋体"/>
      <w:sz w:val="24"/>
    </w:rPr>
  </w:style>
  <w:style w:type="character" w:customStyle="1" w:styleId="33">
    <w:name w:val="批注主题 字符"/>
    <w:link w:val="17"/>
    <w:semiHidden/>
    <w:qFormat/>
    <w:locked/>
    <w:uiPriority w:val="0"/>
    <w:rPr>
      <w:rFonts w:ascii="Times New Roman" w:hAnsi="Times New Roman" w:eastAsia="宋体"/>
      <w:b/>
      <w:kern w:val="2"/>
      <w:sz w:val="24"/>
    </w:rPr>
  </w:style>
  <w:style w:type="character" w:customStyle="1" w:styleId="34">
    <w:name w:val="页眉 字符"/>
    <w:link w:val="13"/>
    <w:qFormat/>
    <w:locked/>
    <w:uiPriority w:val="0"/>
    <w:rPr>
      <w:sz w:val="18"/>
    </w:rPr>
  </w:style>
  <w:style w:type="character" w:customStyle="1" w:styleId="35">
    <w:name w:val="页脚 字符"/>
    <w:basedOn w:val="20"/>
    <w:qFormat/>
    <w:uiPriority w:val="99"/>
  </w:style>
  <w:style w:type="character" w:customStyle="1" w:styleId="36">
    <w:name w:val="批注文字 字符"/>
    <w:link w:val="6"/>
    <w:qFormat/>
    <w:locked/>
    <w:uiPriority w:val="0"/>
    <w:rPr>
      <w:rFonts w:ascii="Times New Roman" w:hAnsi="Times New Roman" w:eastAsia="宋体"/>
      <w:sz w:val="24"/>
    </w:rPr>
  </w:style>
  <w:style w:type="character" w:customStyle="1" w:styleId="37">
    <w:name w:val="页脚 字符1"/>
    <w:link w:val="12"/>
    <w:qFormat/>
    <w:locked/>
    <w:uiPriority w:val="99"/>
    <w:rPr>
      <w:sz w:val="18"/>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文本 字符"/>
    <w:link w:val="2"/>
    <w:qFormat/>
    <w:locked/>
    <w:uiPriority w:val="0"/>
    <w:rPr>
      <w:sz w:val="18"/>
    </w:rPr>
  </w:style>
  <w:style w:type="character" w:customStyle="1" w:styleId="40">
    <w:name w:val="日期 字符"/>
    <w:semiHidden/>
    <w:qFormat/>
    <w:uiPriority w:val="0"/>
    <w:rPr>
      <w:rFonts w:ascii="Times New Roman" w:hAnsi="Times New Roman" w:eastAsia="宋体"/>
      <w:sz w:val="24"/>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报告书正文 Char Char"/>
    <w:link w:val="44"/>
    <w:qFormat/>
    <w:uiPriority w:val="0"/>
    <w:rPr>
      <w:snapToGrid w:val="0"/>
      <w:sz w:val="24"/>
      <w:szCs w:val="28"/>
    </w:rPr>
  </w:style>
  <w:style w:type="paragraph" w:customStyle="1" w:styleId="44">
    <w:name w:val="报告书正文"/>
    <w:basedOn w:val="1"/>
    <w:link w:val="43"/>
    <w:qFormat/>
    <w:uiPriority w:val="0"/>
    <w:pPr>
      <w:spacing w:line="360" w:lineRule="auto"/>
      <w:ind w:firstLine="480" w:firstLineChars="200"/>
    </w:pPr>
    <w:rPr>
      <w:snapToGrid w:val="0"/>
      <w:kern w:val="0"/>
      <w:sz w:val="24"/>
      <w:szCs w:val="28"/>
    </w:rPr>
  </w:style>
  <w:style w:type="paragraph" w:styleId="45">
    <w:name w:val="No Spacing"/>
    <w:next w:val="46"/>
    <w:qFormat/>
    <w:uiPriority w:val="1"/>
    <w:pPr>
      <w:widowControl w:val="0"/>
      <w:jc w:val="center"/>
    </w:pPr>
    <w:rPr>
      <w:rFonts w:ascii="Times New Roman" w:hAnsi="Times New Roman" w:eastAsia="宋体" w:cs="Times New Roman"/>
      <w:kern w:val="2"/>
      <w:sz w:val="21"/>
      <w:szCs w:val="21"/>
      <w:lang w:val="en-US" w:eastAsia="zh-CN" w:bidi="ar-SA"/>
    </w:rPr>
  </w:style>
  <w:style w:type="paragraph" w:customStyle="1" w:styleId="46">
    <w:name w:val="报告正文"/>
    <w:basedOn w:val="1"/>
    <w:next w:val="1"/>
    <w:qFormat/>
    <w:uiPriority w:val="0"/>
    <w:pPr>
      <w:autoSpaceDE w:val="0"/>
      <w:autoSpaceDN w:val="0"/>
      <w:adjustRightInd w:val="0"/>
      <w:snapToGrid w:val="0"/>
      <w:spacing w:line="360" w:lineRule="auto"/>
      <w:ind w:firstLine="200" w:firstLineChars="200"/>
    </w:pPr>
    <w:rPr>
      <w:rFonts w:ascii="Times New Roman" w:hAnsi="Times New Roman"/>
      <w:color w:val="FF0000"/>
      <w:kern w:val="0"/>
      <w:sz w:val="24"/>
    </w:rPr>
  </w:style>
  <w:style w:type="character" w:customStyle="1" w:styleId="47">
    <w:name w:val="纯文本 字符"/>
    <w:link w:val="8"/>
    <w:qFormat/>
    <w:locked/>
    <w:uiPriority w:val="0"/>
    <w:rPr>
      <w:rFonts w:ascii="宋体" w:hAnsi="Courier New" w:cs="宋体"/>
      <w:sz w:val="21"/>
      <w:szCs w:val="21"/>
    </w:rPr>
  </w:style>
  <w:style w:type="character" w:customStyle="1" w:styleId="48">
    <w:name w:val="纯文本 Char"/>
    <w:qFormat/>
    <w:uiPriority w:val="0"/>
    <w:rPr>
      <w:rFonts w:ascii="宋体" w:hAnsi="Courier New" w:cs="Courier New"/>
      <w:kern w:val="2"/>
      <w:sz w:val="21"/>
      <w:szCs w:val="21"/>
    </w:rPr>
  </w:style>
  <w:style w:type="character" w:customStyle="1" w:styleId="49">
    <w:name w:val="博士论文标题2 Char"/>
    <w:link w:val="50"/>
    <w:qFormat/>
    <w:uiPriority w:val="0"/>
    <w:rPr>
      <w:b/>
      <w:bCs/>
      <w:kern w:val="2"/>
      <w:sz w:val="28"/>
      <w:szCs w:val="28"/>
    </w:rPr>
  </w:style>
  <w:style w:type="paragraph" w:customStyle="1" w:styleId="50">
    <w:name w:val="EIS_TITLE_2"/>
    <w:basedOn w:val="1"/>
    <w:link w:val="49"/>
    <w:qFormat/>
    <w:uiPriority w:val="0"/>
    <w:pPr>
      <w:spacing w:beforeLines="20" w:afterLines="20" w:line="360" w:lineRule="auto"/>
      <w:outlineLvl w:val="1"/>
    </w:pPr>
    <w:rPr>
      <w:b/>
      <w:bCs/>
      <w:sz w:val="28"/>
      <w:szCs w:val="28"/>
    </w:rPr>
  </w:style>
  <w:style w:type="paragraph" w:customStyle="1" w:styleId="51">
    <w:name w:val="EIS_TITLE_4"/>
    <w:basedOn w:val="1"/>
    <w:qFormat/>
    <w:uiPriority w:val="0"/>
    <w:pPr>
      <w:numPr>
        <w:ilvl w:val="3"/>
        <w:numId w:val="2"/>
      </w:numPr>
      <w:tabs>
        <w:tab w:val="left" w:pos="851"/>
      </w:tabs>
      <w:spacing w:beforeLines="20" w:afterLines="20" w:line="360" w:lineRule="auto"/>
      <w:outlineLvl w:val="3"/>
    </w:pPr>
    <w:rPr>
      <w:rFonts w:ascii="Times New Roman" w:hAnsi="Times New Roman"/>
      <w:sz w:val="24"/>
    </w:rPr>
  </w:style>
  <w:style w:type="paragraph" w:customStyle="1" w:styleId="52">
    <w:name w:val="环保表内字（五号）"/>
    <w:basedOn w:val="1"/>
    <w:qFormat/>
    <w:uiPriority w:val="99"/>
    <w:pPr>
      <w:adjustRightInd w:val="0"/>
      <w:snapToGrid w:val="0"/>
      <w:spacing w:line="240" w:lineRule="atLeast"/>
      <w:jc w:val="center"/>
    </w:pPr>
    <w:rPr>
      <w:rFonts w:ascii="Times New Roman" w:hAnsi="Times New Roman"/>
      <w:kern w:val="0"/>
      <w:szCs w:val="21"/>
    </w:rPr>
  </w:style>
  <w:style w:type="paragraph" w:customStyle="1" w:styleId="53">
    <w:name w:val="样式 正文11 + 首行缩进:  2 字符"/>
    <w:basedOn w:val="1"/>
    <w:qFormat/>
    <w:uiPriority w:val="0"/>
    <w:pPr>
      <w:spacing w:line="500" w:lineRule="exact"/>
      <w:ind w:firstLine="560" w:firstLineChars="200"/>
    </w:pPr>
    <w:rPr>
      <w:rFonts w:ascii="宋体" w:hAnsi="宋体" w:cs="宋体"/>
      <w:color w:val="FF0000"/>
      <w:sz w:val="28"/>
      <w:szCs w:val="28"/>
    </w:rPr>
  </w:style>
  <w:style w:type="paragraph" w:customStyle="1" w:styleId="54">
    <w:name w:val="EIS_GRAPH_TITLE"/>
    <w:basedOn w:val="1"/>
    <w:next w:val="1"/>
    <w:qFormat/>
    <w:uiPriority w:val="0"/>
    <w:pPr>
      <w:numPr>
        <w:ilvl w:val="5"/>
        <w:numId w:val="2"/>
      </w:numPr>
      <w:tabs>
        <w:tab w:val="left" w:pos="360"/>
        <w:tab w:val="left" w:pos="3617"/>
      </w:tabs>
      <w:adjustRightInd w:val="0"/>
      <w:snapToGrid w:val="0"/>
      <w:spacing w:line="360" w:lineRule="auto"/>
      <w:ind w:firstLine="480"/>
      <w:jc w:val="center"/>
    </w:pPr>
    <w:rPr>
      <w:rFonts w:ascii="Times New Roman" w:hAnsi="Times New Roman"/>
      <w:b/>
      <w:bCs/>
      <w:kern w:val="0"/>
      <w:sz w:val="24"/>
    </w:rPr>
  </w:style>
  <w:style w:type="paragraph" w:customStyle="1" w:styleId="55">
    <w:name w:val="EIS_TEXT"/>
    <w:basedOn w:val="1"/>
    <w:qFormat/>
    <w:uiPriority w:val="0"/>
    <w:pPr>
      <w:adjustRightInd w:val="0"/>
      <w:snapToGrid w:val="0"/>
      <w:spacing w:beforeLines="20" w:afterLines="20" w:line="360" w:lineRule="auto"/>
      <w:ind w:firstLine="480" w:firstLineChars="200"/>
    </w:pPr>
    <w:rPr>
      <w:rFonts w:ascii="Times New Roman" w:hAnsi="Times New Roman"/>
      <w:kern w:val="0"/>
      <w:sz w:val="24"/>
    </w:rPr>
  </w:style>
  <w:style w:type="character" w:customStyle="1" w:styleId="56">
    <w:name w:val="表格文字 Char"/>
    <w:link w:val="57"/>
    <w:qFormat/>
    <w:locked/>
    <w:uiPriority w:val="0"/>
    <w:rPr>
      <w:sz w:val="21"/>
      <w:szCs w:val="21"/>
    </w:rPr>
  </w:style>
  <w:style w:type="paragraph" w:customStyle="1" w:styleId="57">
    <w:name w:val="EIS_TABLE_TEXT"/>
    <w:basedOn w:val="55"/>
    <w:link w:val="56"/>
    <w:qFormat/>
    <w:uiPriority w:val="0"/>
    <w:pPr>
      <w:spacing w:beforeLines="0" w:afterLines="0" w:line="240" w:lineRule="auto"/>
      <w:ind w:firstLine="0" w:firstLineChars="0"/>
      <w:jc w:val="center"/>
    </w:pPr>
    <w:rPr>
      <w:rFonts w:ascii="Calibri" w:hAnsi="Calibri"/>
      <w:sz w:val="21"/>
      <w:szCs w:val="21"/>
    </w:rPr>
  </w:style>
  <w:style w:type="paragraph" w:customStyle="1" w:styleId="58">
    <w:name w:val="文章正文"/>
    <w:basedOn w:val="1"/>
    <w:qFormat/>
    <w:uiPriority w:val="99"/>
    <w:pPr>
      <w:snapToGrid w:val="0"/>
      <w:spacing w:line="360" w:lineRule="auto"/>
      <w:ind w:firstLine="200" w:firstLineChars="200"/>
    </w:pPr>
    <w:rPr>
      <w:rFonts w:ascii="Times New Roman" w:hAnsi="Times New Roman"/>
      <w:sz w:val="24"/>
    </w:rPr>
  </w:style>
  <w:style w:type="character" w:customStyle="1" w:styleId="59">
    <w:name w:val="报告表正文 Char"/>
    <w:link w:val="60"/>
    <w:qFormat/>
    <w:locked/>
    <w:uiPriority w:val="0"/>
    <w:rPr>
      <w:rFonts w:ascii="宋体" w:hAnsi="Arial"/>
      <w:kern w:val="2"/>
      <w:sz w:val="24"/>
    </w:rPr>
  </w:style>
  <w:style w:type="paragraph" w:customStyle="1" w:styleId="60">
    <w:name w:val="报告表正文"/>
    <w:basedOn w:val="5"/>
    <w:link w:val="59"/>
    <w:qFormat/>
    <w:uiPriority w:val="0"/>
    <w:pPr>
      <w:tabs>
        <w:tab w:val="left" w:pos="539"/>
        <w:tab w:val="left" w:pos="1257"/>
        <w:tab w:val="left" w:pos="6162"/>
      </w:tabs>
      <w:spacing w:line="360" w:lineRule="auto"/>
      <w:ind w:left="-76" w:leftChars="-36" w:firstLine="480"/>
      <w:jc w:val="left"/>
    </w:pPr>
    <w:rPr>
      <w:rFonts w:ascii="宋体" w:hAnsi="Arial"/>
      <w:sz w:val="24"/>
      <w:szCs w:val="20"/>
    </w:rPr>
  </w:style>
  <w:style w:type="character" w:customStyle="1" w:styleId="61">
    <w:name w:val="articlecontent"/>
    <w:qFormat/>
    <w:uiPriority w:val="0"/>
  </w:style>
  <w:style w:type="paragraph" w:customStyle="1" w:styleId="62">
    <w:name w:val="表格标题"/>
    <w:basedOn w:val="1"/>
    <w:qFormat/>
    <w:uiPriority w:val="0"/>
    <w:pPr>
      <w:adjustRightInd w:val="0"/>
      <w:snapToGrid w:val="0"/>
      <w:jc w:val="center"/>
    </w:pPr>
    <w:rPr>
      <w:rFonts w:ascii="Times New Roman" w:hAnsi="Times New Roman"/>
      <w:b/>
      <w:sz w:val="24"/>
      <w:szCs w:val="21"/>
    </w:rPr>
  </w:style>
  <w:style w:type="paragraph" w:customStyle="1" w:styleId="63">
    <w:name w:val="表"/>
    <w:basedOn w:val="1"/>
    <w:next w:val="1"/>
    <w:qFormat/>
    <w:uiPriority w:val="0"/>
    <w:pPr>
      <w:jc w:val="center"/>
    </w:pPr>
    <w:rPr>
      <w:rFonts w:ascii="Times New Roman" w:hAnsi="Times New Roman"/>
    </w:rPr>
  </w:style>
  <w:style w:type="paragraph" w:customStyle="1" w:styleId="64">
    <w:name w:val="表格文字"/>
    <w:basedOn w:val="1"/>
    <w:qFormat/>
    <w:uiPriority w:val="0"/>
    <w:pPr>
      <w:snapToGrid w:val="0"/>
      <w:jc w:val="center"/>
    </w:pPr>
    <w:rPr>
      <w:rFonts w:ascii="Times New Roman" w:hAnsi="Times New Roman"/>
      <w:szCs w:val="21"/>
    </w:rPr>
  </w:style>
  <w:style w:type="paragraph" w:customStyle="1" w:styleId="65">
    <w:name w:val="表格（窄）"/>
    <w:basedOn w:val="1"/>
    <w:qFormat/>
    <w:uiPriority w:val="99"/>
    <w:pPr>
      <w:autoSpaceDE w:val="0"/>
      <w:autoSpaceDN w:val="0"/>
      <w:adjustRightInd w:val="0"/>
      <w:spacing w:beforeLines="20" w:afterLines="20"/>
      <w:jc w:val="center"/>
    </w:pPr>
    <w:rPr>
      <w:kern w:val="0"/>
      <w:sz w:val="24"/>
      <w:szCs w:val="22"/>
    </w:rPr>
  </w:style>
  <w:style w:type="character" w:customStyle="1" w:styleId="66">
    <w:name w:val="正文文本缩进 2 字符"/>
    <w:basedOn w:val="20"/>
    <w:link w:val="10"/>
    <w:qFormat/>
    <w:uiPriority w:val="0"/>
    <w:rPr>
      <w:rFonts w:ascii="Times New Roman" w:hAnsi="Times New Roman"/>
      <w:kern w:val="2"/>
      <w:sz w:val="21"/>
      <w:szCs w:val="24"/>
    </w:rPr>
  </w:style>
  <w:style w:type="paragraph" w:customStyle="1" w:styleId="67">
    <w:name w:val="采石场项目正文"/>
    <w:basedOn w:val="1"/>
    <w:qFormat/>
    <w:uiPriority w:val="0"/>
    <w:pPr>
      <w:adjustRightInd w:val="0"/>
      <w:snapToGrid w:val="0"/>
      <w:spacing w:line="360" w:lineRule="auto"/>
      <w:ind w:firstLine="420" w:firstLineChars="200"/>
    </w:pPr>
    <w:rPr>
      <w:rFonts w:ascii="Times New Roman" w:hAnsi="Times New Roman"/>
      <w:sz w:val="24"/>
    </w:rPr>
  </w:style>
  <w:style w:type="paragraph" w:customStyle="1" w:styleId="68">
    <w:name w:val="表头"/>
    <w:basedOn w:val="14"/>
    <w:next w:val="1"/>
    <w:qFormat/>
    <w:uiPriority w:val="0"/>
    <w:pPr>
      <w:widowControl/>
      <w:tabs>
        <w:tab w:val="right" w:leader="dot" w:pos="8364"/>
      </w:tabs>
      <w:spacing w:after="100" w:line="276" w:lineRule="auto"/>
      <w:jc w:val="center"/>
    </w:pPr>
    <w:rPr>
      <w:b/>
      <w:kern w:val="0"/>
      <w:szCs w:val="20"/>
    </w:rPr>
  </w:style>
  <w:style w:type="paragraph" w:customStyle="1" w:styleId="69">
    <w:name w:val="样式 样式 正文样式10 + 首行缩进:  2 字符 + 首行缩进:  2 字符1"/>
    <w:basedOn w:val="1"/>
    <w:qFormat/>
    <w:uiPriority w:val="0"/>
    <w:pPr>
      <w:tabs>
        <w:tab w:val="left" w:pos="462"/>
      </w:tabs>
      <w:snapToGrid w:val="0"/>
      <w:spacing w:line="360" w:lineRule="auto"/>
      <w:ind w:firstLine="480" w:firstLineChars="200"/>
    </w:pPr>
    <w:rPr>
      <w:rFonts w:ascii="宋体" w:hAnsi="宋体" w:cs="宋体"/>
      <w:color w:val="000000"/>
      <w:sz w:val="24"/>
    </w:rPr>
  </w:style>
  <w:style w:type="paragraph" w:customStyle="1" w:styleId="70">
    <w:name w:val="万瑞正文"/>
    <w:basedOn w:val="71"/>
    <w:qFormat/>
    <w:uiPriority w:val="0"/>
    <w:pPr>
      <w:adjustRightInd w:val="0"/>
      <w:snapToGrid w:val="0"/>
      <w:spacing w:line="360" w:lineRule="auto"/>
      <w:ind w:firstLine="200" w:firstLineChars="200"/>
      <w:jc w:val="left"/>
    </w:pPr>
    <w:rPr>
      <w:sz w:val="24"/>
    </w:rPr>
  </w:style>
  <w:style w:type="paragraph" w:customStyle="1" w:styleId="71">
    <w:name w:val="君邦正文"/>
    <w:qFormat/>
    <w:uiPriority w:val="0"/>
    <w:pPr>
      <w:spacing w:after="60" w:line="360" w:lineRule="auto"/>
      <w:ind w:firstLine="48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B3BFE-33F9-4ABA-B652-FCF1A43DFCD9}">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36</Pages>
  <Words>18859</Words>
  <Characters>21647</Characters>
  <Lines>142</Lines>
  <Paragraphs>40</Paragraphs>
  <TotalTime>2</TotalTime>
  <ScaleCrop>false</ScaleCrop>
  <LinksUpToDate>false</LinksUpToDate>
  <CharactersWithSpaces>21830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2021-08-26T07:50:00Z</dcterms:created>
  <dc:creator>环环（微信号：eianet2016）</dc:creator>
  <cp:lastModifiedBy>Administrator</cp:lastModifiedBy>
  <cp:lastPrinted>2021-09-18T05:35:00Z</cp:lastPrinted>
  <dcterms:modified xsi:type="dcterms:W3CDTF">2023-04-24T02:31:06Z</dcterms:modified>
  <dc:title>建设项目环境影响报告表（污染影响类-填写指南）</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1D914A1ED19C49838FDD01C69F947DFD</vt:lpwstr>
  </property>
</Properties>
</file>