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3" w:name="_GoBack"/>
      <w:bookmarkEnd w:id="3"/>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outlineLvl w:val="0"/>
        <w:rPr>
          <w:rFonts w:ascii="方正小标宋_GBK" w:hAnsi="方正小标宋_GBK" w:eastAsia="方正小标宋_GBK" w:cs="方正小标宋_GBK"/>
          <w:bCs/>
          <w:sz w:val="72"/>
          <w:szCs w:val="72"/>
        </w:rPr>
      </w:pPr>
      <w:r>
        <w:rPr>
          <w:rFonts w:hint="eastAsia" w:ascii="方正小标宋_GBK" w:hAnsi="方正小标宋_GBK" w:eastAsia="方正小标宋_GBK" w:cs="方正小标宋_GBK"/>
          <w:bCs/>
          <w:sz w:val="72"/>
          <w:szCs w:val="72"/>
          <w:lang w:bidi="ar"/>
        </w:rPr>
        <w:t>建设项目环境影响报告表</w:t>
      </w:r>
    </w:p>
    <w:p>
      <w:pPr>
        <w:adjustRightInd w:val="0"/>
        <w:snapToGrid w:val="0"/>
        <w:spacing w:before="249" w:beforeLines="80"/>
        <w:jc w:val="center"/>
        <w:rPr>
          <w:rFonts w:ascii="楷体_GB2312" w:eastAsia="楷体_GB2312" w:cs="楷体_GB2312"/>
          <w:bCs/>
          <w:sz w:val="48"/>
          <w:szCs w:val="48"/>
        </w:rPr>
      </w:pPr>
      <w:r>
        <w:rPr>
          <w:rFonts w:hint="eastAsia" w:ascii="楷体_GB2312" w:eastAsia="楷体_GB2312" w:cs="楷体_GB2312"/>
          <w:bCs/>
          <w:sz w:val="48"/>
          <w:szCs w:val="48"/>
          <w:lang w:bidi="ar"/>
        </w:rPr>
        <w:t>（污染影响类）</w:t>
      </w:r>
    </w:p>
    <w:p>
      <w:pPr>
        <w:adjustRightInd w:val="0"/>
        <w:snapToGrid w:val="0"/>
        <w:spacing w:line="288" w:lineRule="auto"/>
        <w:jc w:val="center"/>
        <w:outlineLvl w:val="0"/>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adjustRightInd w:val="0"/>
        <w:snapToGrid w:val="0"/>
        <w:spacing w:line="360" w:lineRule="auto"/>
        <w:ind w:firstLine="1040"/>
        <w:rPr>
          <w:rFonts w:ascii="仿宋_GB2312" w:eastAsia="仿宋_GB2312" w:cs="仿宋_GB2312"/>
          <w:sz w:val="36"/>
          <w:szCs w:val="36"/>
          <w:u w:val="single"/>
          <w:lang w:bidi="ar"/>
        </w:rPr>
      </w:pPr>
      <w:r>
        <w:rPr>
          <w:rFonts w:hint="eastAsia" w:ascii="仿宋_GB2312" w:eastAsia="仿宋_GB2312" w:cs="仿宋_GB2312"/>
          <w:sz w:val="36"/>
          <w:szCs w:val="36"/>
          <w:lang w:bidi="ar"/>
        </w:rPr>
        <w:t>项目名称：</w:t>
      </w:r>
      <w:r>
        <w:rPr>
          <w:rFonts w:hint="eastAsia" w:ascii="仿宋_GB2312" w:eastAsia="仿宋_GB2312" w:cs="仿宋_GB2312"/>
          <w:sz w:val="36"/>
          <w:szCs w:val="36"/>
          <w:u w:val="single"/>
          <w:lang w:bidi="ar"/>
        </w:rPr>
        <w:t>白山市2019年度普通干线公路养护工</w:t>
      </w:r>
    </w:p>
    <w:p>
      <w:pPr>
        <w:adjustRightInd w:val="0"/>
        <w:snapToGrid w:val="0"/>
        <w:spacing w:line="360" w:lineRule="auto"/>
        <w:ind w:firstLine="2880" w:firstLineChars="800"/>
        <w:rPr>
          <w:rFonts w:ascii="仿宋_GB2312" w:eastAsia="仿宋_GB2312" w:cs="仿宋_GB2312"/>
          <w:sz w:val="36"/>
          <w:szCs w:val="36"/>
          <w:u w:val="single"/>
        </w:rPr>
      </w:pPr>
      <w:r>
        <w:rPr>
          <w:rFonts w:hint="eastAsia" w:ascii="仿宋_GB2312" w:eastAsia="仿宋_GB2312" w:cs="仿宋_GB2312"/>
          <w:sz w:val="36"/>
          <w:szCs w:val="36"/>
          <w:u w:val="single"/>
          <w:lang w:bidi="ar"/>
        </w:rPr>
        <w:t xml:space="preserve">程BSYH06标段项目                    </w:t>
      </w:r>
      <w:r>
        <w:rPr>
          <w:rFonts w:ascii="仿宋_GB2312" w:eastAsia="仿宋_GB2312" w:cs="仿宋_GB2312"/>
          <w:sz w:val="36"/>
          <w:szCs w:val="36"/>
          <w:u w:val="single"/>
          <w:lang w:bidi="ar"/>
        </w:rPr>
        <w:t xml:space="preserve">    </w:t>
      </w:r>
    </w:p>
    <w:p>
      <w:pPr>
        <w:adjustRightInd w:val="0"/>
        <w:snapToGrid w:val="0"/>
        <w:spacing w:line="360" w:lineRule="auto"/>
        <w:ind w:firstLine="1040"/>
        <w:rPr>
          <w:rFonts w:ascii="仿宋_GB2312" w:eastAsia="仿宋_GB2312" w:cs="仿宋_GB2312"/>
          <w:sz w:val="36"/>
          <w:szCs w:val="36"/>
          <w:u w:val="single"/>
        </w:rPr>
      </w:pPr>
      <w:r>
        <w:rPr>
          <w:rFonts w:hint="eastAsia" w:ascii="仿宋_GB2312" w:eastAsia="仿宋_GB2312" w:cs="仿宋_GB2312"/>
          <w:sz w:val="36"/>
          <w:szCs w:val="36"/>
          <w:lang w:bidi="ar"/>
        </w:rPr>
        <w:t>建设单位（盖章）：</w:t>
      </w:r>
      <w:r>
        <w:rPr>
          <w:rFonts w:hint="eastAsia" w:ascii="仿宋_GB2312" w:eastAsia="仿宋_GB2312" w:cs="仿宋_GB2312"/>
          <w:sz w:val="36"/>
          <w:szCs w:val="36"/>
          <w:u w:val="single"/>
          <w:lang w:bidi="ar"/>
        </w:rPr>
        <w:t xml:space="preserve"> 中远建设集团有限公司 </w:t>
      </w:r>
      <w:r>
        <w:rPr>
          <w:rFonts w:ascii="仿宋_GB2312" w:eastAsia="仿宋_GB2312" w:cs="仿宋_GB2312"/>
          <w:sz w:val="36"/>
          <w:szCs w:val="36"/>
          <w:u w:val="single"/>
          <w:lang w:bidi="ar"/>
        </w:rPr>
        <w:t xml:space="preserve">    </w:t>
      </w:r>
      <w:r>
        <w:rPr>
          <w:rFonts w:hint="eastAsia" w:ascii="仿宋_GB2312" w:eastAsia="仿宋_GB2312" w:cs="仿宋_GB2312"/>
          <w:sz w:val="36"/>
          <w:szCs w:val="36"/>
          <w:u w:val="single"/>
          <w:lang w:bidi="ar"/>
        </w:rPr>
        <w:t xml:space="preserve"> </w:t>
      </w:r>
    </w:p>
    <w:p>
      <w:pPr>
        <w:adjustRightInd w:val="0"/>
        <w:snapToGrid w:val="0"/>
        <w:spacing w:line="360" w:lineRule="auto"/>
        <w:ind w:firstLine="1040"/>
        <w:rPr>
          <w:rFonts w:ascii="仿宋_GB2312" w:eastAsia="仿宋_GB2312" w:cs="仿宋_GB2312"/>
          <w:sz w:val="36"/>
          <w:szCs w:val="36"/>
          <w:u w:val="single"/>
        </w:rPr>
      </w:pPr>
      <w:r>
        <w:rPr>
          <w:rFonts w:hint="eastAsia" w:ascii="仿宋_GB2312" w:eastAsia="仿宋_GB2312" w:cs="仿宋_GB2312"/>
          <w:sz w:val="36"/>
          <w:szCs w:val="36"/>
          <w:lang w:bidi="ar"/>
        </w:rPr>
        <w:t>编制日期：</w:t>
      </w:r>
      <w:r>
        <w:rPr>
          <w:rFonts w:hint="eastAsia" w:ascii="仿宋_GB2312" w:eastAsia="仿宋_GB2312" w:cs="仿宋_GB2312"/>
          <w:sz w:val="36"/>
          <w:szCs w:val="36"/>
          <w:u w:val="single"/>
          <w:lang w:bidi="ar"/>
        </w:rPr>
        <w:t xml:space="preserve">        2021年5月               </w:t>
      </w:r>
    </w:p>
    <w:p>
      <w:pPr>
        <w:adjustRightInd w:val="0"/>
        <w:snapToGrid w:val="0"/>
        <w:spacing w:line="288" w:lineRule="auto"/>
        <w:ind w:firstLine="1040"/>
        <w:rPr>
          <w:rFonts w:ascii="仿宋_GB2312" w:eastAsia="仿宋_GB2312" w:cs="仿宋_GB2312"/>
          <w:sz w:val="36"/>
          <w:szCs w:val="36"/>
          <w:u w:val="single"/>
        </w:rPr>
      </w:pPr>
      <w:bookmarkStart w:id="0" w:name="_Hlk57884087"/>
    </w:p>
    <w:p>
      <w:pPr>
        <w:adjustRightInd w:val="0"/>
        <w:snapToGrid w:val="0"/>
        <w:spacing w:line="288" w:lineRule="auto"/>
        <w:ind w:firstLine="1040"/>
        <w:rPr>
          <w:rFonts w:ascii="仿宋_GB2312" w:eastAsia="仿宋_GB2312" w:cs="仿宋_GB2312"/>
          <w:sz w:val="36"/>
          <w:szCs w:val="36"/>
        </w:rPr>
      </w:pPr>
    </w:p>
    <w:p>
      <w:pPr>
        <w:adjustRightInd w:val="0"/>
        <w:snapToGrid w:val="0"/>
        <w:spacing w:line="288" w:lineRule="auto"/>
        <w:ind w:firstLine="1040"/>
        <w:rPr>
          <w:rFonts w:ascii="仿宋_GB2312" w:eastAsia="仿宋_GB2312" w:cs="仿宋_GB2312"/>
          <w:sz w:val="36"/>
          <w:szCs w:val="36"/>
        </w:rPr>
      </w:pPr>
    </w:p>
    <w:bookmarkEnd w:id="0"/>
    <w:p>
      <w:pPr>
        <w:adjustRightInd w:val="0"/>
        <w:snapToGrid w:val="0"/>
        <w:spacing w:line="288" w:lineRule="auto"/>
        <w:jc w:val="center"/>
        <w:rPr>
          <w:rFonts w:ascii="楷体_GB2312" w:eastAsia="楷体_GB2312" w:cs="楷体_GB2312"/>
          <w:sz w:val="36"/>
          <w:szCs w:val="36"/>
        </w:rPr>
      </w:pPr>
      <w:r>
        <w:rPr>
          <w:rFonts w:hint="eastAsia" w:ascii="楷体_GB2312" w:eastAsia="楷体_GB2312" w:cs="楷体_GB2312"/>
          <w:sz w:val="36"/>
          <w:szCs w:val="36"/>
          <w:lang w:bidi="ar"/>
        </w:rPr>
        <w:t>中华人民共和国生态环境部制</w:t>
      </w:r>
    </w:p>
    <w:p>
      <w:pPr>
        <w:spacing w:line="288" w:lineRule="auto"/>
        <w:rPr>
          <w:rFonts w:ascii="仿宋_GB2312" w:eastAsia="仿宋_GB2312"/>
          <w:sz w:val="36"/>
          <w:szCs w:val="36"/>
          <w:lang w:bidi="ar"/>
        </w:rPr>
        <w:sectPr>
          <w:pgSz w:w="11906" w:h="16838"/>
          <w:pgMar w:top="1702" w:right="1531" w:bottom="1702" w:left="1531" w:header="851" w:footer="1077" w:gutter="0"/>
          <w:pgNumType w:start="3"/>
          <w:cols w:space="425" w:num="1"/>
          <w:docGrid w:type="lines" w:linePitch="312" w:charSpace="0"/>
        </w:sectPr>
      </w:pPr>
    </w:p>
    <w:p>
      <w:pPr>
        <w:pStyle w:val="8"/>
        <w:jc w:val="center"/>
        <w:outlineLvl w:val="0"/>
        <w:rPr>
          <w:rFonts w:hint="default" w:ascii="黑体" w:eastAsia="黑体" w:cs="黑体"/>
          <w:sz w:val="30"/>
          <w:szCs w:val="30"/>
        </w:rPr>
      </w:pPr>
      <w:r>
        <w:rPr>
          <w:rFonts w:ascii="黑体" w:eastAsia="黑体" w:cs="黑体"/>
          <w:snapToGrid w:val="0"/>
          <w:sz w:val="30"/>
          <w:szCs w:val="30"/>
        </w:rPr>
        <w:t>一、建设项目基本情况</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56"/>
        <w:gridCol w:w="2163"/>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8"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建设项目名称</w:t>
            </w:r>
          </w:p>
        </w:tc>
        <w:tc>
          <w:tcPr>
            <w:tcW w:w="7014" w:type="dxa"/>
            <w:gridSpan w:val="3"/>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白山市2019年度普通干线公路养护工程BSYH06标段项目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项目代码</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建设单位联系人</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李岩</w:t>
            </w:r>
          </w:p>
        </w:tc>
        <w:tc>
          <w:tcPr>
            <w:tcW w:w="2212"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联系方式</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18943959777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建设地点</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白山市石人镇小河口村五队冰湖沟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地理坐标</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vAlign w:val="center"/>
          </w:tcPr>
          <w:p>
            <w:pPr>
              <w:jc w:val="center"/>
              <w:rPr>
                <w:color w:val="0000FF"/>
              </w:rPr>
            </w:pPr>
            <w:r>
              <w:t>（</w:t>
            </w:r>
            <w:r>
              <w:rPr>
                <w:u w:val="single"/>
              </w:rPr>
              <w:t xml:space="preserve"> 126 </w:t>
            </w:r>
            <w:r>
              <w:t>度</w:t>
            </w:r>
            <w:r>
              <w:rPr>
                <w:u w:val="single"/>
              </w:rPr>
              <w:t xml:space="preserve">  32  </w:t>
            </w:r>
            <w:r>
              <w:t>分</w:t>
            </w:r>
            <w:r>
              <w:rPr>
                <w:u w:val="single"/>
              </w:rPr>
              <w:t xml:space="preserve"> 19.516 </w:t>
            </w:r>
            <w:r>
              <w:t>秒，</w:t>
            </w:r>
            <w:r>
              <w:rPr>
                <w:u w:val="single"/>
              </w:rPr>
              <w:t xml:space="preserve"> 41 </w:t>
            </w:r>
            <w:r>
              <w:t>度</w:t>
            </w:r>
            <w:r>
              <w:rPr>
                <w:u w:val="single"/>
              </w:rPr>
              <w:t xml:space="preserve"> 57 </w:t>
            </w:r>
            <w:r>
              <w:t>分</w:t>
            </w:r>
            <w:r>
              <w:rPr>
                <w:u w:val="single"/>
              </w:rPr>
              <w:t xml:space="preserve"> 28.972 </w:t>
            </w:r>
            <w: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国民经济</w:t>
            </w:r>
          </w:p>
          <w:p>
            <w:pPr>
              <w:adjustRightInd w:val="0"/>
              <w:snapToGrid w:val="0"/>
              <w:jc w:val="center"/>
            </w:pPr>
            <w:r>
              <w:rPr>
                <w:lang w:bidi="ar"/>
              </w:rPr>
              <w:t>行业类别</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C3099其他非金属矿物制品制造</w:t>
            </w:r>
          </w:p>
        </w:tc>
        <w:tc>
          <w:tcPr>
            <w:tcW w:w="2212"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bookmarkStart w:id="1" w:name="_Hlk49843745"/>
            <w:r>
              <w:rPr>
                <w:lang w:bidi="ar"/>
              </w:rPr>
              <w:t>建设项目</w:t>
            </w:r>
          </w:p>
          <w:p>
            <w:pPr>
              <w:adjustRightInd w:val="0"/>
              <w:snapToGrid w:val="0"/>
              <w:jc w:val="center"/>
            </w:pPr>
            <w:r>
              <w:rPr>
                <w:lang w:bidi="ar"/>
              </w:rPr>
              <w:t>行业类别</w:t>
            </w:r>
            <w:bookmarkEnd w:id="1"/>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pPr>
            <w:r>
              <w:t xml:space="preserve"> 二十七、非金属矿物制品业</w:t>
            </w:r>
          </w:p>
          <w:p>
            <w:pPr>
              <w:adjustRightInd w:val="0"/>
              <w:snapToGrid w:val="0"/>
            </w:pPr>
            <w:r>
              <w:t>309 石墨及其他非金属矿物制品制造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建设性质</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jc w:val="left"/>
            </w:pPr>
            <w:r>
              <w:rPr>
                <w:lang w:bidi="ar"/>
              </w:rPr>
              <w:sym w:font="Wingdings 2" w:char="0052"/>
            </w:r>
            <w:r>
              <w:rPr>
                <w:lang w:bidi="ar"/>
              </w:rPr>
              <w:t>新建（补做）</w:t>
            </w:r>
          </w:p>
          <w:p>
            <w:pPr>
              <w:jc w:val="left"/>
            </w:pPr>
            <w:r>
              <w:rPr>
                <w:lang w:bidi="ar"/>
              </w:rPr>
              <w:t>□改建</w:t>
            </w:r>
          </w:p>
          <w:p>
            <w:pPr>
              <w:jc w:val="left"/>
            </w:pPr>
            <w:r>
              <w:rPr>
                <w:lang w:bidi="ar"/>
              </w:rPr>
              <w:t>□扩建</w:t>
            </w:r>
          </w:p>
          <w:p>
            <w:pPr>
              <w:jc w:val="left"/>
            </w:pPr>
            <w:r>
              <w:rPr>
                <w:lang w:bidi="ar"/>
              </w:rPr>
              <w:t>□技术改造</w:t>
            </w:r>
          </w:p>
        </w:tc>
        <w:tc>
          <w:tcPr>
            <w:tcW w:w="2212"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建设项目</w:t>
            </w:r>
          </w:p>
          <w:p>
            <w:pPr>
              <w:adjustRightInd w:val="0"/>
              <w:snapToGrid w:val="0"/>
              <w:jc w:val="center"/>
            </w:pPr>
            <w:r>
              <w:rPr>
                <w:lang w:bidi="ar"/>
              </w:rPr>
              <w:t>申报情形</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jc w:val="left"/>
            </w:pPr>
            <w:r>
              <w:rPr>
                <w:rFonts w:eastAsia="Wingdings 2"/>
                <w:lang w:bidi="ar"/>
              </w:rPr>
              <w:sym w:font="Wingdings 2" w:char="0052"/>
            </w:r>
            <w:r>
              <w:rPr>
                <w:lang w:bidi="ar"/>
              </w:rPr>
              <w:t xml:space="preserve">首次申报项目             </w:t>
            </w:r>
          </w:p>
          <w:p>
            <w:pPr>
              <w:jc w:val="left"/>
            </w:pPr>
            <w:r>
              <w:rPr>
                <w:lang w:bidi="ar"/>
              </w:rPr>
              <w:t>□不予批准后再次申报项目</w:t>
            </w:r>
          </w:p>
          <w:p>
            <w:pPr>
              <w:jc w:val="left"/>
            </w:pPr>
            <w:r>
              <w:rPr>
                <w:rFonts w:eastAsia="Wingdings 2"/>
                <w:lang w:bidi="ar"/>
              </w:rPr>
              <w:sym w:font="Wingdings 2" w:char="00A3"/>
            </w:r>
            <w:r>
              <w:rPr>
                <w:lang w:bidi="ar"/>
              </w:rPr>
              <w:t xml:space="preserve">超五年重新审核项目     </w:t>
            </w:r>
          </w:p>
          <w:p>
            <w:pPr>
              <w:jc w:val="left"/>
            </w:pPr>
            <w:r>
              <w:rPr>
                <w:lang w:bidi="ar"/>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项目审批（核准/</w:t>
            </w:r>
          </w:p>
          <w:p>
            <w:pPr>
              <w:adjustRightInd w:val="0"/>
              <w:snapToGrid w:val="0"/>
              <w:jc w:val="center"/>
            </w:pPr>
            <w:r>
              <w:rPr>
                <w:lang w:bidi="ar"/>
              </w:rPr>
              <w:t>备案）部门（选填）</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rFonts w:hint="eastAsia"/>
              </w:rPr>
              <w:t>无</w:t>
            </w:r>
          </w:p>
        </w:tc>
        <w:tc>
          <w:tcPr>
            <w:tcW w:w="2212"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项目审批（核准/</w:t>
            </w:r>
          </w:p>
          <w:p>
            <w:pPr>
              <w:adjustRightInd w:val="0"/>
              <w:snapToGrid w:val="0"/>
              <w:jc w:val="center"/>
            </w:pPr>
            <w:r>
              <w:rPr>
                <w:lang w:bidi="ar"/>
              </w:rPr>
              <w:t>备案）文号（选填）</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总投资（万元）</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rFonts w:hint="eastAsia"/>
              </w:rPr>
              <w:t>3</w:t>
            </w:r>
            <w:r>
              <w:t>00</w:t>
            </w:r>
          </w:p>
        </w:tc>
        <w:tc>
          <w:tcPr>
            <w:tcW w:w="2212"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环保投资（万元）</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rPr>
                <w:rFonts w:hint="eastAsia"/>
              </w:rPr>
              <w:t>1</w:t>
            </w:r>
            <w: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环保投资占比（%）</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rFonts w:hint="eastAsia"/>
              </w:rPr>
              <w:t>5</w:t>
            </w:r>
          </w:p>
        </w:tc>
        <w:tc>
          <w:tcPr>
            <w:tcW w:w="2212"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施工工期</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pPr>
            <w:r>
              <w:rPr>
                <w:lang w:bidi="ar"/>
              </w:rPr>
              <w:t>是否开工建设</w:t>
            </w:r>
          </w:p>
        </w:tc>
        <w:tc>
          <w:tcPr>
            <w:tcW w:w="216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pPr>
            <w:r>
              <w:rPr>
                <w:rFonts w:eastAsia="Wingdings 2"/>
                <w:lang w:bidi="ar"/>
              </w:rPr>
              <w:sym w:font="Wingdings 2" w:char="00A3"/>
            </w:r>
            <w:r>
              <w:rPr>
                <w:lang w:bidi="ar"/>
              </w:rPr>
              <w:t>否</w:t>
            </w:r>
          </w:p>
          <w:p>
            <w:pPr>
              <w:adjustRightInd w:val="0"/>
              <w:snapToGrid w:val="0"/>
            </w:pPr>
            <w:r>
              <w:rPr>
                <w:rFonts w:eastAsia="Wingdings 2"/>
                <w:lang w:bidi="ar"/>
              </w:rPr>
              <w:sym w:font="Wingdings 2" w:char="0052"/>
            </w:r>
            <w:r>
              <w:rPr>
                <w:lang w:bidi="ar"/>
              </w:rPr>
              <w:t>是：</w:t>
            </w:r>
            <w:r>
              <w:rPr>
                <w:u w:val="single"/>
                <w:lang w:bidi="ar"/>
              </w:rPr>
              <w:t>厂区内已建设办公室、沥青储罐3个（40t/个）、半封闭沥青混凝土搅拌站一座、防渗旱厕；根据中华人民共和国环境保护部政函[2018]31号文件，对本项目未批先建不予行政处罚，具体见附件。</w:t>
            </w:r>
          </w:p>
        </w:tc>
        <w:tc>
          <w:tcPr>
            <w:tcW w:w="2212"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pPr>
              <w:adjustRightInd w:val="0"/>
              <w:snapToGrid w:val="0"/>
              <w:jc w:val="center"/>
              <w:rPr>
                <w:spacing w:val="-6"/>
              </w:rPr>
            </w:pPr>
            <w:r>
              <w:rPr>
                <w:spacing w:val="-6"/>
                <w:lang w:bidi="ar"/>
              </w:rPr>
              <w:t>用地（用海）</w:t>
            </w:r>
          </w:p>
          <w:p>
            <w:pPr>
              <w:adjustRightInd w:val="0"/>
              <w:snapToGrid w:val="0"/>
              <w:jc w:val="center"/>
            </w:pPr>
            <w:r>
              <w:rPr>
                <w:spacing w:val="-6"/>
                <w:lang w:bidi="ar"/>
              </w:rPr>
              <w:t>面积（m</w:t>
            </w:r>
            <w:r>
              <w:rPr>
                <w:spacing w:val="-6"/>
                <w:vertAlign w:val="superscript"/>
                <w:lang w:bidi="ar"/>
              </w:rPr>
              <w:t>2</w:t>
            </w:r>
            <w:r>
              <w:rPr>
                <w:spacing w:val="-6"/>
                <w:lang w:bidi="ar"/>
              </w:rPr>
              <w:t>）</w:t>
            </w:r>
          </w:p>
        </w:tc>
        <w:tc>
          <w:tcPr>
            <w:tcW w:w="2639"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14000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lang w:bidi="ar"/>
              </w:rPr>
              <w:t>专项评价设置情况</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pPr>
              <w:autoSpaceDE w:val="0"/>
              <w:autoSpaceDN w:val="0"/>
              <w:adjustRightInd w:val="0"/>
              <w:snapToGrid w:val="0"/>
              <w:jc w:val="center"/>
              <w:rPr>
                <w:kern w:val="0"/>
              </w:rPr>
            </w:pPr>
            <w:r>
              <w:rPr>
                <w:kern w:val="0"/>
              </w:rPr>
              <w:t>大气（项目排放废气中含苯并[a]芘，且厂界外 500 米范围内有居民居住区）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lang w:bidi="ar"/>
              </w:rPr>
              <w:t>规划情况</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pPr>
              <w:adjustRightInd w:val="0"/>
              <w:snapToGrid w:val="0"/>
              <w:jc w:val="center"/>
              <w:rPr>
                <w:rFonts w:ascii="宋体" w:hAnsi="宋体" w:cs="宋体"/>
              </w:rPr>
            </w:pPr>
            <w:r>
              <w:rPr>
                <w:rFonts w:hint="eastAsia" w:ascii="宋体" w:hAnsi="宋体" w:cs="宋体"/>
                <w:lang w:bidi="ar"/>
              </w:rPr>
              <w:t>规划环境影响</w:t>
            </w:r>
          </w:p>
          <w:p>
            <w:pPr>
              <w:adjustRightInd w:val="0"/>
              <w:snapToGrid w:val="0"/>
              <w:jc w:val="center"/>
              <w:rPr>
                <w:rFonts w:ascii="宋体" w:hAnsi="宋体" w:cs="宋体"/>
                <w:kern w:val="0"/>
              </w:rPr>
            </w:pPr>
            <w:r>
              <w:rPr>
                <w:rFonts w:hint="eastAsia" w:ascii="宋体" w:hAnsi="宋体" w:cs="宋体"/>
                <w:lang w:bidi="ar"/>
              </w:rPr>
              <w:t>评价情况</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856"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lang w:bidi="ar"/>
              </w:rPr>
              <w:t>规划及规划环境</w:t>
            </w:r>
          </w:p>
          <w:p>
            <w:pPr>
              <w:autoSpaceDE w:val="0"/>
              <w:autoSpaceDN w:val="0"/>
              <w:adjustRightInd w:val="0"/>
              <w:snapToGrid w:val="0"/>
              <w:jc w:val="center"/>
              <w:rPr>
                <w:rFonts w:ascii="宋体" w:hAnsi="宋体" w:cs="宋体"/>
                <w:kern w:val="0"/>
              </w:rPr>
            </w:pPr>
            <w:r>
              <w:rPr>
                <w:rFonts w:hint="eastAsia" w:ascii="宋体" w:hAnsi="宋体" w:cs="宋体"/>
                <w:kern w:val="0"/>
                <w:lang w:bidi="ar"/>
              </w:rPr>
              <w:t>影响评价符合性分析</w:t>
            </w:r>
          </w:p>
        </w:tc>
        <w:tc>
          <w:tcPr>
            <w:tcW w:w="7014" w:type="dxa"/>
            <w:gridSpan w:val="3"/>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856" w:type="dxa"/>
            <w:tcBorders>
              <w:top w:val="single" w:color="auto" w:sz="4" w:space="0"/>
              <w:left w:val="single" w:color="auto" w:sz="8" w:space="0"/>
              <w:bottom w:val="single" w:color="auto" w:sz="8" w:space="0"/>
              <w:right w:val="single" w:color="auto" w:sz="4" w:space="0"/>
            </w:tcBorders>
            <w:shd w:val="clear" w:color="auto" w:fill="auto"/>
            <w:tcMar>
              <w:left w:w="108" w:type="dxa"/>
              <w:right w:w="108" w:type="dxa"/>
            </w:tcMar>
            <w:vAlign w:val="center"/>
          </w:tcPr>
          <w:p>
            <w:pPr>
              <w:autoSpaceDE w:val="0"/>
              <w:autoSpaceDN w:val="0"/>
              <w:adjustRightInd w:val="0"/>
              <w:snapToGrid w:val="0"/>
              <w:jc w:val="center"/>
              <w:rPr>
                <w:rFonts w:ascii="宋体" w:hAnsi="宋体" w:cs="宋体"/>
                <w:kern w:val="0"/>
              </w:rPr>
            </w:pPr>
            <w:r>
              <w:rPr>
                <w:rFonts w:hint="eastAsia" w:ascii="宋体" w:hAnsi="宋体" w:cs="宋体"/>
                <w:kern w:val="0"/>
                <w:lang w:bidi="ar"/>
              </w:rPr>
              <w:t>其他符合性分析</w:t>
            </w:r>
          </w:p>
        </w:tc>
        <w:tc>
          <w:tcPr>
            <w:tcW w:w="7014" w:type="dxa"/>
            <w:gridSpan w:val="3"/>
            <w:tcBorders>
              <w:top w:val="single" w:color="auto" w:sz="4" w:space="0"/>
              <w:left w:val="single" w:color="auto" w:sz="4" w:space="0"/>
              <w:bottom w:val="single" w:color="auto" w:sz="8" w:space="0"/>
              <w:right w:val="single" w:color="auto" w:sz="8" w:space="0"/>
            </w:tcBorders>
            <w:shd w:val="clear" w:color="auto" w:fill="auto"/>
            <w:tcMar>
              <w:left w:w="108" w:type="dxa"/>
              <w:right w:w="108" w:type="dxa"/>
            </w:tcMar>
            <w:vAlign w:val="center"/>
          </w:tcPr>
          <w:p>
            <w:pPr>
              <w:numPr>
                <w:ilvl w:val="0"/>
                <w:numId w:val="1"/>
              </w:numPr>
              <w:autoSpaceDE w:val="0"/>
              <w:autoSpaceDN w:val="0"/>
              <w:adjustRightInd w:val="0"/>
              <w:snapToGrid w:val="0"/>
              <w:spacing w:line="360" w:lineRule="auto"/>
              <w:ind w:firstLine="420" w:firstLineChars="200"/>
              <w:rPr>
                <w:kern w:val="0"/>
              </w:rPr>
            </w:pPr>
            <w:r>
              <w:rPr>
                <w:kern w:val="0"/>
              </w:rPr>
              <w:t>产业政策符合性分析</w:t>
            </w:r>
          </w:p>
          <w:p>
            <w:pPr>
              <w:autoSpaceDE w:val="0"/>
              <w:autoSpaceDN w:val="0"/>
              <w:adjustRightInd w:val="0"/>
              <w:snapToGrid w:val="0"/>
              <w:spacing w:line="360" w:lineRule="auto"/>
              <w:ind w:firstLine="420" w:firstLineChars="200"/>
              <w:rPr>
                <w:kern w:val="0"/>
              </w:rPr>
            </w:pPr>
            <w:r>
              <w:rPr>
                <w:kern w:val="0"/>
              </w:rPr>
              <w:t>根据《产业结构调整指导目录（2019年本）》中有关规定，本项目不属于其中限制类和淘汰类，为允许类项目，因此本项目的建设符合国家当前的各相关产业政策。</w:t>
            </w:r>
          </w:p>
          <w:p>
            <w:pPr>
              <w:autoSpaceDE w:val="0"/>
              <w:autoSpaceDN w:val="0"/>
              <w:adjustRightInd w:val="0"/>
              <w:snapToGrid w:val="0"/>
              <w:spacing w:line="360" w:lineRule="auto"/>
              <w:ind w:firstLine="420" w:firstLineChars="200"/>
              <w:rPr>
                <w:kern w:val="0"/>
              </w:rPr>
            </w:pPr>
            <w:r>
              <w:rPr>
                <w:kern w:val="0"/>
              </w:rPr>
              <w:t>2、“三线一单”符合性分析</w:t>
            </w:r>
          </w:p>
          <w:p>
            <w:pPr>
              <w:pStyle w:val="13"/>
              <w:spacing w:line="360" w:lineRule="auto"/>
              <w:ind w:firstLine="420" w:firstLineChars="200"/>
            </w:pPr>
            <w:r>
              <w:t>（1）生态保护红线</w:t>
            </w:r>
          </w:p>
          <w:p>
            <w:pPr>
              <w:pStyle w:val="13"/>
              <w:spacing w:line="360" w:lineRule="auto"/>
              <w:ind w:firstLine="420" w:firstLineChars="200"/>
            </w:pPr>
            <w:r>
              <w:t>由于区域生态保护红线划定技术方案尚未批复，故本次评价根据现有生态保护划定目标的位置，来确定项目与其位置关系。项目所在位置位于</w:t>
            </w:r>
            <w:r>
              <w:rPr>
                <w:rFonts w:hint="eastAsia"/>
              </w:rPr>
              <w:t>白山市石人镇小河口村</w:t>
            </w:r>
            <w:r>
              <w:t>，不在生态保护红线范围内，符合生态保护红线要求。</w:t>
            </w:r>
          </w:p>
          <w:p>
            <w:pPr>
              <w:pStyle w:val="13"/>
              <w:spacing w:line="360" w:lineRule="auto"/>
              <w:ind w:firstLine="420" w:firstLineChars="200"/>
            </w:pPr>
            <w:r>
              <w:t>（2）环境质量底线</w:t>
            </w:r>
          </w:p>
          <w:p>
            <w:pPr>
              <w:pStyle w:val="13"/>
              <w:spacing w:line="360" w:lineRule="auto"/>
              <w:ind w:firstLine="420" w:firstLineChars="200"/>
            </w:pPr>
            <w:r>
              <w:t>根据环境空气质量模型技术支持服务系统中公开发布的环境质量公告数</w:t>
            </w:r>
            <w:r>
              <w:rPr>
                <w:color w:val="auto"/>
              </w:rPr>
              <w:t>据，白山市</w:t>
            </w:r>
            <w:r>
              <w:rPr>
                <w:rFonts w:hint="eastAsia"/>
                <w:color w:val="auto"/>
                <w:lang w:val="en-US" w:eastAsia="zh-CN"/>
              </w:rPr>
              <w:t>2020</w:t>
            </w:r>
            <w:r>
              <w:rPr>
                <w:color w:val="auto"/>
              </w:rPr>
              <w:t xml:space="preserve"> 年属于环境空气质量达标区，项目所在区</w:t>
            </w:r>
            <w:r>
              <w:t>域TSP、苯并[a]芘均满足《环境空气质量标准》（GB3095-2012）中的二级标准限值，区域环境空气属于《环境空气质量标准》（GB3095-2012）中二类功能区。</w:t>
            </w:r>
            <w:r>
              <w:rPr>
                <w:rFonts w:hint="eastAsia"/>
              </w:rPr>
              <w:t>项目所在区域地表水体为石人河，位于项目厂界东南侧</w:t>
            </w:r>
            <w:r>
              <w:t>375m</w:t>
            </w:r>
            <w:r>
              <w:rPr>
                <w:rFonts w:hint="eastAsia"/>
              </w:rPr>
              <w:t>处，由东向西汇入红土崖河，最终汇入浑江。根据《吉林省地表水功能区》（DB22/388—2004）要求，红土崖河评价区段红土崖镇断面-河口属于红土崖河白山市饮用水源区，为II、III类水质功能区，其中饮用水源一级保护区水质目标为II类、其余水域水质为III类。本项目所在位置不在饮用水源一级保护区内，故本项目地表水断面执行《地表水环境质量标准》（GB3838-2002）中III类标准。</w:t>
            </w:r>
            <w:r>
              <w:t>根据吉林省2021年4月江河国控（考核）断面水质状况显示，浑江距项目所在地较近的断面为江源（浑）断面，水质指标均满足《地表水环境质量标准》（GB3838-2002）中的Ш类标准。区域声环境属于《声环境质量标准》（GB3096-2008）中1类功能区，声环境较好。区域建设用地土壤各项指标满足 《 土 壤 环 境 质 量 建 设 用 地 土 壤 污 染 风 险 管 控 标 准 （ 试 行 ）》 （GB36600-2018）第二类用地的筛选值要求。</w:t>
            </w:r>
          </w:p>
          <w:p>
            <w:pPr>
              <w:pStyle w:val="13"/>
              <w:spacing w:line="360" w:lineRule="auto"/>
              <w:ind w:firstLine="420" w:firstLineChars="200"/>
            </w:pPr>
            <w:r>
              <w:t>项目区域环境质量现状较好，本项目产生废气均采取相应治理措施后可达标排放；生活污水排入防渗旱厕，定期清掏；所产生的固体废物全部妥善处理，不直接排入外环境；项目三废均能进行有效处理，不会明显降低区域环境质量现状，项目建设不会对当地环境质量底线造成冲击。</w:t>
            </w:r>
          </w:p>
          <w:p>
            <w:pPr>
              <w:pStyle w:val="13"/>
              <w:spacing w:line="360" w:lineRule="auto"/>
              <w:ind w:firstLine="420" w:firstLineChars="200"/>
            </w:pPr>
            <w:r>
              <w:t>（3）资源利用上线</w:t>
            </w:r>
          </w:p>
          <w:p>
            <w:pPr>
              <w:pStyle w:val="13"/>
              <w:spacing w:line="360" w:lineRule="auto"/>
              <w:ind w:firstLine="420" w:firstLineChars="200"/>
            </w:pPr>
            <w:r>
              <w:t>项目不属于高能耗、高污染、资源型企业，建成运行后通过设备选择、原辅材料的选用和管理、废物回收利用、污染治理等多方面采取合理可行的防治措施，以“节能、降耗、减污”为目标，有效的控制污染。项目生活用水来自</w:t>
            </w:r>
            <w:r>
              <w:rPr>
                <w:rFonts w:hint="eastAsia"/>
              </w:rPr>
              <w:t>山泉水</w:t>
            </w:r>
            <w:r>
              <w:t>，由地方电网进行供电，可满足项目需求，项目水、电等资源利用不会突破区域的资源利用上线。</w:t>
            </w:r>
          </w:p>
          <w:p>
            <w:pPr>
              <w:pStyle w:val="13"/>
              <w:spacing w:line="360" w:lineRule="auto"/>
              <w:ind w:firstLine="420" w:firstLineChars="200"/>
            </w:pPr>
            <w:r>
              <w:t>（4）生态环境准入清单</w:t>
            </w:r>
          </w:p>
          <w:p>
            <w:pPr>
              <w:pStyle w:val="13"/>
              <w:spacing w:line="360" w:lineRule="auto"/>
              <w:ind w:firstLine="420" w:firstLineChars="200"/>
            </w:pPr>
            <w:r>
              <w:t>根据环办环评[2016]14号《关于规划环境影响评价加强空间管制、总量管控和环境准入的指导意见(试行)》（2016.2.24）中要求：“选取单位面积（单位产值）的水耗、能耗及污染物排放量、环境风险等一项目或多项目指标，作为制定规划区域行业环境准入负面清单的否定性指标，并确定限值”。结合本项目所在位置生态保护红线、环境质量底线和资源利用上线的设定情况可知，本项目符合准入清单相关要求。</w:t>
            </w:r>
          </w:p>
          <w:p>
            <w:pPr>
              <w:pStyle w:val="13"/>
              <w:spacing w:line="360" w:lineRule="auto"/>
              <w:ind w:firstLine="0"/>
              <w:jc w:val="center"/>
            </w:pPr>
            <w:r>
              <w:t>表1-1全省总体准入要求</w:t>
            </w:r>
          </w:p>
          <w:tbl>
            <w:tblPr>
              <w:tblStyle w:val="10"/>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63"/>
              <w:gridCol w:w="5783"/>
              <w:gridCol w:w="45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tcBorders>
                    <w:top w:val="single" w:color="auto" w:sz="1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管控领域</w:t>
                  </w:r>
                </w:p>
              </w:tc>
              <w:tc>
                <w:tcPr>
                  <w:tcW w:w="4253" w:type="pct"/>
                  <w:tcBorders>
                    <w:top w:val="single" w:color="auto" w:sz="12" w:space="0"/>
                    <w:left w:val="single" w:color="auto" w:sz="2" w:space="0"/>
                    <w:bottom w:val="single" w:color="auto" w:sz="2" w:space="0"/>
                    <w:right w:val="single" w:color="auto" w:sz="2" w:space="0"/>
                  </w:tcBorders>
                  <w:vAlign w:val="center"/>
                </w:tcPr>
                <w:p>
                  <w:pPr>
                    <w:adjustRightInd w:val="0"/>
                    <w:snapToGrid w:val="0"/>
                    <w:spacing w:line="288" w:lineRule="auto"/>
                    <w:jc w:val="center"/>
                    <w:rPr>
                      <w:sz w:val="18"/>
                      <w:szCs w:val="18"/>
                    </w:rPr>
                  </w:pPr>
                  <w:r>
                    <w:rPr>
                      <w:sz w:val="18"/>
                      <w:szCs w:val="18"/>
                    </w:rPr>
                    <w:t>环境准入及管控要求</w:t>
                  </w:r>
                </w:p>
              </w:tc>
              <w:tc>
                <w:tcPr>
                  <w:tcW w:w="332" w:type="pct"/>
                  <w:tcBorders>
                    <w:top w:val="single" w:color="auto" w:sz="1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restar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空间布局约束</w:t>
                  </w: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禁止新建、扩建《产业结构调整指导目录》（现行）明确的淘汰类项目和引入《市场准入负面清单》（现行）禁止准入类事项。引入项目应符合园区规划、规划环境影响评价和区域产业准入负面清单要求。</w:t>
                  </w:r>
                </w:p>
                <w:p>
                  <w:pPr>
                    <w:adjustRightInd w:val="0"/>
                    <w:snapToGrid w:val="0"/>
                    <w:spacing w:line="288" w:lineRule="auto"/>
                    <w:ind w:firstLine="360" w:firstLineChars="200"/>
                    <w:rPr>
                      <w:sz w:val="18"/>
                      <w:szCs w:val="18"/>
                    </w:rPr>
                  </w:pPr>
                  <w:r>
                    <w:rPr>
                      <w:sz w:val="18"/>
                      <w:szCs w:val="18"/>
                    </w:rPr>
                    <w:t>列入《产业结构调整指导目录》淘汰类的现状企业，应制定调整计划。生态环境治理措施不符合现行生态环境保护要求、资源能源消耗高、涉及大量排放区域超标污染物或持续发生生态环境投诉的现有企业，应制定整治计划。在调整、整治过渡期内，应严格控制相关企业生产规模，禁止新增产生环境污染的产能和产品。</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强化产业政策在产业转移过程中的引导和约束作用，严格控制在生态脆弱或环境敏感地区建设“两高”行业项目。严格高能耗、高物耗、高水耗和产能过剩、低水平重复建设项目，以及涉及危险化学品、重金属和其他具有重大环境风险建设项目的环评审批和备案。老工业城市和资源型城市在防止污染转移的基础上，应积极承接有利于延伸产业链、提高技术水平、促进资源综合利用、充分吸纳就业的产业，因地制宜发展优势特色产业。</w:t>
                  </w:r>
                </w:p>
                <w:p>
                  <w:pPr>
                    <w:adjustRightInd w:val="0"/>
                    <w:snapToGrid w:val="0"/>
                    <w:spacing w:line="288" w:lineRule="auto"/>
                    <w:ind w:firstLine="360" w:firstLineChars="200"/>
                    <w:rPr>
                      <w:sz w:val="18"/>
                      <w:szCs w:val="18"/>
                    </w:rPr>
                  </w:pPr>
                  <w:r>
                    <w:rPr>
                      <w:sz w:val="18"/>
                      <w:szCs w:val="18"/>
                    </w:rPr>
                    <w:t>严格控制钢铁、焦化、电解铝、水泥和平板玻璃等行业新增产能，列入去产能的钢铁企业退出时须一并退出配套的烧结、球团、焦炉、高炉等设备。严控尿素、磷铵、电石、烧碱、聚氯乙烯、纯碱、黄磷等过剩行业新增产能，符合政策要求的先进工艺改造提升项目应实行等量或减量置换。</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重大项目原则上布局在优化开发区和重点开发区，并符合城乡规划和土地利用总体规划。</w:t>
                  </w:r>
                </w:p>
                <w:p>
                  <w:pPr>
                    <w:adjustRightInd w:val="0"/>
                    <w:snapToGrid w:val="0"/>
                    <w:spacing w:line="288" w:lineRule="auto"/>
                    <w:ind w:firstLine="360" w:firstLineChars="200"/>
                    <w:rPr>
                      <w:sz w:val="18"/>
                      <w:szCs w:val="18"/>
                    </w:rPr>
                  </w:pPr>
                  <w:r>
                    <w:rPr>
                      <w:sz w:val="18"/>
                      <w:szCs w:val="18"/>
                    </w:rPr>
                    <w:t>化工石化、有色冶炼、制浆造纸等可能引发环境风险的项目，以及涉及石化、化工、工业涂装等重点行业高VOCs排放的建设项目，在符合国家产业政策和清洁生产水平要求、满足污染物排放标准以及污染物排放总量控制指标的前提下，应当在依法设立、基础设施齐全并具备有效规划、规划环境影响评价的产业园区内布设。</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rFonts w:hint="eastAsia"/>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进一步优化全省化工产业布局，提高化工行业本质安全和绿色发展水平，引领化工园区从规范化发展到高质量发展，促进化工产业转型升级。</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4" w:type="pct"/>
                  <w:vMerge w:val="restar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污染物排放管控</w:t>
                  </w: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落实主要污染物总量控制和排污许可制度。新建、改建、扩建重点行业建设项目实行主要污染物排放减量置换。严格涉VOCs建设项目环境影响评价，逐步推进区域内VOCs排放等量或倍量削减替代。</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空气质量未达标地区新建项目涉及二氧化硫、氮氧化物、颗粒物、挥发性有机物（VOCs）全面执行大气污染物特别排放限值。</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推行秸秆全量化处置，持续推进秸秆肥料化、饲料化、能源化、基料化和原料化，逐步形成秸秆综合利用的长效机制。</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推动城镇污水处理厂扩容工程和提标改造。超负荷、满负荷运行的污水处理厂要及时实施扩容，出水排入超标水域的污水处理厂要因地制宜提高出水标准。</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新建、改建、扩建规模化畜禽养殖场（小区）要实施雨污分流和粪便污水资源化利用。</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restar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环境风险防控</w:t>
                  </w: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到2025年，城镇人口密集区现有不符合防护距离要求的危险化学品生产企业就地改造达标、搬迁进入规范化工园区或关闭退出，企业安全和环境风险大幅降低。</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加快完成饮用水水源保护区划界立标、隔离防护等规范化建设，拆除、关闭保护区内排污口和违法建设项目，完善风险防控与应急能力建设和相关管理措施，保证饮用水水源水质达标和水源安全。</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restar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资源利用要求</w:t>
                  </w: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推动园区串联用水，分质用水、一水多用和循环利用，提高水资源利用率，建设节水型园区。火电、钢铁、造纸、化工、粮食深加工等重点行业应推广实施节水改造和污水深度处理。鼓励钢铁、火电、纺织印染、造纸、石油石化、化工、制革等高耗水企业废水深度处理回用。</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按照《吉林省黑土地保护条例》实施黑土地保护，加大黑土区水土流失治理力度，发展保护性耕作，促进黑土地可持续发展。</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414" w:type="pct"/>
                  <w:vMerge w:val="continue"/>
                  <w:tcBorders>
                    <w:top w:val="single" w:color="auto" w:sz="2" w:space="0"/>
                    <w:left w:val="nil"/>
                    <w:bottom w:val="single" w:color="auto" w:sz="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严格控制新增耗煤项目的审批、核准、备案，对未实施煤炭消费等量或减量替代的耗煤项目一律不予审批、核准、备案。新上燃煤发电项目并网前应当完成全部煤炭替代量。</w:t>
                  </w:r>
                </w:p>
              </w:tc>
              <w:tc>
                <w:tcPr>
                  <w:tcW w:w="332"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不涉及</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14" w:type="pct"/>
                  <w:vMerge w:val="continue"/>
                  <w:tcBorders>
                    <w:top w:val="single" w:color="auto" w:sz="2" w:space="0"/>
                    <w:left w:val="nil"/>
                    <w:bottom w:val="single" w:color="auto" w:sz="12" w:space="0"/>
                    <w:right w:val="single" w:color="auto" w:sz="2" w:space="0"/>
                  </w:tcBorders>
                  <w:vAlign w:val="center"/>
                </w:tcPr>
                <w:p>
                  <w:pPr>
                    <w:widowControl/>
                    <w:jc w:val="center"/>
                    <w:rPr>
                      <w:sz w:val="18"/>
                      <w:szCs w:val="18"/>
                    </w:rPr>
                  </w:pPr>
                </w:p>
              </w:tc>
              <w:tc>
                <w:tcPr>
                  <w:tcW w:w="4253" w:type="pct"/>
                  <w:tcBorders>
                    <w:top w:val="single" w:color="auto" w:sz="2" w:space="0"/>
                    <w:left w:val="single" w:color="auto" w:sz="2" w:space="0"/>
                    <w:bottom w:val="single" w:color="auto" w:sz="12" w:space="0"/>
                    <w:right w:val="single" w:color="auto" w:sz="2" w:space="0"/>
                  </w:tcBorders>
                  <w:vAlign w:val="center"/>
                </w:tcPr>
                <w:p>
                  <w:pPr>
                    <w:adjustRightInd w:val="0"/>
                    <w:snapToGrid w:val="0"/>
                    <w:spacing w:line="288" w:lineRule="auto"/>
                    <w:ind w:firstLine="360" w:firstLineChars="200"/>
                    <w:rPr>
                      <w:sz w:val="18"/>
                      <w:szCs w:val="18"/>
                    </w:rPr>
                  </w:pPr>
                  <w:r>
                    <w:rPr>
                      <w:sz w:val="18"/>
                      <w:szCs w:val="18"/>
                    </w:rPr>
                    <w:t>各地划定的高污染燃料禁燃区内，禁止燃用、销售高污染燃料，禁止新建、改建、扩建任何燃用高污染燃料的设施。</w:t>
                  </w:r>
                </w:p>
              </w:tc>
              <w:tc>
                <w:tcPr>
                  <w:tcW w:w="332" w:type="pct"/>
                  <w:tcBorders>
                    <w:top w:val="single" w:color="auto" w:sz="2" w:space="0"/>
                    <w:left w:val="single" w:color="auto" w:sz="2" w:space="0"/>
                    <w:bottom w:val="single" w:color="auto" w:sz="12" w:space="0"/>
                    <w:right w:val="nil"/>
                  </w:tcBorders>
                  <w:vAlign w:val="center"/>
                </w:tcPr>
                <w:p>
                  <w:pPr>
                    <w:adjustRightInd w:val="0"/>
                    <w:snapToGrid w:val="0"/>
                    <w:jc w:val="center"/>
                    <w:rPr>
                      <w:sz w:val="18"/>
                      <w:szCs w:val="18"/>
                    </w:rPr>
                  </w:pPr>
                  <w:r>
                    <w:rPr>
                      <w:sz w:val="18"/>
                      <w:szCs w:val="18"/>
                    </w:rPr>
                    <w:t>不涉及</w:t>
                  </w:r>
                </w:p>
              </w:tc>
            </w:tr>
          </w:tbl>
          <w:p>
            <w:pPr>
              <w:pStyle w:val="13"/>
              <w:spacing w:line="360" w:lineRule="auto"/>
              <w:ind w:firstLine="420" w:firstLineChars="200"/>
            </w:pPr>
            <w:r>
              <w:t>综上，本项目符合吉林省的“三线一单”(吉政函[2020]101号）的管理要求。</w:t>
            </w:r>
          </w:p>
          <w:p>
            <w:pPr>
              <w:pStyle w:val="13"/>
              <w:adjustRightInd w:val="0"/>
              <w:snapToGrid w:val="0"/>
              <w:spacing w:line="360" w:lineRule="auto"/>
              <w:ind w:firstLine="420" w:firstLineChars="200"/>
            </w:pPr>
            <w:r>
              <w:rPr>
                <w:rFonts w:hint="eastAsia"/>
              </w:rPr>
              <w:t>3、选址合理性分析</w:t>
            </w:r>
          </w:p>
          <w:p>
            <w:pPr>
              <w:pStyle w:val="13"/>
              <w:adjustRightInd w:val="0"/>
              <w:snapToGrid w:val="0"/>
              <w:spacing w:line="360" w:lineRule="auto"/>
              <w:ind w:firstLine="420" w:firstLineChars="200"/>
            </w:pPr>
            <w:r>
              <w:rPr>
                <w:rFonts w:hint="eastAsia"/>
              </w:rPr>
              <w:t>本项目租用白山市石人镇小河口村冰湖沟一处荒地，四周均为林地，距离本项目厂界最近的环境敏感点为东南侧</w:t>
            </w:r>
            <w:r>
              <w:t>305m</w:t>
            </w:r>
            <w:r>
              <w:rPr>
                <w:rFonts w:hint="eastAsia"/>
              </w:rPr>
              <w:t>处小河口村居民。厂区周围无自然保护区、风景名胜区、国家重点文物保护单位、历史文化保护地，也非饮用水保护区和基本农田保护区及生态脆弱区等社会关注地区，因此，本项目选址合理，建设可行。</w:t>
            </w: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adjustRightInd w:val="0"/>
              <w:snapToGrid w:val="0"/>
              <w:spacing w:line="360" w:lineRule="auto"/>
              <w:ind w:firstLine="420" w:firstLineChars="200"/>
            </w:pPr>
          </w:p>
          <w:p>
            <w:pPr>
              <w:pStyle w:val="13"/>
              <w:spacing w:line="360" w:lineRule="auto"/>
              <w:ind w:firstLine="420" w:firstLineChars="200"/>
            </w:pPr>
          </w:p>
          <w:p>
            <w:pPr>
              <w:pStyle w:val="13"/>
              <w:spacing w:line="360" w:lineRule="auto"/>
              <w:ind w:firstLine="0"/>
            </w:pPr>
          </w:p>
        </w:tc>
      </w:tr>
    </w:tbl>
    <w:p>
      <w:pPr>
        <w:spacing w:line="360" w:lineRule="auto"/>
        <w:rPr>
          <w:rFonts w:eastAsia="黑体"/>
          <w:sz w:val="30"/>
          <w:lang w:bidi="ar"/>
        </w:rPr>
        <w:sectPr>
          <w:footerReference r:id="rId3" w:type="default"/>
          <w:pgSz w:w="11906" w:h="16838"/>
          <w:pgMar w:top="1702" w:right="1531" w:bottom="1702" w:left="1531" w:header="851" w:footer="1077" w:gutter="0"/>
          <w:pgNumType w:start="1"/>
          <w:cols w:space="425" w:num="1"/>
          <w:docGrid w:type="lines" w:linePitch="312" w:charSpace="0"/>
        </w:sectPr>
      </w:pPr>
    </w:p>
    <w:p>
      <w:pPr>
        <w:pStyle w:val="8"/>
        <w:jc w:val="center"/>
        <w:outlineLvl w:val="0"/>
        <w:rPr>
          <w:rFonts w:hint="default" w:ascii="黑体" w:eastAsia="黑体" w:cs="黑体"/>
          <w:sz w:val="30"/>
          <w:szCs w:val="30"/>
        </w:rPr>
      </w:pPr>
      <w:r>
        <w:rPr>
          <w:rFonts w:ascii="黑体" w:eastAsia="黑体" w:cs="黑体"/>
          <w:snapToGrid w:val="0"/>
          <w:sz w:val="30"/>
          <w:szCs w:val="30"/>
        </w:rPr>
        <w:t>二、建设项目工程分析</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1"/>
        <w:gridCol w:w="86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675" w:type="dxa"/>
            <w:tcBorders>
              <w:top w:val="single" w:color="auto" w:sz="8" w:space="0"/>
              <w:left w:val="single" w:color="auto" w:sz="8" w:space="0"/>
              <w:bottom w:val="single" w:color="auto" w:sz="4" w:space="0"/>
              <w:right w:val="single" w:color="auto" w:sz="4" w:space="0"/>
            </w:tcBorders>
            <w:shd w:val="clear" w:color="auto" w:fill="auto"/>
            <w:vAlign w:val="center"/>
          </w:tcPr>
          <w:p>
            <w:pPr>
              <w:pStyle w:val="8"/>
              <w:adjustRightInd w:val="0"/>
              <w:snapToGrid w:val="0"/>
              <w:spacing w:beforeAutospacing="0" w:afterAutospacing="0"/>
              <w:jc w:val="center"/>
              <w:rPr>
                <w:rFonts w:hint="default" w:cs="宋体"/>
                <w:kern w:val="2"/>
                <w:sz w:val="21"/>
                <w:szCs w:val="21"/>
              </w:rPr>
            </w:pPr>
            <w:r>
              <w:rPr>
                <w:rFonts w:cs="宋体"/>
                <w:kern w:val="2"/>
                <w:sz w:val="21"/>
                <w:szCs w:val="21"/>
              </w:rPr>
              <w:t>建设内容</w:t>
            </w:r>
          </w:p>
        </w:tc>
        <w:tc>
          <w:tcPr>
            <w:tcW w:w="8385" w:type="dxa"/>
            <w:tcBorders>
              <w:top w:val="single" w:color="auto" w:sz="8" w:space="0"/>
              <w:left w:val="single" w:color="auto" w:sz="4" w:space="0"/>
              <w:bottom w:val="single" w:color="auto" w:sz="4" w:space="0"/>
              <w:right w:val="single" w:color="auto" w:sz="8" w:space="0"/>
            </w:tcBorders>
            <w:shd w:val="clear" w:color="auto" w:fill="auto"/>
          </w:tcPr>
          <w:p>
            <w:pPr>
              <w:adjustRightInd w:val="0"/>
              <w:snapToGrid w:val="0"/>
              <w:spacing w:line="360" w:lineRule="auto"/>
              <w:ind w:firstLine="420" w:firstLineChars="200"/>
              <w:rPr>
                <w:bCs/>
              </w:rPr>
            </w:pPr>
            <w:r>
              <w:rPr>
                <w:bCs/>
              </w:rPr>
              <w:t>1、项目名称、建设性质及建设地点</w:t>
            </w:r>
          </w:p>
          <w:p>
            <w:pPr>
              <w:adjustRightInd w:val="0"/>
              <w:snapToGrid w:val="0"/>
              <w:spacing w:line="360" w:lineRule="auto"/>
              <w:ind w:firstLine="420" w:firstLineChars="200"/>
              <w:rPr>
                <w:bCs/>
              </w:rPr>
            </w:pPr>
            <w:r>
              <w:rPr>
                <w:bCs/>
              </w:rPr>
              <w:t>项目名称：</w:t>
            </w:r>
            <w:r>
              <w:rPr>
                <w:rFonts w:hint="eastAsia"/>
                <w:bCs/>
              </w:rPr>
              <w:t>白山市2019年度普通干线公路养护工程BSYH06标段项目</w:t>
            </w:r>
          </w:p>
          <w:p>
            <w:pPr>
              <w:adjustRightInd w:val="0"/>
              <w:snapToGrid w:val="0"/>
              <w:spacing w:line="360" w:lineRule="auto"/>
              <w:ind w:firstLine="420" w:firstLineChars="200"/>
              <w:rPr>
                <w:bCs/>
              </w:rPr>
            </w:pPr>
            <w:r>
              <w:rPr>
                <w:bCs/>
              </w:rPr>
              <w:t>建设性质：新建</w:t>
            </w:r>
            <w:r>
              <w:rPr>
                <w:rFonts w:hint="eastAsia"/>
                <w:bCs/>
              </w:rPr>
              <w:t>（补做）</w:t>
            </w:r>
          </w:p>
          <w:p>
            <w:pPr>
              <w:pStyle w:val="13"/>
              <w:adjustRightInd w:val="0"/>
              <w:snapToGrid w:val="0"/>
              <w:spacing w:line="360" w:lineRule="auto"/>
              <w:ind w:firstLine="420" w:firstLineChars="200"/>
            </w:pPr>
            <w:r>
              <w:t>建设地点：</w:t>
            </w:r>
            <w:r>
              <w:rPr>
                <w:rFonts w:hint="eastAsia"/>
              </w:rPr>
              <w:t>白山市石人镇小河口村五队冰湖沟</w:t>
            </w:r>
          </w:p>
          <w:p>
            <w:pPr>
              <w:adjustRightInd w:val="0"/>
              <w:snapToGrid w:val="0"/>
              <w:spacing w:line="360" w:lineRule="auto"/>
              <w:ind w:firstLine="420" w:firstLineChars="200"/>
              <w:rPr>
                <w:bCs/>
              </w:rPr>
            </w:pPr>
            <w:r>
              <w:rPr>
                <w:bCs/>
              </w:rPr>
              <w:t>周围情况：本项目厂区中心坐标为E 126°32′19.52″，N 41°57′28.97″，项目四周均为林地。</w:t>
            </w:r>
            <w:r>
              <w:rPr>
                <w:rFonts w:hint="eastAsia"/>
                <w:bCs/>
              </w:rPr>
              <w:t>东南侧距厂界3</w:t>
            </w:r>
            <w:r>
              <w:rPr>
                <w:bCs/>
              </w:rPr>
              <w:t>05m</w:t>
            </w:r>
            <w:r>
              <w:rPr>
                <w:rFonts w:hint="eastAsia"/>
                <w:bCs/>
              </w:rPr>
              <w:t>处为小河口村居民，距厂界3</w:t>
            </w:r>
            <w:r>
              <w:rPr>
                <w:bCs/>
              </w:rPr>
              <w:t>75m</w:t>
            </w:r>
            <w:r>
              <w:rPr>
                <w:rFonts w:hint="eastAsia"/>
                <w:bCs/>
              </w:rPr>
              <w:t>处为石人河。</w:t>
            </w:r>
          </w:p>
          <w:p>
            <w:pPr>
              <w:adjustRightInd w:val="0"/>
              <w:snapToGrid w:val="0"/>
              <w:spacing w:line="360" w:lineRule="auto"/>
              <w:ind w:firstLine="420" w:firstLineChars="200"/>
              <w:rPr>
                <w:bCs/>
              </w:rPr>
            </w:pPr>
            <w:r>
              <w:rPr>
                <w:bCs/>
              </w:rPr>
              <w:t>2、项目建设内容</w:t>
            </w:r>
          </w:p>
          <w:p>
            <w:pPr>
              <w:adjustRightInd w:val="0"/>
              <w:snapToGrid w:val="0"/>
              <w:spacing w:line="360" w:lineRule="auto"/>
              <w:ind w:firstLine="420" w:firstLineChars="200"/>
              <w:rPr>
                <w:bCs/>
              </w:rPr>
            </w:pPr>
            <w:r>
              <w:rPr>
                <w:bCs/>
              </w:rPr>
              <w:t>本项目占地面积约14000m</w:t>
            </w:r>
            <w:r>
              <w:rPr>
                <w:bCs/>
                <w:vertAlign w:val="superscript"/>
              </w:rPr>
              <w:t>2</w:t>
            </w:r>
            <w:r>
              <w:rPr>
                <w:bCs/>
              </w:rPr>
              <w:t>，总建筑面积约为1920m</w:t>
            </w:r>
            <w:r>
              <w:rPr>
                <w:bCs/>
                <w:vertAlign w:val="superscript"/>
              </w:rPr>
              <w:t>2</w:t>
            </w:r>
            <w:r>
              <w:rPr>
                <w:bCs/>
              </w:rPr>
              <w:t>。项目建设一条沥青混凝土生产线，生产能力为80000t/a</w:t>
            </w:r>
            <w:r>
              <w:rPr>
                <w:rFonts w:hint="eastAsia"/>
                <w:bCs/>
              </w:rPr>
              <w:t>，</w:t>
            </w:r>
            <w:r>
              <w:rPr>
                <w:bCs/>
              </w:rPr>
              <w:t>并配套建设办公</w:t>
            </w:r>
            <w:r>
              <w:rPr>
                <w:rFonts w:hint="eastAsia"/>
                <w:bCs/>
              </w:rPr>
              <w:t>室</w:t>
            </w:r>
            <w:r>
              <w:rPr>
                <w:bCs/>
              </w:rPr>
              <w:t>等设施，具体建设内容见表 2-1。</w:t>
            </w:r>
          </w:p>
          <w:p>
            <w:pPr>
              <w:adjustRightInd w:val="0"/>
              <w:snapToGrid w:val="0"/>
              <w:spacing w:line="360" w:lineRule="auto"/>
              <w:jc w:val="center"/>
              <w:rPr>
                <w:bCs/>
              </w:rPr>
            </w:pPr>
            <w:r>
              <w:rPr>
                <w:bCs/>
              </w:rPr>
              <w:t>表2-1  项目主要建设内容</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771"/>
              <w:gridCol w:w="1323"/>
              <w:gridCol w:w="3567"/>
              <w:gridCol w:w="20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类别</w:t>
                  </w: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名称</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内容及规模</w:t>
                  </w:r>
                </w:p>
              </w:tc>
              <w:tc>
                <w:tcPr>
                  <w:tcW w:w="1241"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主体工程</w:t>
                  </w:r>
                </w:p>
              </w:tc>
              <w:tc>
                <w:tcPr>
                  <w:tcW w:w="1241" w:type="pct"/>
                  <w:gridSpan w:val="2"/>
                  <w:shd w:val="clear" w:color="auto" w:fill="auto"/>
                  <w:vAlign w:val="center"/>
                </w:tcPr>
                <w:p>
                  <w:pPr>
                    <w:jc w:val="center"/>
                    <w:rPr>
                      <w:sz w:val="18"/>
                      <w:szCs w:val="18"/>
                    </w:rPr>
                  </w:pPr>
                  <w:r>
                    <w:rPr>
                      <w:sz w:val="18"/>
                      <w:szCs w:val="18"/>
                    </w:rPr>
                    <w:t>沥青混凝土生产线</w:t>
                  </w:r>
                </w:p>
              </w:tc>
              <w:tc>
                <w:tcPr>
                  <w:tcW w:w="2114" w:type="pct"/>
                  <w:shd w:val="clear" w:color="auto" w:fill="auto"/>
                  <w:vAlign w:val="center"/>
                </w:tcPr>
                <w:p>
                  <w:pPr>
                    <w:jc w:val="center"/>
                    <w:rPr>
                      <w:sz w:val="18"/>
                      <w:szCs w:val="18"/>
                    </w:rPr>
                  </w:pPr>
                  <w:r>
                    <w:rPr>
                      <w:sz w:val="18"/>
                      <w:szCs w:val="18"/>
                    </w:rPr>
                    <w:t>一条生产线，年产沥青混凝土80000t</w:t>
                  </w:r>
                </w:p>
              </w:tc>
              <w:tc>
                <w:tcPr>
                  <w:tcW w:w="1241" w:type="pct"/>
                  <w:shd w:val="clear" w:color="auto" w:fill="auto"/>
                  <w:vAlign w:val="center"/>
                </w:tcPr>
                <w:p>
                  <w:pPr>
                    <w:jc w:val="center"/>
                    <w:rPr>
                      <w:sz w:val="18"/>
                      <w:szCs w:val="18"/>
                    </w:rPr>
                  </w:pPr>
                  <w:r>
                    <w:rPr>
                      <w:rFonts w:hint="eastAsia"/>
                      <w:sz w:val="18"/>
                      <w:szCs w:val="18"/>
                    </w:rPr>
                    <w:t>L</w:t>
                  </w:r>
                  <w:r>
                    <w:rPr>
                      <w:sz w:val="18"/>
                      <w:szCs w:val="18"/>
                    </w:rPr>
                    <w:t>B2250</w:t>
                  </w:r>
                  <w:r>
                    <w:rPr>
                      <w:rFonts w:hint="eastAsia"/>
                      <w:sz w:val="18"/>
                      <w:szCs w:val="18"/>
                    </w:rPr>
                    <w:t>型搅拌设备，已建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restart"/>
                  <w:shd w:val="clear" w:color="auto" w:fill="auto"/>
                  <w:vAlign w:val="center"/>
                </w:tcPr>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辅助</w:t>
                  </w:r>
                  <w:r>
                    <w:rPr>
                      <w:color w:val="000000" w:themeColor="text1"/>
                      <w:sz w:val="18"/>
                      <w:szCs w:val="18"/>
                      <w14:textFill>
                        <w14:solidFill>
                          <w14:schemeClr w14:val="tx1"/>
                        </w14:solidFill>
                      </w14:textFill>
                    </w:rPr>
                    <w:t>工程</w:t>
                  </w:r>
                </w:p>
              </w:tc>
              <w:tc>
                <w:tcPr>
                  <w:tcW w:w="1241" w:type="pct"/>
                  <w:gridSpan w:val="2"/>
                  <w:shd w:val="clear" w:color="auto" w:fill="auto"/>
                  <w:vAlign w:val="center"/>
                </w:tcPr>
                <w:p>
                  <w:pPr>
                    <w:jc w:val="center"/>
                    <w:rPr>
                      <w:sz w:val="18"/>
                      <w:szCs w:val="18"/>
                    </w:rPr>
                  </w:pPr>
                  <w:r>
                    <w:rPr>
                      <w:sz w:val="18"/>
                      <w:szCs w:val="18"/>
                    </w:rPr>
                    <w:t>办公室</w:t>
                  </w:r>
                </w:p>
              </w:tc>
              <w:tc>
                <w:tcPr>
                  <w:tcW w:w="2114" w:type="pct"/>
                  <w:shd w:val="clear" w:color="auto" w:fill="auto"/>
                  <w:vAlign w:val="center"/>
                </w:tcPr>
                <w:p>
                  <w:pPr>
                    <w:jc w:val="center"/>
                    <w:rPr>
                      <w:sz w:val="18"/>
                      <w:szCs w:val="18"/>
                    </w:rPr>
                  </w:pPr>
                  <w:r>
                    <w:rPr>
                      <w:sz w:val="18"/>
                      <w:szCs w:val="18"/>
                    </w:rPr>
                    <w:t>占地面积80m</w:t>
                  </w:r>
                  <w:r>
                    <w:rPr>
                      <w:sz w:val="18"/>
                      <w:szCs w:val="18"/>
                      <w:vertAlign w:val="superscript"/>
                    </w:rPr>
                    <w:t>2</w:t>
                  </w:r>
                </w:p>
              </w:tc>
              <w:tc>
                <w:tcPr>
                  <w:tcW w:w="1241" w:type="pct"/>
                  <w:shd w:val="clear" w:color="auto" w:fill="auto"/>
                  <w:vAlign w:val="center"/>
                </w:tcPr>
                <w:p>
                  <w:pPr>
                    <w:jc w:val="center"/>
                    <w:rPr>
                      <w:sz w:val="18"/>
                      <w:szCs w:val="18"/>
                    </w:rPr>
                  </w:pPr>
                  <w:r>
                    <w:rPr>
                      <w:sz w:val="18"/>
                      <w:szCs w:val="18"/>
                    </w:rPr>
                    <w:t>位于厂区</w:t>
                  </w:r>
                  <w:r>
                    <w:rPr>
                      <w:rFonts w:hint="eastAsia"/>
                      <w:sz w:val="18"/>
                      <w:szCs w:val="18"/>
                    </w:rPr>
                    <w:t>西</w:t>
                  </w:r>
                  <w:r>
                    <w:rPr>
                      <w:sz w:val="18"/>
                      <w:szCs w:val="18"/>
                    </w:rPr>
                    <w:t>北侧</w:t>
                  </w: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sz w:val="18"/>
                      <w:szCs w:val="18"/>
                    </w:rPr>
                  </w:pPr>
                  <w:r>
                    <w:rPr>
                      <w:sz w:val="18"/>
                      <w:szCs w:val="18"/>
                    </w:rPr>
                    <w:t>碎石料仓</w:t>
                  </w:r>
                </w:p>
              </w:tc>
              <w:tc>
                <w:tcPr>
                  <w:tcW w:w="2114" w:type="pct"/>
                  <w:shd w:val="clear" w:color="auto" w:fill="auto"/>
                  <w:vAlign w:val="center"/>
                </w:tcPr>
                <w:p>
                  <w:pPr>
                    <w:jc w:val="center"/>
                    <w:rPr>
                      <w:sz w:val="18"/>
                      <w:szCs w:val="18"/>
                      <w:highlight w:val="yellow"/>
                    </w:rPr>
                  </w:pPr>
                  <w:r>
                    <w:rPr>
                      <w:sz w:val="18"/>
                      <w:szCs w:val="18"/>
                    </w:rPr>
                    <w:t>占地面积1000m</w:t>
                  </w:r>
                  <w:r>
                    <w:rPr>
                      <w:sz w:val="18"/>
                      <w:szCs w:val="18"/>
                      <w:vertAlign w:val="superscript"/>
                    </w:rPr>
                    <w:t>2</w:t>
                  </w:r>
                </w:p>
              </w:tc>
              <w:tc>
                <w:tcPr>
                  <w:tcW w:w="1241" w:type="pct"/>
                  <w:shd w:val="clear" w:color="auto" w:fill="auto"/>
                  <w:vAlign w:val="center"/>
                </w:tcPr>
                <w:p>
                  <w:pPr>
                    <w:jc w:val="center"/>
                    <w:rPr>
                      <w:sz w:val="18"/>
                      <w:szCs w:val="18"/>
                    </w:rPr>
                  </w:pPr>
                  <w:r>
                    <w:rPr>
                      <w:rFonts w:hint="eastAsia"/>
                      <w:sz w:val="18"/>
                      <w:szCs w:val="18"/>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sz w:val="18"/>
                      <w:szCs w:val="18"/>
                    </w:rPr>
                  </w:pPr>
                  <w:r>
                    <w:rPr>
                      <w:sz w:val="18"/>
                      <w:szCs w:val="18"/>
                    </w:rPr>
                    <w:t>沥青储罐</w:t>
                  </w:r>
                </w:p>
              </w:tc>
              <w:tc>
                <w:tcPr>
                  <w:tcW w:w="2114" w:type="pct"/>
                  <w:shd w:val="clear" w:color="auto" w:fill="auto"/>
                  <w:vAlign w:val="center"/>
                </w:tcPr>
                <w:p>
                  <w:pPr>
                    <w:jc w:val="center"/>
                    <w:rPr>
                      <w:sz w:val="18"/>
                      <w:szCs w:val="18"/>
                      <w:highlight w:val="yellow"/>
                    </w:rPr>
                  </w:pPr>
                  <w:r>
                    <w:rPr>
                      <w:sz w:val="18"/>
                      <w:szCs w:val="18"/>
                    </w:rPr>
                    <w:t>40t储罐3个</w:t>
                  </w:r>
                </w:p>
              </w:tc>
              <w:tc>
                <w:tcPr>
                  <w:tcW w:w="1241" w:type="pct"/>
                  <w:shd w:val="clear" w:color="auto" w:fill="auto"/>
                  <w:vAlign w:val="center"/>
                </w:tcPr>
                <w:p>
                  <w:pPr>
                    <w:jc w:val="center"/>
                    <w:rPr>
                      <w:sz w:val="18"/>
                      <w:szCs w:val="18"/>
                    </w:rPr>
                  </w:pP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sz w:val="18"/>
                      <w:szCs w:val="18"/>
                    </w:rPr>
                  </w:pPr>
                  <w:r>
                    <w:rPr>
                      <w:rFonts w:hint="eastAsia"/>
                      <w:sz w:val="18"/>
                      <w:szCs w:val="18"/>
                    </w:rPr>
                    <w:t>防渗旱厕</w:t>
                  </w:r>
                </w:p>
              </w:tc>
              <w:tc>
                <w:tcPr>
                  <w:tcW w:w="2114" w:type="pct"/>
                  <w:shd w:val="clear" w:color="auto" w:fill="auto"/>
                  <w:vAlign w:val="center"/>
                </w:tcPr>
                <w:p>
                  <w:pPr>
                    <w:jc w:val="center"/>
                    <w:rPr>
                      <w:sz w:val="18"/>
                      <w:szCs w:val="18"/>
                    </w:rPr>
                  </w:pPr>
                  <w:r>
                    <w:rPr>
                      <w:rFonts w:hint="eastAsia"/>
                      <w:sz w:val="18"/>
                      <w:szCs w:val="18"/>
                    </w:rPr>
                    <w:t>占地面积2</w:t>
                  </w:r>
                  <w:r>
                    <w:rPr>
                      <w:sz w:val="18"/>
                      <w:szCs w:val="18"/>
                    </w:rPr>
                    <w:t>0 m</w:t>
                  </w:r>
                  <w:r>
                    <w:rPr>
                      <w:sz w:val="18"/>
                      <w:szCs w:val="18"/>
                      <w:vertAlign w:val="superscript"/>
                    </w:rPr>
                    <w:t>2</w:t>
                  </w:r>
                </w:p>
              </w:tc>
              <w:tc>
                <w:tcPr>
                  <w:tcW w:w="1241" w:type="pct"/>
                  <w:shd w:val="clear" w:color="auto" w:fill="auto"/>
                  <w:vAlign w:val="center"/>
                </w:tcPr>
                <w:p>
                  <w:pPr>
                    <w:jc w:val="center"/>
                    <w:rPr>
                      <w:sz w:val="18"/>
                      <w:szCs w:val="18"/>
                    </w:rPr>
                  </w:pP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restar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公用工程</w:t>
                  </w:r>
                </w:p>
              </w:tc>
              <w:tc>
                <w:tcPr>
                  <w:tcW w:w="1241" w:type="pct"/>
                  <w:gridSpan w:val="2"/>
                  <w:shd w:val="clear" w:color="auto" w:fill="auto"/>
                  <w:vAlign w:val="center"/>
                </w:tcPr>
                <w:p>
                  <w:pPr>
                    <w:jc w:val="center"/>
                    <w:rPr>
                      <w:sz w:val="18"/>
                      <w:szCs w:val="18"/>
                    </w:rPr>
                  </w:pPr>
                  <w:r>
                    <w:rPr>
                      <w:sz w:val="18"/>
                      <w:szCs w:val="18"/>
                    </w:rPr>
                    <w:t>用水</w:t>
                  </w:r>
                </w:p>
              </w:tc>
              <w:tc>
                <w:tcPr>
                  <w:tcW w:w="2114" w:type="pct"/>
                  <w:shd w:val="clear" w:color="auto" w:fill="auto"/>
                  <w:vAlign w:val="center"/>
                </w:tcPr>
                <w:p>
                  <w:pPr>
                    <w:jc w:val="center"/>
                    <w:rPr>
                      <w:sz w:val="18"/>
                      <w:szCs w:val="18"/>
                    </w:rPr>
                  </w:pPr>
                  <w:r>
                    <w:rPr>
                      <w:sz w:val="18"/>
                      <w:szCs w:val="18"/>
                    </w:rPr>
                    <w:t>取自</w:t>
                  </w:r>
                  <w:r>
                    <w:rPr>
                      <w:rFonts w:hint="eastAsia"/>
                      <w:sz w:val="18"/>
                      <w:szCs w:val="18"/>
                    </w:rPr>
                    <w:t>山泉水</w:t>
                  </w:r>
                </w:p>
              </w:tc>
              <w:tc>
                <w:tcPr>
                  <w:tcW w:w="1241" w:type="pct"/>
                  <w:shd w:val="clear" w:color="auto" w:fill="auto"/>
                </w:tcPr>
                <w:p>
                  <w:pPr>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排水</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无生产废水；生活污水排入防渗旱厕</w:t>
                  </w:r>
                </w:p>
              </w:tc>
              <w:tc>
                <w:tcPr>
                  <w:tcW w:w="1241" w:type="pct"/>
                  <w:shd w:val="clear" w:color="auto" w:fill="auto"/>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供热</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沥青加热由导热油炉供应；石料加热由烘干滚筒加热；冬季不生产，无需采暖</w:t>
                  </w:r>
                </w:p>
              </w:tc>
              <w:tc>
                <w:tcPr>
                  <w:tcW w:w="1241" w:type="pct"/>
                  <w:shd w:val="clear" w:color="auto" w:fill="auto"/>
                  <w:vAlign w:val="center"/>
                </w:tcPr>
                <w:p>
                  <w:pPr>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燃料为柴油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用电</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接自所在区域电网</w:t>
                  </w:r>
                </w:p>
              </w:tc>
              <w:tc>
                <w:tcPr>
                  <w:tcW w:w="1241" w:type="pct"/>
                  <w:shd w:val="clear" w:color="auto" w:fill="auto"/>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restar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环保工程</w:t>
                  </w:r>
                </w:p>
              </w:tc>
              <w:tc>
                <w:tcPr>
                  <w:tcW w:w="457" w:type="pct"/>
                  <w:vMerge w:val="restar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废气治理</w:t>
                  </w:r>
                </w:p>
              </w:tc>
              <w:tc>
                <w:tcPr>
                  <w:tcW w:w="784" w:type="pct"/>
                  <w:shd w:val="clear" w:color="auto" w:fill="auto"/>
                  <w:vAlign w:val="center"/>
                </w:tcPr>
                <w:p>
                  <w:pPr>
                    <w:jc w:val="center"/>
                    <w:rPr>
                      <w:color w:val="auto"/>
                      <w:sz w:val="18"/>
                      <w:szCs w:val="18"/>
                    </w:rPr>
                  </w:pPr>
                  <w:r>
                    <w:rPr>
                      <w:rFonts w:hint="eastAsia"/>
                      <w:color w:val="auto"/>
                      <w:sz w:val="18"/>
                      <w:szCs w:val="18"/>
                    </w:rPr>
                    <w:t>导热油炉烟气</w:t>
                  </w:r>
                </w:p>
              </w:tc>
              <w:tc>
                <w:tcPr>
                  <w:tcW w:w="2114" w:type="pct"/>
                  <w:shd w:val="clear" w:color="auto" w:fill="auto"/>
                  <w:vAlign w:val="center"/>
                </w:tcPr>
                <w:p>
                  <w:pPr>
                    <w:jc w:val="center"/>
                    <w:rPr>
                      <w:color w:val="auto"/>
                      <w:sz w:val="18"/>
                      <w:szCs w:val="18"/>
                    </w:rPr>
                  </w:pPr>
                  <w:r>
                    <w:rPr>
                      <w:color w:val="auto"/>
                      <w:sz w:val="18"/>
                      <w:szCs w:val="18"/>
                    </w:rPr>
                    <w:t>布袋除尘器，15m高排气筒</w:t>
                  </w:r>
                </w:p>
              </w:tc>
              <w:tc>
                <w:tcPr>
                  <w:tcW w:w="1241" w:type="pct"/>
                  <w:shd w:val="clear" w:color="auto" w:fill="auto"/>
                  <w:vAlign w:val="center"/>
                </w:tcPr>
                <w:p>
                  <w:pPr>
                    <w:jc w:val="center"/>
                    <w:rPr>
                      <w:color w:val="000000" w:themeColor="text1"/>
                      <w:sz w:val="18"/>
                      <w:szCs w:val="18"/>
                      <w:highlight w:val="yellow"/>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color w:val="auto"/>
                      <w:sz w:val="18"/>
                      <w:szCs w:val="18"/>
                    </w:rPr>
                  </w:pPr>
                  <w:r>
                    <w:rPr>
                      <w:color w:val="auto"/>
                      <w:sz w:val="18"/>
                      <w:szCs w:val="18"/>
                    </w:rPr>
                    <w:t>烘干滚筒废气</w:t>
                  </w:r>
                </w:p>
              </w:tc>
              <w:tc>
                <w:tcPr>
                  <w:tcW w:w="2114" w:type="pct"/>
                  <w:shd w:val="clear" w:color="auto" w:fill="auto"/>
                  <w:vAlign w:val="center"/>
                </w:tcPr>
                <w:p>
                  <w:pPr>
                    <w:jc w:val="center"/>
                    <w:rPr>
                      <w:color w:val="auto"/>
                      <w:sz w:val="18"/>
                      <w:szCs w:val="18"/>
                    </w:rPr>
                  </w:pPr>
                  <w:r>
                    <w:rPr>
                      <w:color w:val="auto"/>
                      <w:sz w:val="18"/>
                      <w:szCs w:val="18"/>
                    </w:rPr>
                    <w:t>布袋除尘器</w:t>
                  </w:r>
                  <w:r>
                    <w:rPr>
                      <w:rFonts w:hint="eastAsia"/>
                      <w:color w:val="auto"/>
                      <w:sz w:val="18"/>
                      <w:szCs w:val="18"/>
                      <w:lang w:val="en-US" w:eastAsia="zh-CN"/>
                    </w:rPr>
                    <w:t>+低氮燃烧</w:t>
                  </w:r>
                  <w:r>
                    <w:rPr>
                      <w:color w:val="auto"/>
                      <w:sz w:val="18"/>
                      <w:szCs w:val="18"/>
                    </w:rPr>
                    <w:t>，15m高排气筒</w:t>
                  </w:r>
                </w:p>
              </w:tc>
              <w:tc>
                <w:tcPr>
                  <w:tcW w:w="1241"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color w:val="000000" w:themeColor="text1"/>
                      <w:sz w:val="18"/>
                      <w:szCs w:val="18"/>
                      <w:highlight w:val="yellow"/>
                      <w14:textFill>
                        <w14:solidFill>
                          <w14:schemeClr w14:val="tx1"/>
                        </w14:solidFill>
                      </w14:textFill>
                    </w:rPr>
                  </w:pPr>
                  <w:r>
                    <w:rPr>
                      <w:sz w:val="18"/>
                      <w:szCs w:val="18"/>
                    </w:rPr>
                    <w:t>沥青烟气</w:t>
                  </w:r>
                </w:p>
              </w:tc>
              <w:tc>
                <w:tcPr>
                  <w:tcW w:w="2114" w:type="pct"/>
                  <w:shd w:val="clear" w:color="auto" w:fill="auto"/>
                  <w:vAlign w:val="center"/>
                </w:tcPr>
                <w:p>
                  <w:pPr>
                    <w:jc w:val="center"/>
                    <w:rPr>
                      <w:color w:val="000000" w:themeColor="text1"/>
                      <w:sz w:val="18"/>
                      <w:szCs w:val="18"/>
                      <w:highlight w:val="yellow"/>
                      <w14:textFill>
                        <w14:solidFill>
                          <w14:schemeClr w14:val="tx1"/>
                        </w14:solidFill>
                      </w14:textFill>
                    </w:rPr>
                  </w:pPr>
                  <w:r>
                    <w:rPr>
                      <w:sz w:val="18"/>
                      <w:szCs w:val="18"/>
                    </w:rPr>
                    <w:t>活性炭吸附装置，集气罩，</w:t>
                  </w:r>
                  <w:r>
                    <w:rPr>
                      <w:rFonts w:hint="eastAsia"/>
                      <w:sz w:val="18"/>
                      <w:szCs w:val="18"/>
                    </w:rPr>
                    <w:t>与烘干滚筒废气经同一排口排出</w:t>
                  </w:r>
                  <w:r>
                    <w:rPr>
                      <w:sz w:val="18"/>
                      <w:szCs w:val="18"/>
                    </w:rPr>
                    <w:t xml:space="preserve"> </w:t>
                  </w:r>
                </w:p>
              </w:tc>
              <w:tc>
                <w:tcPr>
                  <w:tcW w:w="1241" w:type="pct"/>
                  <w:shd w:val="clear" w:color="auto" w:fill="auto"/>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rFonts w:ascii="Times New Roman" w:hAnsi="Times New Roman" w:eastAsia="宋体" w:cs="Times New Roman"/>
                      <w:kern w:val="2"/>
                      <w:sz w:val="18"/>
                      <w:szCs w:val="18"/>
                      <w:lang w:val="en-US" w:eastAsia="zh-CN" w:bidi="ar-SA"/>
                    </w:rPr>
                  </w:pPr>
                  <w:r>
                    <w:rPr>
                      <w:rFonts w:hint="eastAsia"/>
                      <w:sz w:val="18"/>
                      <w:szCs w:val="18"/>
                    </w:rPr>
                    <w:t>石料输送、装卸粉尘</w:t>
                  </w:r>
                </w:p>
              </w:tc>
              <w:tc>
                <w:tcPr>
                  <w:tcW w:w="2114" w:type="pct"/>
                  <w:shd w:val="clear" w:color="auto" w:fill="auto"/>
                  <w:vAlign w:val="center"/>
                </w:tcPr>
                <w:p>
                  <w:pPr>
                    <w:jc w:val="center"/>
                    <w:rPr>
                      <w:rFonts w:ascii="Times New Roman" w:hAnsi="Times New Roman" w:eastAsia="宋体" w:cs="Times New Roman"/>
                      <w:kern w:val="2"/>
                      <w:sz w:val="18"/>
                      <w:szCs w:val="18"/>
                      <w:lang w:val="en-US" w:eastAsia="zh-CN" w:bidi="ar-SA"/>
                    </w:rPr>
                  </w:pPr>
                  <w:r>
                    <w:rPr>
                      <w:rFonts w:hint="eastAsia"/>
                      <w:sz w:val="18"/>
                      <w:szCs w:val="18"/>
                    </w:rPr>
                    <w:t>料仓封闭，厂区洒水降尘</w:t>
                  </w:r>
                </w:p>
              </w:tc>
              <w:tc>
                <w:tcPr>
                  <w:tcW w:w="1241" w:type="pct"/>
                  <w:shd w:val="clear" w:color="auto" w:fill="auto"/>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废水治理</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生活污水排入防渗旱厕，定期清掏用于农肥，不外排</w:t>
                  </w:r>
                </w:p>
              </w:tc>
              <w:tc>
                <w:tcPr>
                  <w:tcW w:w="1241" w:type="pct"/>
                  <w:shd w:val="clear" w:color="auto" w:fill="auto"/>
                  <w:vAlign w:val="center"/>
                </w:tcPr>
                <w:p>
                  <w:pPr>
                    <w:jc w:val="center"/>
                    <w:rPr>
                      <w:color w:val="000000" w:themeColor="text1"/>
                      <w:sz w:val="18"/>
                      <w:szCs w:val="18"/>
                      <w:highlight w:val="yellow"/>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1241" w:type="pct"/>
                  <w:gridSpan w:val="2"/>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噪声治理</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选用低噪声设备，基础减振，定期维护和检修</w:t>
                  </w:r>
                </w:p>
              </w:tc>
              <w:tc>
                <w:tcPr>
                  <w:tcW w:w="1241" w:type="pct"/>
                  <w:shd w:val="clear" w:color="auto" w:fill="auto"/>
                  <w:vAlign w:val="center"/>
                </w:tcPr>
                <w:p>
                  <w:pPr>
                    <w:jc w:val="center"/>
                    <w:rPr>
                      <w:color w:val="000000" w:themeColor="text1"/>
                      <w:sz w:val="18"/>
                      <w:szCs w:val="18"/>
                      <w:highlight w:val="yellow"/>
                      <w14:textFill>
                        <w14:solidFill>
                          <w14:schemeClr w14:val="tx1"/>
                        </w14:solidFill>
                      </w14:textFill>
                    </w:rPr>
                  </w:pPr>
                  <w:r>
                    <w:rPr>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restar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固废处理</w:t>
                  </w:r>
                </w:p>
              </w:tc>
              <w:tc>
                <w:tcPr>
                  <w:tcW w:w="784" w:type="pct"/>
                  <w:shd w:val="clear" w:color="auto" w:fill="auto"/>
                  <w:vAlign w:val="center"/>
                </w:tcPr>
                <w:p>
                  <w:pPr>
                    <w:jc w:val="center"/>
                    <w:rPr>
                      <w:sz w:val="18"/>
                      <w:szCs w:val="18"/>
                    </w:rPr>
                  </w:pPr>
                  <w:r>
                    <w:rPr>
                      <w:sz w:val="18"/>
                      <w:szCs w:val="18"/>
                    </w:rPr>
                    <w:t>生活垃圾</w:t>
                  </w:r>
                </w:p>
              </w:tc>
              <w:tc>
                <w:tcPr>
                  <w:tcW w:w="2114" w:type="pct"/>
                  <w:shd w:val="clear" w:color="auto" w:fill="auto"/>
                  <w:vAlign w:val="center"/>
                </w:tcPr>
                <w:p>
                  <w:pPr>
                    <w:jc w:val="center"/>
                    <w:rPr>
                      <w:sz w:val="18"/>
                      <w:szCs w:val="18"/>
                    </w:rPr>
                  </w:pPr>
                  <w:r>
                    <w:rPr>
                      <w:sz w:val="18"/>
                      <w:szCs w:val="18"/>
                    </w:rPr>
                    <w:t>厂区内集中堆放，由环卫部门统一处理</w:t>
                  </w:r>
                </w:p>
              </w:tc>
              <w:tc>
                <w:tcPr>
                  <w:tcW w:w="1241" w:type="pct"/>
                  <w:vMerge w:val="restar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合理处置，不产生二次污染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sz w:val="18"/>
                      <w:szCs w:val="18"/>
                    </w:rPr>
                  </w:pPr>
                  <w:r>
                    <w:rPr>
                      <w:rFonts w:hint="eastAsia"/>
                      <w:sz w:val="18"/>
                      <w:szCs w:val="18"/>
                    </w:rPr>
                    <w:t>厨余垃圾和废油脂</w:t>
                  </w:r>
                </w:p>
              </w:tc>
              <w:tc>
                <w:tcPr>
                  <w:tcW w:w="2114" w:type="pct"/>
                  <w:shd w:val="clear" w:color="auto" w:fill="auto"/>
                  <w:vAlign w:val="center"/>
                </w:tcPr>
                <w:p>
                  <w:pPr>
                    <w:jc w:val="center"/>
                    <w:rPr>
                      <w:sz w:val="18"/>
                      <w:szCs w:val="18"/>
                    </w:rPr>
                  </w:pPr>
                  <w:r>
                    <w:rPr>
                      <w:rFonts w:hint="eastAsia"/>
                      <w:sz w:val="18"/>
                      <w:szCs w:val="18"/>
                    </w:rPr>
                    <w:t>厨余垃圾由环卫部门统一处理；废油脂经沉淀池收集后交由</w:t>
                  </w:r>
                  <w:r>
                    <w:rPr>
                      <w:sz w:val="18"/>
                      <w:szCs w:val="18"/>
                    </w:rPr>
                    <w:t>有资质单位处置</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布袋除尘器回收粉尘</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回收利用于生产工序</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sz w:val="18"/>
                      <w:szCs w:val="18"/>
                    </w:rPr>
                  </w:pPr>
                  <w:r>
                    <w:rPr>
                      <w:rFonts w:hint="eastAsia"/>
                      <w:sz w:val="18"/>
                      <w:szCs w:val="18"/>
                    </w:rPr>
                    <w:t>不合格石料</w:t>
                  </w:r>
                </w:p>
              </w:tc>
              <w:tc>
                <w:tcPr>
                  <w:tcW w:w="2114" w:type="pct"/>
                  <w:shd w:val="clear" w:color="auto" w:fill="auto"/>
                  <w:vAlign w:val="center"/>
                </w:tcPr>
                <w:p>
                  <w:pPr>
                    <w:jc w:val="center"/>
                    <w:rPr>
                      <w:sz w:val="18"/>
                      <w:szCs w:val="18"/>
                    </w:rPr>
                  </w:pPr>
                  <w:r>
                    <w:rPr>
                      <w:rFonts w:hint="eastAsia"/>
                      <w:sz w:val="18"/>
                      <w:szCs w:val="18"/>
                    </w:rPr>
                    <w:t>返回厂家破碎处理</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sz w:val="18"/>
                      <w:szCs w:val="18"/>
                    </w:rPr>
                  </w:pPr>
                  <w:r>
                    <w:rPr>
                      <w:rFonts w:hint="eastAsia"/>
                      <w:sz w:val="18"/>
                      <w:szCs w:val="18"/>
                    </w:rPr>
                    <w:t>滴漏沥青及拌合残渣</w:t>
                  </w:r>
                </w:p>
              </w:tc>
              <w:tc>
                <w:tcPr>
                  <w:tcW w:w="2114" w:type="pct"/>
                  <w:shd w:val="clear" w:color="auto" w:fill="auto"/>
                  <w:vAlign w:val="center"/>
                </w:tcPr>
                <w:p>
                  <w:pPr>
                    <w:jc w:val="center"/>
                    <w:rPr>
                      <w:sz w:val="18"/>
                      <w:szCs w:val="18"/>
                    </w:rPr>
                  </w:pPr>
                  <w:r>
                    <w:rPr>
                      <w:sz w:val="18"/>
                      <w:szCs w:val="18"/>
                    </w:rPr>
                    <w:t>回收利用于生产工序</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废活性炭</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暂存于厂区内单独分隔出的危废暂存间，交由有资质单位处置</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02"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457" w:type="pct"/>
                  <w:vMerge w:val="continue"/>
                  <w:shd w:val="clear" w:color="auto" w:fill="auto"/>
                  <w:vAlign w:val="center"/>
                </w:tcPr>
                <w:p>
                  <w:pPr>
                    <w:jc w:val="center"/>
                    <w:rPr>
                      <w:color w:val="000000" w:themeColor="text1"/>
                      <w:sz w:val="18"/>
                      <w:szCs w:val="18"/>
                      <w14:textFill>
                        <w14:solidFill>
                          <w14:schemeClr w14:val="tx1"/>
                        </w14:solidFill>
                      </w14:textFill>
                    </w:rPr>
                  </w:pPr>
                </w:p>
              </w:tc>
              <w:tc>
                <w:tcPr>
                  <w:tcW w:w="78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废布袋</w:t>
                  </w:r>
                </w:p>
              </w:tc>
              <w:tc>
                <w:tcPr>
                  <w:tcW w:w="2114" w:type="pct"/>
                  <w:shd w:val="clear" w:color="auto" w:fill="auto"/>
                  <w:vAlign w:val="center"/>
                </w:tcPr>
                <w:p>
                  <w:pPr>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厂家回收</w:t>
                  </w:r>
                </w:p>
              </w:tc>
              <w:tc>
                <w:tcPr>
                  <w:tcW w:w="1241" w:type="pct"/>
                  <w:vMerge w:val="continue"/>
                  <w:shd w:val="clear" w:color="auto" w:fill="auto"/>
                  <w:vAlign w:val="center"/>
                </w:tcPr>
                <w:p>
                  <w:pPr>
                    <w:jc w:val="center"/>
                    <w:rPr>
                      <w:color w:val="000000" w:themeColor="text1"/>
                      <w:sz w:val="18"/>
                      <w:szCs w:val="18"/>
                      <w14:textFill>
                        <w14:solidFill>
                          <w14:schemeClr w14:val="tx1"/>
                        </w14:solidFill>
                      </w14:textFill>
                    </w:rPr>
                  </w:pPr>
                </w:p>
              </w:tc>
            </w:tr>
          </w:tbl>
          <w:p>
            <w:pPr>
              <w:adjustRightInd w:val="0"/>
              <w:snapToGrid w:val="0"/>
              <w:spacing w:line="360" w:lineRule="auto"/>
              <w:ind w:firstLine="420" w:firstLineChars="200"/>
              <w:rPr>
                <w:bCs/>
              </w:rPr>
            </w:pPr>
            <w:r>
              <w:rPr>
                <w:bCs/>
              </w:rPr>
              <w:t>3、厂区平面布置</w:t>
            </w:r>
          </w:p>
          <w:p>
            <w:pPr>
              <w:adjustRightInd w:val="0"/>
              <w:snapToGrid w:val="0"/>
              <w:spacing w:line="360" w:lineRule="auto"/>
              <w:ind w:firstLine="420" w:firstLineChars="200"/>
              <w:rPr>
                <w:bCs/>
              </w:rPr>
            </w:pPr>
            <w:r>
              <w:rPr>
                <w:bCs/>
              </w:rPr>
              <w:t>本项目总占地面积14000m</w:t>
            </w:r>
            <w:r>
              <w:rPr>
                <w:bCs/>
                <w:vertAlign w:val="superscript"/>
              </w:rPr>
              <w:t>2</w:t>
            </w:r>
            <w:r>
              <w:rPr>
                <w:bCs/>
              </w:rPr>
              <w:t>，建筑面积1920m</w:t>
            </w:r>
            <w:r>
              <w:rPr>
                <w:bCs/>
                <w:vertAlign w:val="superscript"/>
              </w:rPr>
              <w:t>2</w:t>
            </w:r>
            <w:r>
              <w:rPr>
                <w:bCs/>
              </w:rPr>
              <w:t>，办公室位于厂区</w:t>
            </w:r>
            <w:r>
              <w:rPr>
                <w:rFonts w:hint="eastAsia"/>
                <w:bCs/>
              </w:rPr>
              <w:t>西</w:t>
            </w:r>
            <w:r>
              <w:rPr>
                <w:bCs/>
              </w:rPr>
              <w:t>北侧，沥青搅拌站位于厂区</w:t>
            </w:r>
            <w:r>
              <w:rPr>
                <w:rFonts w:hint="eastAsia"/>
                <w:bCs/>
              </w:rPr>
              <w:t>中心位置</w:t>
            </w:r>
            <w:r>
              <w:rPr>
                <w:bCs/>
              </w:rPr>
              <w:t>，东侧为碎石料仓。主要建筑物及建筑面积详见表2-2。</w:t>
            </w:r>
          </w:p>
          <w:p>
            <w:pPr>
              <w:adjustRightInd w:val="0"/>
              <w:snapToGrid w:val="0"/>
              <w:spacing w:line="360" w:lineRule="auto"/>
              <w:jc w:val="center"/>
              <w:rPr>
                <w:bCs/>
              </w:rPr>
            </w:pPr>
            <w:r>
              <w:rPr>
                <w:bCs/>
              </w:rPr>
              <w:t>表2-2  主要建筑物及其建筑面积一览表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2498"/>
              <w:gridCol w:w="3354"/>
              <w:gridCol w:w="12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序号</w:t>
                  </w:r>
                </w:p>
              </w:tc>
              <w:tc>
                <w:tcPr>
                  <w:tcW w:w="1481"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建筑物名称</w:t>
                  </w:r>
                </w:p>
              </w:tc>
              <w:tc>
                <w:tcPr>
                  <w:tcW w:w="1988"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建筑面积（m</w:t>
                  </w:r>
                  <w:r>
                    <w:rPr>
                      <w:color w:val="000000" w:themeColor="text1"/>
                      <w:sz w:val="18"/>
                      <w:szCs w:val="18"/>
                      <w:vertAlign w:val="superscript"/>
                      <w14:textFill>
                        <w14:solidFill>
                          <w14:schemeClr w14:val="tx1"/>
                        </w14:solidFill>
                      </w14:textFill>
                    </w:rPr>
                    <w:t>2</w:t>
                  </w:r>
                  <w:r>
                    <w:rPr>
                      <w:color w:val="000000" w:themeColor="text1"/>
                      <w:sz w:val="18"/>
                      <w:szCs w:val="18"/>
                      <w14:textFill>
                        <w14:solidFill>
                          <w14:schemeClr w14:val="tx1"/>
                        </w14:solidFill>
                      </w14:textFill>
                    </w:rPr>
                    <w:t>）</w:t>
                  </w:r>
                </w:p>
              </w:tc>
              <w:tc>
                <w:tcPr>
                  <w:tcW w:w="765" w:type="pct"/>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1481" w:type="pct"/>
                  <w:shd w:val="clear" w:color="auto" w:fill="auto"/>
                  <w:vAlign w:val="center"/>
                </w:tcPr>
                <w:p>
                  <w:pPr>
                    <w:adjustRightInd w:val="0"/>
                    <w:snapToGrid w:val="0"/>
                    <w:jc w:val="center"/>
                    <w:rPr>
                      <w:sz w:val="18"/>
                      <w:szCs w:val="18"/>
                    </w:rPr>
                  </w:pPr>
                  <w:r>
                    <w:rPr>
                      <w:sz w:val="18"/>
                      <w:szCs w:val="18"/>
                    </w:rPr>
                    <w:t>办公室</w:t>
                  </w:r>
                </w:p>
              </w:tc>
              <w:tc>
                <w:tcPr>
                  <w:tcW w:w="1988" w:type="pct"/>
                  <w:shd w:val="clear" w:color="auto" w:fill="auto"/>
                  <w:vAlign w:val="center"/>
                </w:tcPr>
                <w:p>
                  <w:pPr>
                    <w:adjustRightInd w:val="0"/>
                    <w:snapToGrid w:val="0"/>
                    <w:jc w:val="center"/>
                    <w:rPr>
                      <w:sz w:val="18"/>
                      <w:szCs w:val="18"/>
                    </w:rPr>
                  </w:pPr>
                  <w:r>
                    <w:rPr>
                      <w:sz w:val="18"/>
                      <w:szCs w:val="18"/>
                    </w:rPr>
                    <w:t>80</w:t>
                  </w:r>
                </w:p>
              </w:tc>
              <w:tc>
                <w:tcPr>
                  <w:tcW w:w="765" w:type="pct"/>
                  <w:vAlign w:val="center"/>
                </w:tcPr>
                <w:p>
                  <w:pPr>
                    <w:adjustRightInd w:val="0"/>
                    <w:snapToGrid w:val="0"/>
                    <w:jc w:val="center"/>
                    <w:rPr>
                      <w:sz w:val="18"/>
                      <w:szCs w:val="18"/>
                    </w:rPr>
                  </w:pP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c>
                <w:tcPr>
                  <w:tcW w:w="1481" w:type="pct"/>
                  <w:shd w:val="clear" w:color="auto" w:fill="auto"/>
                  <w:vAlign w:val="center"/>
                </w:tcPr>
                <w:p>
                  <w:pPr>
                    <w:adjustRightInd w:val="0"/>
                    <w:snapToGrid w:val="0"/>
                    <w:jc w:val="center"/>
                    <w:rPr>
                      <w:sz w:val="18"/>
                      <w:szCs w:val="18"/>
                    </w:rPr>
                  </w:pPr>
                  <w:r>
                    <w:rPr>
                      <w:sz w:val="18"/>
                      <w:szCs w:val="18"/>
                    </w:rPr>
                    <w:t>沥青搅拌站</w:t>
                  </w:r>
                </w:p>
              </w:tc>
              <w:tc>
                <w:tcPr>
                  <w:tcW w:w="1988" w:type="pct"/>
                  <w:shd w:val="clear" w:color="auto" w:fill="auto"/>
                  <w:vAlign w:val="center"/>
                </w:tcPr>
                <w:p>
                  <w:pPr>
                    <w:adjustRightInd w:val="0"/>
                    <w:snapToGrid w:val="0"/>
                    <w:jc w:val="center"/>
                    <w:rPr>
                      <w:sz w:val="18"/>
                      <w:szCs w:val="18"/>
                    </w:rPr>
                  </w:pPr>
                  <w:r>
                    <w:rPr>
                      <w:sz w:val="18"/>
                      <w:szCs w:val="18"/>
                    </w:rPr>
                    <w:t>800</w:t>
                  </w:r>
                </w:p>
              </w:tc>
              <w:tc>
                <w:tcPr>
                  <w:tcW w:w="765" w:type="pct"/>
                  <w:vAlign w:val="center"/>
                </w:tcPr>
                <w:p>
                  <w:pPr>
                    <w:adjustRightInd w:val="0"/>
                    <w:snapToGrid w:val="0"/>
                    <w:jc w:val="center"/>
                    <w:rPr>
                      <w:sz w:val="18"/>
                      <w:szCs w:val="18"/>
                    </w:rPr>
                  </w:pP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w:t>
                  </w:r>
                </w:p>
              </w:tc>
              <w:tc>
                <w:tcPr>
                  <w:tcW w:w="1481" w:type="pct"/>
                  <w:shd w:val="clear" w:color="auto" w:fill="auto"/>
                  <w:vAlign w:val="center"/>
                </w:tcPr>
                <w:p>
                  <w:pPr>
                    <w:adjustRightInd w:val="0"/>
                    <w:snapToGrid w:val="0"/>
                    <w:jc w:val="center"/>
                    <w:rPr>
                      <w:sz w:val="18"/>
                      <w:szCs w:val="18"/>
                    </w:rPr>
                  </w:pPr>
                  <w:r>
                    <w:rPr>
                      <w:sz w:val="18"/>
                      <w:szCs w:val="18"/>
                    </w:rPr>
                    <w:t>碎石料仓</w:t>
                  </w:r>
                </w:p>
              </w:tc>
              <w:tc>
                <w:tcPr>
                  <w:tcW w:w="1988" w:type="pct"/>
                  <w:shd w:val="clear" w:color="auto" w:fill="auto"/>
                  <w:vAlign w:val="center"/>
                </w:tcPr>
                <w:p>
                  <w:pPr>
                    <w:adjustRightInd w:val="0"/>
                    <w:snapToGrid w:val="0"/>
                    <w:jc w:val="center"/>
                    <w:rPr>
                      <w:sz w:val="18"/>
                      <w:szCs w:val="18"/>
                    </w:rPr>
                  </w:pPr>
                  <w:r>
                    <w:rPr>
                      <w:sz w:val="18"/>
                      <w:szCs w:val="18"/>
                    </w:rPr>
                    <w:t>1000</w:t>
                  </w:r>
                </w:p>
              </w:tc>
              <w:tc>
                <w:tcPr>
                  <w:tcW w:w="765" w:type="pct"/>
                  <w:vAlign w:val="center"/>
                </w:tcPr>
                <w:p>
                  <w:pPr>
                    <w:adjustRightInd w:val="0"/>
                    <w:snapToGrid w:val="0"/>
                    <w:jc w:val="center"/>
                    <w:rPr>
                      <w:sz w:val="18"/>
                      <w:szCs w:val="18"/>
                    </w:rPr>
                  </w:pPr>
                  <w:r>
                    <w:rPr>
                      <w:rFonts w:hint="eastAsia"/>
                      <w:sz w:val="18"/>
                      <w:szCs w:val="18"/>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p>
              </w:tc>
              <w:tc>
                <w:tcPr>
                  <w:tcW w:w="1481" w:type="pct"/>
                  <w:shd w:val="clear" w:color="auto" w:fill="auto"/>
                  <w:vAlign w:val="center"/>
                </w:tcPr>
                <w:p>
                  <w:pPr>
                    <w:adjustRightInd w:val="0"/>
                    <w:snapToGrid w:val="0"/>
                    <w:jc w:val="center"/>
                    <w:rPr>
                      <w:sz w:val="18"/>
                      <w:szCs w:val="18"/>
                    </w:rPr>
                  </w:pPr>
                  <w:r>
                    <w:rPr>
                      <w:rFonts w:hint="eastAsia"/>
                      <w:sz w:val="18"/>
                      <w:szCs w:val="18"/>
                    </w:rPr>
                    <w:t>防渗旱厕</w:t>
                  </w:r>
                </w:p>
              </w:tc>
              <w:tc>
                <w:tcPr>
                  <w:tcW w:w="1988" w:type="pct"/>
                  <w:shd w:val="clear" w:color="auto" w:fill="auto"/>
                  <w:vAlign w:val="center"/>
                </w:tcPr>
                <w:p>
                  <w:pPr>
                    <w:adjustRightInd w:val="0"/>
                    <w:snapToGrid w:val="0"/>
                    <w:jc w:val="center"/>
                    <w:rPr>
                      <w:sz w:val="18"/>
                      <w:szCs w:val="18"/>
                    </w:rPr>
                  </w:pPr>
                  <w:r>
                    <w:rPr>
                      <w:rFonts w:hint="eastAsia"/>
                      <w:sz w:val="18"/>
                      <w:szCs w:val="18"/>
                    </w:rPr>
                    <w:t>2</w:t>
                  </w:r>
                  <w:r>
                    <w:rPr>
                      <w:sz w:val="18"/>
                      <w:szCs w:val="18"/>
                    </w:rPr>
                    <w:t>0</w:t>
                  </w:r>
                </w:p>
              </w:tc>
              <w:tc>
                <w:tcPr>
                  <w:tcW w:w="765" w:type="pct"/>
                  <w:vAlign w:val="center"/>
                </w:tcPr>
                <w:p>
                  <w:pPr>
                    <w:adjustRightInd w:val="0"/>
                    <w:snapToGrid w:val="0"/>
                    <w:jc w:val="center"/>
                    <w:rPr>
                      <w:sz w:val="18"/>
                      <w:szCs w:val="18"/>
                    </w:rPr>
                  </w:pPr>
                  <w:r>
                    <w:rPr>
                      <w:rFonts w:hint="eastAsia"/>
                      <w:sz w:val="18"/>
                      <w:szCs w:val="18"/>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1481" w:type="pct"/>
                  <w:shd w:val="clear" w:color="auto" w:fill="auto"/>
                  <w:vAlign w:val="center"/>
                </w:tcPr>
                <w:p>
                  <w:pPr>
                    <w:adjustRightInd w:val="0"/>
                    <w:snapToGrid w:val="0"/>
                    <w:jc w:val="center"/>
                    <w:rPr>
                      <w:sz w:val="18"/>
                      <w:szCs w:val="18"/>
                    </w:rPr>
                  </w:pPr>
                  <w:r>
                    <w:rPr>
                      <w:rFonts w:hint="eastAsia"/>
                      <w:sz w:val="18"/>
                      <w:szCs w:val="18"/>
                    </w:rPr>
                    <w:t>危废暂存间</w:t>
                  </w:r>
                </w:p>
              </w:tc>
              <w:tc>
                <w:tcPr>
                  <w:tcW w:w="1988" w:type="pct"/>
                  <w:shd w:val="clear" w:color="auto" w:fill="auto"/>
                  <w:vAlign w:val="center"/>
                </w:tcPr>
                <w:p>
                  <w:pPr>
                    <w:adjustRightInd w:val="0"/>
                    <w:snapToGrid w:val="0"/>
                    <w:jc w:val="center"/>
                    <w:rPr>
                      <w:sz w:val="18"/>
                      <w:szCs w:val="18"/>
                    </w:rPr>
                  </w:pPr>
                  <w:r>
                    <w:rPr>
                      <w:rFonts w:hint="eastAsia"/>
                      <w:sz w:val="18"/>
                      <w:szCs w:val="18"/>
                    </w:rPr>
                    <w:t>2</w:t>
                  </w:r>
                  <w:r>
                    <w:rPr>
                      <w:sz w:val="18"/>
                      <w:szCs w:val="18"/>
                    </w:rPr>
                    <w:t>0</w:t>
                  </w:r>
                </w:p>
              </w:tc>
              <w:tc>
                <w:tcPr>
                  <w:tcW w:w="765" w:type="pct"/>
                  <w:vAlign w:val="center"/>
                </w:tcPr>
                <w:p>
                  <w:pPr>
                    <w:adjustRightInd w:val="0"/>
                    <w:snapToGrid w:val="0"/>
                    <w:jc w:val="center"/>
                    <w:rPr>
                      <w:sz w:val="18"/>
                      <w:szCs w:val="18"/>
                    </w:rPr>
                  </w:pPr>
                  <w:r>
                    <w:rPr>
                      <w:rFonts w:hint="eastAsia"/>
                      <w:sz w:val="18"/>
                      <w:szCs w:val="18"/>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765" w:type="pct"/>
                  <w:shd w:val="clear" w:color="auto" w:fill="auto"/>
                  <w:vAlign w:val="center"/>
                </w:tcPr>
                <w:p>
                  <w:pPr>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合计</w:t>
                  </w:r>
                </w:p>
              </w:tc>
              <w:tc>
                <w:tcPr>
                  <w:tcW w:w="1481" w:type="pct"/>
                  <w:shd w:val="clear" w:color="auto" w:fill="auto"/>
                  <w:vAlign w:val="center"/>
                </w:tcPr>
                <w:p>
                  <w:pPr>
                    <w:adjustRightInd w:val="0"/>
                    <w:snapToGrid w:val="0"/>
                    <w:jc w:val="center"/>
                    <w:rPr>
                      <w:sz w:val="18"/>
                      <w:szCs w:val="18"/>
                    </w:rPr>
                  </w:pPr>
                </w:p>
              </w:tc>
              <w:tc>
                <w:tcPr>
                  <w:tcW w:w="1988" w:type="pct"/>
                  <w:shd w:val="clear" w:color="auto" w:fill="auto"/>
                  <w:vAlign w:val="center"/>
                </w:tcPr>
                <w:p>
                  <w:pPr>
                    <w:adjustRightInd w:val="0"/>
                    <w:snapToGrid w:val="0"/>
                    <w:jc w:val="center"/>
                    <w:rPr>
                      <w:sz w:val="18"/>
                      <w:szCs w:val="18"/>
                    </w:rPr>
                  </w:pPr>
                  <w:r>
                    <w:rPr>
                      <w:bCs/>
                      <w:sz w:val="18"/>
                      <w:szCs w:val="18"/>
                    </w:rPr>
                    <w:t>1920</w:t>
                  </w:r>
                </w:p>
              </w:tc>
              <w:tc>
                <w:tcPr>
                  <w:tcW w:w="765" w:type="pct"/>
                  <w:vAlign w:val="center"/>
                </w:tcPr>
                <w:p>
                  <w:pPr>
                    <w:adjustRightInd w:val="0"/>
                    <w:snapToGrid w:val="0"/>
                    <w:jc w:val="center"/>
                    <w:rPr>
                      <w:sz w:val="18"/>
                      <w:szCs w:val="18"/>
                    </w:rPr>
                  </w:pPr>
                </w:p>
              </w:tc>
            </w:tr>
          </w:tbl>
          <w:p>
            <w:pPr>
              <w:adjustRightInd w:val="0"/>
              <w:snapToGrid w:val="0"/>
              <w:spacing w:line="360" w:lineRule="auto"/>
              <w:ind w:firstLine="420" w:firstLineChars="200"/>
              <w:rPr>
                <w:bCs/>
              </w:rPr>
            </w:pPr>
            <w:r>
              <w:rPr>
                <w:bCs/>
              </w:rPr>
              <w:t>4、产品方案与规模</w:t>
            </w:r>
          </w:p>
          <w:p>
            <w:pPr>
              <w:adjustRightInd w:val="0"/>
              <w:snapToGrid w:val="0"/>
              <w:spacing w:line="360" w:lineRule="auto"/>
              <w:ind w:firstLine="420" w:firstLineChars="200"/>
              <w:rPr>
                <w:bCs/>
                <w:color w:val="auto"/>
              </w:rPr>
            </w:pPr>
            <w:r>
              <w:rPr>
                <w:bCs/>
              </w:rPr>
              <w:t>本项目</w:t>
            </w:r>
            <w:r>
              <w:rPr>
                <w:rFonts w:hint="eastAsia"/>
                <w:bCs/>
              </w:rPr>
              <w:t>建设</w:t>
            </w:r>
            <w:r>
              <w:rPr>
                <w:bCs/>
              </w:rPr>
              <w:t>一条沥青混凝土</w:t>
            </w:r>
            <w:r>
              <w:rPr>
                <w:bCs/>
                <w:color w:val="auto"/>
              </w:rPr>
              <w:t>生产线，</w:t>
            </w:r>
            <w:r>
              <w:rPr>
                <w:rFonts w:hint="eastAsia"/>
                <w:bCs/>
                <w:color w:val="auto"/>
                <w:lang w:val="en-US" w:eastAsia="zh-CN"/>
              </w:rPr>
              <w:t>设计生产能力</w:t>
            </w:r>
            <w:r>
              <w:rPr>
                <w:bCs/>
                <w:color w:val="auto"/>
              </w:rPr>
              <w:t>年产80000吨</w:t>
            </w:r>
            <w:r>
              <w:rPr>
                <w:rFonts w:hint="eastAsia"/>
                <w:bCs/>
                <w:color w:val="auto"/>
              </w:rPr>
              <w:t>。</w:t>
            </w:r>
            <w:r>
              <w:rPr>
                <w:bCs/>
                <w:color w:val="auto"/>
              </w:rPr>
              <w:t xml:space="preserve"> </w:t>
            </w:r>
          </w:p>
          <w:p>
            <w:pPr>
              <w:adjustRightInd w:val="0"/>
              <w:snapToGrid w:val="0"/>
              <w:spacing w:line="360" w:lineRule="auto"/>
              <w:ind w:firstLine="420" w:firstLineChars="200"/>
              <w:rPr>
                <w:bCs/>
              </w:rPr>
            </w:pPr>
            <w:r>
              <w:rPr>
                <w:bCs/>
              </w:rPr>
              <w:t>5、主要设备</w:t>
            </w:r>
          </w:p>
          <w:p>
            <w:pPr>
              <w:adjustRightInd w:val="0"/>
              <w:snapToGrid w:val="0"/>
              <w:spacing w:line="360" w:lineRule="auto"/>
              <w:ind w:firstLine="420" w:firstLineChars="200"/>
              <w:rPr>
                <w:bCs/>
              </w:rPr>
            </w:pPr>
            <w:r>
              <w:rPr>
                <w:bCs/>
              </w:rPr>
              <w:t>本项目主要设备详见表2-3。</w:t>
            </w:r>
          </w:p>
          <w:p>
            <w:pPr>
              <w:adjustRightInd w:val="0"/>
              <w:snapToGrid w:val="0"/>
              <w:spacing w:line="360" w:lineRule="auto"/>
              <w:jc w:val="center"/>
              <w:rPr>
                <w:bCs/>
              </w:rPr>
            </w:pPr>
            <w:r>
              <w:rPr>
                <w:bCs/>
              </w:rPr>
              <w:t>表2-3  本项目主要生产设备一览表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3004"/>
              <w:gridCol w:w="3473"/>
              <w:gridCol w:w="720"/>
              <w:gridCol w:w="6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序号</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设备名称</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规格</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单位</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冷料斗</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单斗容积16m</w:t>
                  </w:r>
                  <w:r>
                    <w:rPr>
                      <w:color w:val="000000" w:themeColor="text1"/>
                      <w:sz w:val="18"/>
                      <w:szCs w:val="18"/>
                      <w:vertAlign w:val="superscript"/>
                      <w14:textFill>
                        <w14:solidFill>
                          <w14:schemeClr w14:val="tx1"/>
                        </w14:solidFill>
                      </w14:textFill>
                    </w:rPr>
                    <w:t>3</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皮带给料机</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功率2.2KW</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集料平皮带输送机</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输送能力≥170t/h，宽度700mm</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台</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斜皮带输送机</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输送能力≥170t/h，宽度600mm</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台</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烘干滚筒</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φ2.3m×7.5m</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主燃烧器</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热骨料提升机</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提升能力≥170t/h，电机功率22KW</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8</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rFonts w:hint="eastAsia"/>
                      <w:bCs/>
                      <w:color w:val="000000"/>
                      <w:sz w:val="18"/>
                      <w:szCs w:val="18"/>
                    </w:rPr>
                    <w:t>振动筛</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sz w:val="18"/>
                      <w:szCs w:val="18"/>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sz w:val="18"/>
                      <w:szCs w:val="18"/>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9</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热骨料仓</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热骨计量秤</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称量范围0kg-2500kg</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11</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沥青计量秤</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称量范围0kg-500kg</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12</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搅拌缸</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13</w:t>
                  </w:r>
                </w:p>
              </w:tc>
              <w:tc>
                <w:tcPr>
                  <w:tcW w:w="1781" w:type="pct"/>
                  <w:tcBorders>
                    <w:tl2br w:val="nil"/>
                    <w:tr2bl w:val="nil"/>
                  </w:tcBorders>
                  <w:vAlign w:val="center"/>
                </w:tcPr>
                <w:p>
                  <w:pPr>
                    <w:tabs>
                      <w:tab w:val="left" w:pos="2730"/>
                    </w:tabs>
                    <w:adjustRightInd w:val="0"/>
                    <w:snapToGrid w:val="0"/>
                    <w:jc w:val="center"/>
                    <w:rPr>
                      <w:bCs/>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保温沥青罐</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容量50t</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14</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沥青接卸槽</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容量50t</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15</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导热油炉</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布袋除尘器</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除尘效率99%以上</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17</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脱硝设备</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8</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引风机</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功率110kw风量40000m³/h</w:t>
                  </w: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个</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5"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9</w:t>
                  </w:r>
                </w:p>
              </w:tc>
              <w:tc>
                <w:tcPr>
                  <w:tcW w:w="1781"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控制系统</w:t>
                  </w:r>
                </w:p>
              </w:tc>
              <w:tc>
                <w:tcPr>
                  <w:tcW w:w="2059"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p>
              </w:tc>
              <w:tc>
                <w:tcPr>
                  <w:tcW w:w="427"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套</w:t>
                  </w:r>
                </w:p>
              </w:tc>
              <w:tc>
                <w:tcPr>
                  <w:tcW w:w="368" w:type="pct"/>
                  <w:tcBorders>
                    <w:tl2br w:val="nil"/>
                    <w:tr2bl w:val="nil"/>
                  </w:tcBorders>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r>
          </w:tbl>
          <w:p>
            <w:pPr>
              <w:adjustRightInd w:val="0"/>
              <w:snapToGrid w:val="0"/>
              <w:spacing w:line="360" w:lineRule="auto"/>
              <w:ind w:firstLine="420" w:firstLineChars="200"/>
              <w:rPr>
                <w:bCs/>
              </w:rPr>
            </w:pPr>
            <w:r>
              <w:rPr>
                <w:bCs/>
              </w:rPr>
              <w:t>6、项目投资情况</w:t>
            </w:r>
          </w:p>
          <w:p>
            <w:pPr>
              <w:adjustRightInd w:val="0"/>
              <w:snapToGrid w:val="0"/>
              <w:spacing w:line="360" w:lineRule="auto"/>
              <w:ind w:firstLine="420" w:firstLineChars="200"/>
              <w:rPr>
                <w:bCs/>
              </w:rPr>
            </w:pPr>
            <w:r>
              <w:rPr>
                <w:bCs/>
              </w:rPr>
              <w:t>本项目总投资300万元，全部为企业自筹。</w:t>
            </w:r>
          </w:p>
          <w:p>
            <w:pPr>
              <w:adjustRightInd w:val="0"/>
              <w:snapToGrid w:val="0"/>
              <w:spacing w:line="360" w:lineRule="auto"/>
              <w:ind w:firstLine="420" w:firstLineChars="200"/>
              <w:rPr>
                <w:bCs/>
              </w:rPr>
            </w:pPr>
            <w:r>
              <w:rPr>
                <w:bCs/>
              </w:rPr>
              <w:t>7、原辅材料消耗情况</w:t>
            </w:r>
          </w:p>
          <w:p>
            <w:pPr>
              <w:adjustRightInd w:val="0"/>
              <w:snapToGrid w:val="0"/>
              <w:spacing w:line="360" w:lineRule="auto"/>
              <w:ind w:firstLine="420" w:firstLineChars="200"/>
              <w:rPr>
                <w:bCs/>
              </w:rPr>
            </w:pPr>
            <w:r>
              <w:rPr>
                <w:bCs/>
              </w:rPr>
              <w:t>本项目生产过程中原辅材料主要有沥青、石料等，原辅材料消耗量及厂区内储存方式详见表2-4。</w:t>
            </w:r>
          </w:p>
          <w:p>
            <w:pPr>
              <w:adjustRightInd w:val="0"/>
              <w:snapToGrid w:val="0"/>
              <w:spacing w:line="360" w:lineRule="auto"/>
              <w:jc w:val="center"/>
              <w:rPr>
                <w:bCs/>
              </w:rPr>
            </w:pPr>
            <w:r>
              <w:rPr>
                <w:bCs/>
              </w:rPr>
              <w:t>表2-4  本项目原辅材料消耗及储存情况一览表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2071"/>
              <w:gridCol w:w="953"/>
              <w:gridCol w:w="1208"/>
              <w:gridCol w:w="921"/>
              <w:gridCol w:w="2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序号</w:t>
                  </w:r>
                </w:p>
              </w:tc>
              <w:tc>
                <w:tcPr>
                  <w:tcW w:w="1228"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原辅材料名称</w:t>
                  </w:r>
                </w:p>
              </w:tc>
              <w:tc>
                <w:tcPr>
                  <w:tcW w:w="565"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单位</w:t>
                  </w:r>
                </w:p>
              </w:tc>
              <w:tc>
                <w:tcPr>
                  <w:tcW w:w="71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消耗量</w:t>
                  </w:r>
                </w:p>
              </w:tc>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来源</w:t>
                  </w:r>
                </w:p>
              </w:tc>
              <w:tc>
                <w:tcPr>
                  <w:tcW w:w="1399"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厂区内储存方式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1228"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沥青</w:t>
                  </w:r>
                </w:p>
              </w:tc>
              <w:tc>
                <w:tcPr>
                  <w:tcW w:w="565"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t/a</w:t>
                  </w:r>
                </w:p>
              </w:tc>
              <w:tc>
                <w:tcPr>
                  <w:tcW w:w="71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300</w:t>
                  </w:r>
                </w:p>
              </w:tc>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外购</w:t>
                  </w:r>
                </w:p>
              </w:tc>
              <w:tc>
                <w:tcPr>
                  <w:tcW w:w="1399"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罐装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c>
                <w:tcPr>
                  <w:tcW w:w="1228"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石料</w:t>
                  </w:r>
                </w:p>
              </w:tc>
              <w:tc>
                <w:tcPr>
                  <w:tcW w:w="565"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t/a</w:t>
                  </w:r>
                </w:p>
              </w:tc>
              <w:tc>
                <w:tcPr>
                  <w:tcW w:w="71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10000</w:t>
                  </w:r>
                </w:p>
              </w:tc>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外购</w:t>
                  </w:r>
                </w:p>
              </w:tc>
              <w:tc>
                <w:tcPr>
                  <w:tcW w:w="1399"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碎石料仓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w:t>
                  </w:r>
                </w:p>
              </w:tc>
              <w:tc>
                <w:tcPr>
                  <w:tcW w:w="1228"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柴油</w:t>
                  </w:r>
                </w:p>
              </w:tc>
              <w:tc>
                <w:tcPr>
                  <w:tcW w:w="565"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t/a</w:t>
                  </w:r>
                </w:p>
              </w:tc>
              <w:tc>
                <w:tcPr>
                  <w:tcW w:w="71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40</w:t>
                  </w:r>
                </w:p>
              </w:tc>
              <w:tc>
                <w:tcPr>
                  <w:tcW w:w="546"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外购</w:t>
                  </w:r>
                </w:p>
              </w:tc>
              <w:tc>
                <w:tcPr>
                  <w:tcW w:w="1399" w:type="pct"/>
                  <w:vAlign w:val="center"/>
                </w:tcPr>
                <w:p>
                  <w:pPr>
                    <w:tabs>
                      <w:tab w:val="left" w:pos="2730"/>
                    </w:tabs>
                    <w:adjustRightInd w:val="0"/>
                    <w:snapToGrid w:val="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现用现运，不在厂区内储存</w:t>
                  </w:r>
                </w:p>
              </w:tc>
            </w:tr>
          </w:tbl>
          <w:p>
            <w:pPr>
              <w:adjustRightInd w:val="0"/>
              <w:snapToGrid w:val="0"/>
              <w:spacing w:line="360" w:lineRule="auto"/>
              <w:ind w:firstLine="420" w:firstLineChars="200"/>
              <w:rPr>
                <w:bCs/>
              </w:rPr>
            </w:pPr>
            <w:r>
              <w:rPr>
                <w:bCs/>
              </w:rPr>
              <w:t>原辅材料理化性质：</w:t>
            </w:r>
          </w:p>
          <w:p>
            <w:pPr>
              <w:adjustRightInd w:val="0"/>
              <w:snapToGrid w:val="0"/>
              <w:spacing w:line="360" w:lineRule="auto"/>
              <w:ind w:firstLine="420" w:firstLineChars="200"/>
              <w:rPr>
                <w:bCs/>
              </w:rPr>
            </w:pPr>
            <w:r>
              <w:rPr>
                <w:bCs/>
              </w:rPr>
              <w:t>（1）沥青</w:t>
            </w:r>
          </w:p>
          <w:p>
            <w:pPr>
              <w:adjustRightInd w:val="0"/>
              <w:snapToGrid w:val="0"/>
              <w:spacing w:line="360" w:lineRule="auto"/>
              <w:ind w:firstLine="420" w:firstLineChars="200"/>
              <w:rPr>
                <w:bCs/>
              </w:rPr>
            </w:pPr>
            <w:r>
              <w:rPr>
                <w:bCs/>
              </w:rPr>
              <w:t>沥青是由不同分子量的碳氢化合物及其非金属衍生物组成的黑褐色复杂混合物，是高黏度有机液体的一种，多会以液体或半固体的石油形态存在，表面呈黑色，可溶于二硫化碳、四氯化碳，是一种防水防潮和防腐的有机胶凝材料。密度为1.15-1.25g/cm</w:t>
            </w:r>
            <w:r>
              <w:rPr>
                <w:bCs/>
                <w:vertAlign w:val="superscript"/>
              </w:rPr>
              <w:t>3</w:t>
            </w:r>
            <w:r>
              <w:rPr>
                <w:bCs/>
              </w:rPr>
              <w:t>，闪点为204.4℃，无固定熔点且不溶于水。</w:t>
            </w:r>
          </w:p>
          <w:p>
            <w:pPr>
              <w:adjustRightInd w:val="0"/>
              <w:snapToGrid w:val="0"/>
              <w:spacing w:line="360" w:lineRule="auto"/>
              <w:ind w:firstLine="420" w:firstLineChars="200"/>
              <w:rPr>
                <w:bCs/>
              </w:rPr>
            </w:pPr>
            <w:r>
              <w:rPr>
                <w:bCs/>
              </w:rPr>
              <w:t>沥青主要可以分为煤焦沥青、石油沥青和天然沥青三种：其中，煤焦沥青是炼焦的副产品；石油沥青是原油蒸馏后的残渣；天然沥青则是储藏在地下，有的形成矿层或在地壳表面堆积。沥青主要用于涂料、塑料、橡胶等工业以及铺筑路面等。</w:t>
            </w:r>
          </w:p>
          <w:p>
            <w:pPr>
              <w:adjustRightInd w:val="0"/>
              <w:snapToGrid w:val="0"/>
              <w:spacing w:line="360" w:lineRule="auto"/>
              <w:ind w:firstLine="420" w:firstLineChars="200"/>
              <w:rPr>
                <w:bCs/>
              </w:rPr>
            </w:pPr>
            <w:r>
              <w:rPr>
                <w:bCs/>
              </w:rPr>
              <w:t>沥青烟气中含有多种有机物，包括碳环烃、环烃衍生物及其它化合物，有不少对人身健康有危害作用，沥青烟中含有苯并芘等多种多环芳烃类物质，且大多是致癌和强致癌物质，粒径多在0.1一1.0μm之间，最小的仅0.01μm，最大的约为10.0μm，尤其是以3,4-苯并芘为代表的多种致癌物质。沥青及其烟气对皮肤粘膜具有刺激性，有光毒作用和致肿瘤作用。沥青的主要皮肤损害有：光毒性皮炎，皮损限于面、颈部等暴露部分；黑变病，皮损常对称分布，暴露部位呈片状，呈褐—深褐—褐黑色；职业性座疮；疵状赘生物及事故引起的热烧伤。此外，尚有头昏、头胀，头痛、胸闷、乏力、恶心，食欲不振等全身症状和眼、鼻、咽部的刺激症状。全身症状：闻及沥青嗅味后，可出现头昏、头胀、头疼、胸闷、乏力、恶心或咳嗽、心悸、耳鸣等不适，以在烈日下操作时为甚，脱离接触症状常迅速缓解，严重时可伴发热。</w:t>
            </w:r>
          </w:p>
          <w:p>
            <w:pPr>
              <w:adjustRightInd w:val="0"/>
              <w:snapToGrid w:val="0"/>
              <w:spacing w:line="360" w:lineRule="auto"/>
              <w:ind w:firstLine="420" w:firstLineChars="200"/>
              <w:rPr>
                <w:bCs/>
              </w:rPr>
            </w:pPr>
            <w:r>
              <w:rPr>
                <w:bCs/>
              </w:rPr>
              <w:t>（2）柴油</w:t>
            </w:r>
          </w:p>
          <w:p>
            <w:pPr>
              <w:adjustRightInd w:val="0"/>
              <w:snapToGrid w:val="0"/>
              <w:spacing w:line="360" w:lineRule="auto"/>
              <w:ind w:firstLine="420" w:firstLineChars="200"/>
              <w:rPr>
                <w:bCs/>
              </w:rPr>
            </w:pPr>
            <w:r>
              <w:rPr>
                <w:bCs/>
              </w:rPr>
              <w:t>柴油是轻质石油产品，复杂烃类(碳原子数约10～22)混合物，主要由原油蒸馏、催化裂化、热裂化、加氢裂化、石油焦化等过程生产的柴油馏分调配而成；也可由页岩油加工和煤液化制取。外观为稍有粘性的棕色液体，易燃易挥发，不溶于水，易溶于醇和其他有机溶剂。熔点：-18℃，沸点：282-338℃，相对密度一般在0.87-0.9，热值为3.3*10^7J/L，为柴油机燃料。</w:t>
            </w:r>
          </w:p>
          <w:p>
            <w:pPr>
              <w:adjustRightInd w:val="0"/>
              <w:snapToGrid w:val="0"/>
              <w:spacing w:line="360" w:lineRule="auto"/>
              <w:ind w:firstLine="420" w:firstLineChars="200"/>
              <w:rPr>
                <w:bCs/>
              </w:rPr>
            </w:pPr>
            <w:r>
              <w:rPr>
                <w:bCs/>
              </w:rPr>
              <w:t>柴油遇明火、高热或与氧化剂接触，有引起燃烧爆炸的危险。本品对人体侵入途径以皮肤吸收为主、呼吸道吸入，柴油的雾滴吸入后可致吸入性肺炎；皮肤接触柴油可致接触性皮炎，多见于两手、腕部与前臂；可致急性肾脏损伤；柴油废气可引起眼、鼻刺激症状，头晕及头痛。内燃机燃烧柴油所产生的废气常能严重污染环境，废气中含有氮氧化物、一氧化碳、二氧化碳、醛类和不完全燃烧时的大量黑烟，黑烟中有未经燃烧的油雾、碳粒，一些高沸点的杂环和芳烃物质，并有些致癌物如3.4-苯并芘。</w:t>
            </w:r>
          </w:p>
          <w:p>
            <w:pPr>
              <w:adjustRightInd w:val="0"/>
              <w:snapToGrid w:val="0"/>
              <w:spacing w:line="360" w:lineRule="auto"/>
              <w:ind w:firstLine="420" w:firstLineChars="200"/>
              <w:rPr>
                <w:bCs/>
              </w:rPr>
            </w:pPr>
            <w:r>
              <w:rPr>
                <w:bCs/>
              </w:rPr>
              <w:t>柴油应储存于阴凉、通风的库房，远离火种、热源。应与氧化剂、卤素分开存放，切忌混储。采用防爆型照明、通风设施，禁止使用易产生火花的机械设备和工具，储区应备有泄露应急处理设备和核实的收容材料。</w:t>
            </w:r>
          </w:p>
          <w:p>
            <w:pPr>
              <w:adjustRightInd w:val="0"/>
              <w:snapToGrid w:val="0"/>
              <w:spacing w:line="360" w:lineRule="auto"/>
              <w:ind w:firstLine="420" w:firstLineChars="200"/>
              <w:rPr>
                <w:bCs/>
              </w:rPr>
            </w:pPr>
            <w:r>
              <w:rPr>
                <w:bCs/>
              </w:rPr>
              <w:t>如皮肤进行接触后，立即脱去污染的衣着，用肥皂水和清水彻底冲洗皮肤，就医；眼睛接触后，提起眼睑，用流动清水或生理盐水冲洗，就医；如不慎吸入，迅速脱离现场至空气新鲜处，保持呼吸道通畅，如呼吸困难，输氧，如呼吸停止，立即进行人工呼吸并就医；如不慎食入，尽快彻底洗胃并就医。</w:t>
            </w:r>
          </w:p>
          <w:p>
            <w:pPr>
              <w:adjustRightInd w:val="0"/>
              <w:snapToGrid w:val="0"/>
              <w:spacing w:line="360" w:lineRule="auto"/>
              <w:ind w:firstLine="420" w:firstLineChars="200"/>
            </w:pPr>
            <w:r>
              <w:rPr>
                <w:bCs/>
              </w:rPr>
              <w:t>发生泄露时，迅速撤离泄漏污染区人员至安全区，并进行隔离，严格限制出入，同时切断火源。建议应急处理人员戴自给正压式呼吸器，穿一般作业工作服，尽可能切断泄露源，防止流入下水道、排洪沟等限制性空间。小量泄露时，用活性炭或其他惰性材料吸收；大量泄露时应构筑围堰或挖坑收容，用泵转移至槽车或专用收集器内，回收或运至废物处理场所处置。</w:t>
            </w:r>
          </w:p>
          <w:p>
            <w:pPr>
              <w:adjustRightInd w:val="0"/>
              <w:snapToGrid w:val="0"/>
              <w:spacing w:line="360" w:lineRule="auto"/>
              <w:ind w:firstLine="420" w:firstLineChars="200"/>
              <w:rPr>
                <w:bCs/>
              </w:rPr>
            </w:pPr>
            <w:r>
              <w:rPr>
                <w:bCs/>
              </w:rPr>
              <w:t>8、公用工程</w:t>
            </w:r>
          </w:p>
          <w:p>
            <w:pPr>
              <w:adjustRightInd w:val="0"/>
              <w:snapToGrid w:val="0"/>
              <w:spacing w:line="360" w:lineRule="auto"/>
              <w:ind w:firstLine="420" w:firstLineChars="200"/>
              <w:rPr>
                <w:bCs/>
              </w:rPr>
            </w:pPr>
            <w:r>
              <w:rPr>
                <w:bCs/>
              </w:rPr>
              <w:t>（1）给水</w:t>
            </w:r>
          </w:p>
          <w:p>
            <w:pPr>
              <w:adjustRightInd w:val="0"/>
              <w:snapToGrid w:val="0"/>
              <w:spacing w:line="360" w:lineRule="auto"/>
              <w:ind w:firstLine="420" w:firstLineChars="200"/>
              <w:rPr>
                <w:bCs/>
              </w:rPr>
            </w:pPr>
            <w:r>
              <w:rPr>
                <w:bCs/>
              </w:rPr>
              <w:t>本项目给水水源为</w:t>
            </w:r>
            <w:r>
              <w:rPr>
                <w:rFonts w:hint="eastAsia"/>
                <w:bCs/>
              </w:rPr>
              <w:t>山泉水</w:t>
            </w:r>
            <w:r>
              <w:rPr>
                <w:bCs/>
              </w:rPr>
              <w:t>，</w:t>
            </w:r>
            <w:r>
              <w:rPr>
                <w:rFonts w:hint="eastAsia"/>
                <w:bCs/>
              </w:rPr>
              <w:t>项目生产不用水，</w:t>
            </w:r>
            <w:r>
              <w:rPr>
                <w:bCs/>
              </w:rPr>
              <w:t>用水主要为职工生活用水和洒水降尘用水。</w:t>
            </w:r>
          </w:p>
          <w:p>
            <w:pPr>
              <w:adjustRightInd w:val="0"/>
              <w:snapToGrid w:val="0"/>
              <w:spacing w:line="360" w:lineRule="auto"/>
              <w:ind w:firstLine="420" w:firstLineChars="200"/>
              <w:rPr>
                <w:bCs/>
              </w:rPr>
            </w:pPr>
            <w:r>
              <w:rPr>
                <w:bCs/>
              </w:rPr>
              <w:t>生活用水：生活用水按每人30L/d计</w:t>
            </w:r>
            <w:r>
              <w:rPr>
                <w:rFonts w:hint="eastAsia"/>
                <w:bCs/>
              </w:rPr>
              <w:t>（包括食堂用水）</w:t>
            </w:r>
            <w:r>
              <w:rPr>
                <w:bCs/>
              </w:rPr>
              <w:t>，本项目职工共8人，则生活用水量为0.24m</w:t>
            </w:r>
            <w:r>
              <w:rPr>
                <w:bCs/>
                <w:vertAlign w:val="superscript"/>
              </w:rPr>
              <w:t>3</w:t>
            </w:r>
            <w:r>
              <w:rPr>
                <w:bCs/>
              </w:rPr>
              <w:t>/d（14.4 m</w:t>
            </w:r>
            <w:r>
              <w:rPr>
                <w:bCs/>
                <w:vertAlign w:val="superscript"/>
              </w:rPr>
              <w:t>3</w:t>
            </w:r>
            <w:r>
              <w:rPr>
                <w:bCs/>
              </w:rPr>
              <w:t>/a）。</w:t>
            </w:r>
          </w:p>
          <w:p>
            <w:pPr>
              <w:pStyle w:val="13"/>
              <w:adjustRightInd w:val="0"/>
              <w:snapToGrid w:val="0"/>
              <w:spacing w:line="360" w:lineRule="auto"/>
              <w:ind w:firstLine="420" w:firstLineChars="200"/>
            </w:pPr>
            <w:r>
              <w:t>洒水降尘用水：</w:t>
            </w:r>
            <w:r>
              <w:rPr>
                <w:rFonts w:hint="eastAsia"/>
              </w:rPr>
              <w:t>项目</w:t>
            </w:r>
            <w:r>
              <w:t>生产过程中</w:t>
            </w:r>
            <w:r>
              <w:rPr>
                <w:rFonts w:hint="eastAsia"/>
              </w:rPr>
              <w:t>石料装卸、输送过程需进行洒水降尘，</w:t>
            </w:r>
            <w:r>
              <w:t>用水量为5m</w:t>
            </w:r>
            <w:r>
              <w:rPr>
                <w:vertAlign w:val="superscript"/>
              </w:rPr>
              <w:t>3</w:t>
            </w:r>
            <w:r>
              <w:t>/d</w:t>
            </w:r>
            <w:r>
              <w:rPr>
                <w:rFonts w:hint="eastAsia"/>
              </w:rPr>
              <w:t>，</w:t>
            </w:r>
            <w:r>
              <w:t>年工作60d，需用水量300m</w:t>
            </w:r>
            <w:r>
              <w:rPr>
                <w:vertAlign w:val="superscript"/>
              </w:rPr>
              <w:t>3</w:t>
            </w:r>
            <w:r>
              <w:t>/a。</w:t>
            </w:r>
          </w:p>
          <w:p>
            <w:pPr>
              <w:adjustRightInd w:val="0"/>
              <w:snapToGrid w:val="0"/>
              <w:spacing w:line="360" w:lineRule="auto"/>
              <w:ind w:firstLine="420" w:firstLineChars="200"/>
              <w:rPr>
                <w:bCs/>
              </w:rPr>
            </w:pPr>
            <w:r>
              <w:rPr>
                <w:bCs/>
              </w:rPr>
              <w:t>综上，本项目用水量为314.4m</w:t>
            </w:r>
            <w:r>
              <w:rPr>
                <w:bCs/>
                <w:vertAlign w:val="superscript"/>
              </w:rPr>
              <w:t>3</w:t>
            </w:r>
            <w:r>
              <w:rPr>
                <w:bCs/>
              </w:rPr>
              <w:t>/a。</w:t>
            </w:r>
          </w:p>
          <w:p>
            <w:pPr>
              <w:adjustRightInd w:val="0"/>
              <w:snapToGrid w:val="0"/>
              <w:spacing w:line="360" w:lineRule="auto"/>
              <w:ind w:firstLine="420" w:firstLineChars="200"/>
              <w:rPr>
                <w:bCs/>
              </w:rPr>
            </w:pPr>
            <w:r>
              <w:rPr>
                <w:bCs/>
              </w:rPr>
              <w:t>（2）排水</w:t>
            </w:r>
          </w:p>
          <w:p>
            <w:pPr>
              <w:adjustRightInd w:val="0"/>
              <w:snapToGrid w:val="0"/>
              <w:spacing w:line="360" w:lineRule="auto"/>
              <w:ind w:firstLine="420" w:firstLineChars="200"/>
              <w:rPr>
                <w:bCs/>
              </w:rPr>
            </w:pPr>
            <w:r>
              <w:rPr>
                <w:bCs/>
              </w:rPr>
              <w:t>本项目</w:t>
            </w:r>
            <w:r>
              <w:rPr>
                <w:rFonts w:hint="eastAsia"/>
                <w:bCs/>
              </w:rPr>
              <w:t>生产过程不用水，</w:t>
            </w:r>
            <w:r>
              <w:rPr>
                <w:bCs/>
              </w:rPr>
              <w:t>无生产废水</w:t>
            </w:r>
            <w:r>
              <w:rPr>
                <w:rFonts w:hint="eastAsia"/>
                <w:bCs/>
              </w:rPr>
              <w:t>产生；</w:t>
            </w:r>
            <w:r>
              <w:rPr>
                <w:bCs/>
              </w:rPr>
              <w:t>洒水降尘用水自然蒸发损耗。项目废水主要为生活污水，产生量按用水量的80%计，则生活污水产生量为0.192m</w:t>
            </w:r>
            <w:r>
              <w:rPr>
                <w:bCs/>
                <w:vertAlign w:val="superscript"/>
              </w:rPr>
              <w:t>3</w:t>
            </w:r>
            <w:r>
              <w:rPr>
                <w:bCs/>
              </w:rPr>
              <w:t>/d（11.52m</w:t>
            </w:r>
            <w:r>
              <w:rPr>
                <w:bCs/>
                <w:vertAlign w:val="superscript"/>
              </w:rPr>
              <w:t>3</w:t>
            </w:r>
            <w:r>
              <w:rPr>
                <w:bCs/>
              </w:rPr>
              <w:t>/a），生活污水全部排入厂区内防渗旱厕，定期清掏，用作农家肥</w:t>
            </w:r>
            <w:r>
              <w:rPr>
                <w:rFonts w:hint="eastAsia"/>
                <w:bCs/>
              </w:rPr>
              <w:t>；其中食堂废水经沉淀池隔油处理后排入防渗旱厕</w:t>
            </w:r>
            <w:r>
              <w:rPr>
                <w:bCs/>
              </w:rPr>
              <w:t>。</w:t>
            </w:r>
          </w:p>
          <w:p>
            <w:pPr>
              <w:adjustRightInd w:val="0"/>
              <w:snapToGrid w:val="0"/>
              <w:jc w:val="center"/>
              <w:rPr>
                <w:bCs/>
              </w:rPr>
            </w:pPr>
            <w:r>
              <w:rPr>
                <w:bCs/>
              </w:rPr>
              <w:drawing>
                <wp:inline distT="0" distB="0" distL="0" distR="0">
                  <wp:extent cx="5159375" cy="1073150"/>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68243" cy="1096061"/>
                          </a:xfrm>
                          <a:prstGeom prst="rect">
                            <a:avLst/>
                          </a:prstGeom>
                        </pic:spPr>
                      </pic:pic>
                    </a:graphicData>
                  </a:graphic>
                </wp:inline>
              </w:drawing>
            </w:r>
          </w:p>
          <w:p>
            <w:pPr>
              <w:adjustRightInd w:val="0"/>
              <w:snapToGrid w:val="0"/>
              <w:spacing w:line="360" w:lineRule="auto"/>
              <w:jc w:val="center"/>
              <w:rPr>
                <w:bCs/>
              </w:rPr>
            </w:pPr>
          </w:p>
          <w:p>
            <w:pPr>
              <w:adjustRightInd w:val="0"/>
              <w:snapToGrid w:val="0"/>
              <w:spacing w:line="360" w:lineRule="auto"/>
              <w:jc w:val="center"/>
              <w:rPr>
                <w:bCs/>
              </w:rPr>
            </w:pPr>
            <w:r>
              <w:rPr>
                <w:bCs/>
              </w:rPr>
              <w:t>图2-1  项目水平衡示意图  单位：m</w:t>
            </w:r>
            <w:r>
              <w:rPr>
                <w:bCs/>
                <w:vertAlign w:val="superscript"/>
              </w:rPr>
              <w:t>3</w:t>
            </w:r>
            <w:r>
              <w:rPr>
                <w:bCs/>
              </w:rPr>
              <w:t>/a</w:t>
            </w:r>
          </w:p>
          <w:p>
            <w:pPr>
              <w:adjustRightInd w:val="0"/>
              <w:snapToGrid w:val="0"/>
              <w:spacing w:line="360" w:lineRule="auto"/>
              <w:ind w:firstLine="420" w:firstLineChars="200"/>
              <w:rPr>
                <w:bCs/>
              </w:rPr>
            </w:pPr>
            <w:r>
              <w:rPr>
                <w:bCs/>
              </w:rPr>
              <w:t>（3）供热</w:t>
            </w:r>
          </w:p>
          <w:p>
            <w:pPr>
              <w:adjustRightInd w:val="0"/>
              <w:snapToGrid w:val="0"/>
              <w:spacing w:line="360" w:lineRule="auto"/>
              <w:ind w:firstLine="420" w:firstLineChars="200"/>
              <w:rPr>
                <w:bCs/>
                <w:color w:val="auto"/>
              </w:rPr>
            </w:pPr>
            <w:r>
              <w:rPr>
                <w:bCs/>
              </w:rPr>
              <w:t>本项目冬季不生产，无需采暖。沥</w:t>
            </w:r>
            <w:r>
              <w:rPr>
                <w:bCs/>
                <w:color w:val="auto"/>
              </w:rPr>
              <w:t>青加热由0.5t/h导热油炉供应，石料加热由烘干滚筒自带燃烧器进行烘干和加热。</w:t>
            </w:r>
            <w:r>
              <w:rPr>
                <w:rFonts w:hint="eastAsia"/>
                <w:bCs/>
                <w:color w:val="auto"/>
              </w:rPr>
              <w:t>沥青和石料加热燃料均为柴油，燃料年用量共</w:t>
            </w:r>
            <w:r>
              <w:rPr>
                <w:bCs/>
                <w:color w:val="auto"/>
              </w:rPr>
              <w:t>40</w:t>
            </w:r>
            <w:r>
              <w:rPr>
                <w:rFonts w:hint="eastAsia"/>
                <w:bCs/>
                <w:color w:val="auto"/>
              </w:rPr>
              <w:t>t（导热油炉15t，烘干滚筒燃烧器</w:t>
            </w:r>
            <w:r>
              <w:rPr>
                <w:bCs/>
                <w:color w:val="auto"/>
              </w:rPr>
              <w:t>25</w:t>
            </w:r>
            <w:r>
              <w:rPr>
                <w:rFonts w:hint="eastAsia"/>
                <w:bCs/>
                <w:color w:val="auto"/>
              </w:rPr>
              <w:t>t）</w:t>
            </w:r>
            <w:r>
              <w:rPr>
                <w:bCs/>
                <w:color w:val="auto"/>
              </w:rPr>
              <w:t>，能够满足本项目用热需求。</w:t>
            </w:r>
          </w:p>
          <w:p>
            <w:pPr>
              <w:adjustRightInd w:val="0"/>
              <w:snapToGrid w:val="0"/>
              <w:spacing w:line="360" w:lineRule="auto"/>
              <w:ind w:firstLine="420" w:firstLineChars="200"/>
              <w:rPr>
                <w:bCs/>
                <w:color w:val="auto"/>
              </w:rPr>
            </w:pPr>
            <w:r>
              <w:rPr>
                <w:bCs/>
                <w:color w:val="auto"/>
              </w:rPr>
              <w:t>（4）供电</w:t>
            </w:r>
          </w:p>
          <w:p>
            <w:pPr>
              <w:adjustRightInd w:val="0"/>
              <w:snapToGrid w:val="0"/>
              <w:spacing w:line="360" w:lineRule="auto"/>
              <w:ind w:firstLine="420" w:firstLineChars="200"/>
              <w:rPr>
                <w:bCs/>
                <w:color w:val="auto"/>
              </w:rPr>
            </w:pPr>
            <w:r>
              <w:rPr>
                <w:bCs/>
                <w:color w:val="auto"/>
              </w:rPr>
              <w:t>本项目用电由当地电网提供。</w:t>
            </w:r>
          </w:p>
          <w:p>
            <w:pPr>
              <w:adjustRightInd w:val="0"/>
              <w:snapToGrid w:val="0"/>
              <w:spacing w:line="360" w:lineRule="auto"/>
              <w:ind w:firstLine="420" w:firstLineChars="200"/>
              <w:rPr>
                <w:bCs/>
                <w:color w:val="auto"/>
              </w:rPr>
            </w:pPr>
            <w:r>
              <w:rPr>
                <w:bCs/>
                <w:color w:val="auto"/>
              </w:rPr>
              <w:t>9、工作制度和劳动定员</w:t>
            </w:r>
          </w:p>
          <w:p>
            <w:pPr>
              <w:adjustRightInd w:val="0"/>
              <w:snapToGrid w:val="0"/>
              <w:spacing w:line="360" w:lineRule="auto"/>
              <w:ind w:firstLine="420" w:firstLineChars="200"/>
              <w:rPr>
                <w:bCs/>
                <w:color w:val="auto"/>
              </w:rPr>
            </w:pPr>
            <w:r>
              <w:rPr>
                <w:bCs/>
                <w:color w:val="auto"/>
              </w:rPr>
              <w:t>本项目职工共8人，8小时工作制，</w:t>
            </w:r>
            <w:r>
              <w:rPr>
                <w:rFonts w:hint="eastAsia"/>
                <w:bCs/>
                <w:color w:val="auto"/>
              </w:rPr>
              <w:t>两</w:t>
            </w:r>
            <w:r>
              <w:rPr>
                <w:bCs/>
                <w:color w:val="auto"/>
              </w:rPr>
              <w:t>班制，年生产90天。</w:t>
            </w: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rPr>
                <w:rFonts w:ascii="宋体" w:hAnsi="宋体" w:cs="宋体"/>
                <w:bC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675" w:type="dxa"/>
            <w:tcBorders>
              <w:top w:val="single" w:color="auto" w:sz="4" w:space="0"/>
              <w:left w:val="single" w:color="auto" w:sz="8" w:space="0"/>
              <w:bottom w:val="single" w:color="auto" w:sz="4" w:space="0"/>
              <w:right w:val="single" w:color="auto" w:sz="4" w:space="0"/>
            </w:tcBorders>
            <w:shd w:val="clear" w:color="auto" w:fill="auto"/>
            <w:vAlign w:val="center"/>
          </w:tcPr>
          <w:p>
            <w:pPr>
              <w:pStyle w:val="8"/>
              <w:adjustRightInd w:val="0"/>
              <w:snapToGrid w:val="0"/>
              <w:spacing w:beforeAutospacing="0" w:afterAutospacing="0"/>
              <w:jc w:val="center"/>
              <w:rPr>
                <w:rFonts w:hint="default" w:cs="宋体"/>
                <w:kern w:val="2"/>
                <w:sz w:val="21"/>
                <w:szCs w:val="21"/>
              </w:rPr>
            </w:pPr>
            <w:r>
              <w:rPr>
                <w:rFonts w:cs="宋体"/>
                <w:kern w:val="2"/>
                <w:sz w:val="21"/>
                <w:szCs w:val="21"/>
              </w:rPr>
              <w:t>工艺流程和产排污环节</w:t>
            </w:r>
          </w:p>
        </w:tc>
        <w:tc>
          <w:tcPr>
            <w:tcW w:w="8385" w:type="dxa"/>
            <w:tcBorders>
              <w:top w:val="single" w:color="auto" w:sz="4" w:space="0"/>
              <w:left w:val="single" w:color="auto" w:sz="4" w:space="0"/>
              <w:bottom w:val="single" w:color="auto" w:sz="4" w:space="0"/>
              <w:right w:val="single" w:color="auto" w:sz="8" w:space="0"/>
            </w:tcBorders>
            <w:shd w:val="clear" w:color="auto" w:fill="auto"/>
          </w:tcPr>
          <w:p>
            <w:pPr>
              <w:numPr>
                <w:ilvl w:val="0"/>
                <w:numId w:val="2"/>
              </w:numPr>
              <w:adjustRightInd w:val="0"/>
              <w:snapToGrid w:val="0"/>
              <w:spacing w:line="360" w:lineRule="auto"/>
              <w:ind w:firstLine="420" w:firstLineChars="200"/>
              <w:rPr>
                <w:bCs/>
                <w:color w:val="auto"/>
              </w:rPr>
            </w:pPr>
            <w:r>
              <w:rPr>
                <w:bCs/>
                <w:color w:val="auto"/>
              </w:rPr>
              <w:t>施工期</w:t>
            </w:r>
          </w:p>
          <w:p>
            <w:pPr>
              <w:adjustRightInd w:val="0"/>
              <w:snapToGrid w:val="0"/>
              <w:spacing w:line="360" w:lineRule="auto"/>
              <w:ind w:firstLine="420" w:firstLineChars="200"/>
              <w:rPr>
                <w:bCs/>
                <w:color w:val="auto"/>
              </w:rPr>
            </w:pPr>
            <w:r>
              <w:rPr>
                <w:rFonts w:hint="eastAsia"/>
                <w:bCs/>
                <w:color w:val="auto"/>
              </w:rPr>
              <w:t>本项目建成于2</w:t>
            </w:r>
            <w:r>
              <w:rPr>
                <w:bCs/>
                <w:color w:val="auto"/>
              </w:rPr>
              <w:t>015</w:t>
            </w:r>
            <w:r>
              <w:rPr>
                <w:rFonts w:hint="eastAsia"/>
                <w:bCs/>
                <w:color w:val="auto"/>
              </w:rPr>
              <w:t>年7月，基础设施（办公室、搅拌站等）及部分环保设施（布袋除尘器及排气筒、活性炭吸附净化装置等）均已完成建设。由于厂区未建设石料仓库，石料露天堆存易造成扬尘污染，本项目建设碎石料仓一座，彩钢板建筑，施工过程简单，故本项目施工期结合投产前建设情况进行回顾性评价。</w:t>
            </w:r>
          </w:p>
          <w:p>
            <w:pPr>
              <w:adjustRightInd w:val="0"/>
              <w:snapToGrid w:val="0"/>
              <w:spacing w:line="360" w:lineRule="auto"/>
              <w:ind w:firstLine="420" w:firstLineChars="200"/>
              <w:rPr>
                <w:bCs/>
              </w:rPr>
            </w:pPr>
            <w:r>
              <w:rPr>
                <w:bCs/>
              </w:rPr>
              <w:t>（1）工艺流程简述(图示)</w:t>
            </w:r>
          </w:p>
          <w:p>
            <w:pPr>
              <w:adjustRightInd w:val="0"/>
              <w:snapToGrid w:val="0"/>
              <w:spacing w:line="360" w:lineRule="auto"/>
              <w:ind w:firstLine="420" w:firstLineChars="200"/>
              <w:rPr>
                <w:bCs/>
              </w:rPr>
            </w:pPr>
            <w:r>
              <w:rPr>
                <w:bCs/>
              </w:rPr>
              <w:t>项目施工期主要流程有以下几个阶段：场地平整阶段、主体工程阶段、工程验收阶段直至交付使用。主体工程污染主要有建筑材料扬尘引起的环境空气污染及施工机械的施工噪声污染、施工生活污水对地表水环境的影响等。本项目施工期流程及排污节点详见图2-2。</w:t>
            </w:r>
          </w:p>
          <w:p>
            <w:pPr>
              <w:adjustRightInd w:val="0"/>
              <w:snapToGrid w:val="0"/>
              <w:jc w:val="center"/>
              <w:rPr>
                <w:bCs/>
              </w:rPr>
            </w:pPr>
            <w:r>
              <w:rPr>
                <w:bCs/>
              </w:rPr>
              <w:drawing>
                <wp:inline distT="0" distB="0" distL="0" distR="0">
                  <wp:extent cx="4006850" cy="14884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4027016" cy="1496339"/>
                          </a:xfrm>
                          <a:prstGeom prst="rect">
                            <a:avLst/>
                          </a:prstGeom>
                        </pic:spPr>
                      </pic:pic>
                    </a:graphicData>
                  </a:graphic>
                </wp:inline>
              </w:drawing>
            </w:r>
          </w:p>
          <w:p>
            <w:pPr>
              <w:adjustRightInd w:val="0"/>
              <w:snapToGrid w:val="0"/>
              <w:rPr>
                <w:bCs/>
              </w:rPr>
            </w:pPr>
          </w:p>
          <w:p>
            <w:pPr>
              <w:adjustRightInd w:val="0"/>
              <w:snapToGrid w:val="0"/>
              <w:spacing w:line="360" w:lineRule="auto"/>
              <w:jc w:val="center"/>
              <w:rPr>
                <w:bCs/>
              </w:rPr>
            </w:pPr>
            <w:r>
              <w:rPr>
                <w:bCs/>
              </w:rPr>
              <w:t>图2-2  施工期工艺流程及产污节点图</w:t>
            </w:r>
          </w:p>
          <w:p>
            <w:pPr>
              <w:adjustRightInd w:val="0"/>
              <w:snapToGrid w:val="0"/>
              <w:spacing w:line="360" w:lineRule="auto"/>
              <w:ind w:firstLine="420" w:firstLineChars="200"/>
              <w:rPr>
                <w:bCs/>
              </w:rPr>
            </w:pPr>
            <w:r>
              <w:rPr>
                <w:bCs/>
              </w:rPr>
              <w:t>（2）主要</w:t>
            </w:r>
            <w:r>
              <w:rPr>
                <w:rFonts w:hint="eastAsia"/>
                <w:bCs/>
              </w:rPr>
              <w:t>产排污环节</w:t>
            </w:r>
          </w:p>
          <w:p>
            <w:pPr>
              <w:adjustRightInd w:val="0"/>
              <w:snapToGrid w:val="0"/>
              <w:spacing w:line="360" w:lineRule="auto"/>
              <w:ind w:firstLine="420" w:firstLineChars="200"/>
              <w:rPr>
                <w:bCs/>
              </w:rPr>
            </w:pPr>
            <w:r>
              <w:rPr>
                <w:bCs/>
              </w:rPr>
              <w:t>1）废水</w:t>
            </w:r>
          </w:p>
          <w:p>
            <w:pPr>
              <w:adjustRightInd w:val="0"/>
              <w:snapToGrid w:val="0"/>
              <w:spacing w:line="360" w:lineRule="auto"/>
              <w:ind w:firstLine="420" w:firstLineChars="200"/>
              <w:rPr>
                <w:bCs/>
              </w:rPr>
            </w:pPr>
            <w:r>
              <w:rPr>
                <w:bCs/>
              </w:rPr>
              <w:t>施工期废水主要为生活污水及施工废水，施工期高峰时施工人员约10人，生活污水按20L/人·d计，产生量约0.2t/d，废水中主要污染物为COD、BOD</w:t>
            </w:r>
            <w:r>
              <w:rPr>
                <w:bCs/>
                <w:vertAlign w:val="subscript"/>
              </w:rPr>
              <w:t>5</w:t>
            </w:r>
            <w:r>
              <w:rPr>
                <w:bCs/>
              </w:rPr>
              <w:t>、SS、氨氮等，产生浓度分别为300mg/L、150mg/L、180mg/L、25mg/L，生活污水排放到厂区防渗旱厕，定期清掏用作农肥。</w:t>
            </w:r>
          </w:p>
          <w:p>
            <w:pPr>
              <w:adjustRightInd w:val="0"/>
              <w:snapToGrid w:val="0"/>
              <w:spacing w:line="360" w:lineRule="auto"/>
              <w:ind w:firstLine="420" w:firstLineChars="200"/>
              <w:rPr>
                <w:bCs/>
              </w:rPr>
            </w:pPr>
            <w:r>
              <w:rPr>
                <w:bCs/>
              </w:rPr>
              <w:t>施工废水主要为车辆冲洗废水，含有大量SS，排入沉淀池中，经沉淀处理后回用于厂区洒水降尘。</w:t>
            </w:r>
          </w:p>
          <w:p>
            <w:pPr>
              <w:adjustRightInd w:val="0"/>
              <w:snapToGrid w:val="0"/>
              <w:spacing w:line="360" w:lineRule="auto"/>
              <w:ind w:firstLine="420" w:firstLineChars="200"/>
              <w:rPr>
                <w:bCs/>
              </w:rPr>
            </w:pPr>
            <w:r>
              <w:rPr>
                <w:bCs/>
              </w:rPr>
              <w:t>2）废气</w:t>
            </w:r>
          </w:p>
          <w:p>
            <w:pPr>
              <w:adjustRightInd w:val="0"/>
              <w:snapToGrid w:val="0"/>
              <w:spacing w:line="360" w:lineRule="auto"/>
              <w:ind w:firstLine="420" w:firstLineChars="200"/>
              <w:rPr>
                <w:bCs/>
              </w:rPr>
            </w:pPr>
            <w:r>
              <w:rPr>
                <w:rFonts w:hint="eastAsia"/>
                <w:bCs/>
              </w:rPr>
              <w:t>工程</w:t>
            </w:r>
            <w:r>
              <w:rPr>
                <w:bCs/>
              </w:rPr>
              <w:t>施工期间产生废气污染物主要有扬尘、车辆排放的废气。</w:t>
            </w:r>
          </w:p>
          <w:p>
            <w:pPr>
              <w:adjustRightInd w:val="0"/>
              <w:snapToGrid w:val="0"/>
              <w:spacing w:line="360" w:lineRule="auto"/>
              <w:ind w:firstLine="420" w:firstLineChars="200"/>
              <w:rPr>
                <w:bCs/>
              </w:rPr>
            </w:pPr>
            <w:r>
              <w:rPr>
                <w:rFonts w:hint="eastAsia" w:ascii="宋体" w:hAnsi="宋体" w:cs="宋体"/>
                <w:bCs/>
              </w:rPr>
              <w:t>①</w:t>
            </w:r>
            <w:r>
              <w:rPr>
                <w:bCs/>
              </w:rPr>
              <w:t>扬尘</w:t>
            </w:r>
          </w:p>
          <w:p>
            <w:pPr>
              <w:adjustRightInd w:val="0"/>
              <w:snapToGrid w:val="0"/>
              <w:spacing w:line="360" w:lineRule="auto"/>
              <w:ind w:firstLine="420" w:firstLineChars="200"/>
              <w:rPr>
                <w:bCs/>
              </w:rPr>
            </w:pPr>
            <w:r>
              <w:rPr>
                <w:bCs/>
              </w:rPr>
              <w:t>施工期的粉尘污染主要来自汽车运输产生的跑动扬尘及装卸产生的扬尘。汽车运送物料进施工现场，天气干燥必然引起扬尘，汽车跑动使扬尘加剧。大风天气</w:t>
            </w:r>
            <w:r>
              <w:rPr>
                <w:rFonts w:hint="eastAsia"/>
                <w:bCs/>
              </w:rPr>
              <w:t>未进行</w:t>
            </w:r>
            <w:r>
              <w:rPr>
                <w:bCs/>
              </w:rPr>
              <w:t>作业，厂区内洒水降尘，</w:t>
            </w:r>
            <w:r>
              <w:rPr>
                <w:rFonts w:hint="eastAsia"/>
                <w:bCs/>
              </w:rPr>
              <w:t>减少</w:t>
            </w:r>
            <w:r>
              <w:rPr>
                <w:bCs/>
              </w:rPr>
              <w:t>扬尘污染，</w:t>
            </w:r>
            <w:r>
              <w:rPr>
                <w:rFonts w:hint="eastAsia"/>
                <w:bCs/>
              </w:rPr>
              <w:t>降低</w:t>
            </w:r>
            <w:r>
              <w:rPr>
                <w:bCs/>
              </w:rPr>
              <w:t>对周围居民等环境敏感点的影响。</w:t>
            </w:r>
          </w:p>
          <w:p>
            <w:pPr>
              <w:adjustRightInd w:val="0"/>
              <w:snapToGrid w:val="0"/>
              <w:spacing w:line="360" w:lineRule="auto"/>
              <w:ind w:firstLine="420" w:firstLineChars="200"/>
              <w:rPr>
                <w:bCs/>
              </w:rPr>
            </w:pPr>
            <w:r>
              <w:rPr>
                <w:rFonts w:hint="eastAsia" w:ascii="宋体" w:hAnsi="宋体" w:cs="宋体"/>
                <w:bCs/>
              </w:rPr>
              <w:t>②</w:t>
            </w:r>
            <w:r>
              <w:rPr>
                <w:bCs/>
              </w:rPr>
              <w:t>运输车辆及作业机械尾气</w:t>
            </w:r>
          </w:p>
          <w:p>
            <w:pPr>
              <w:adjustRightInd w:val="0"/>
              <w:snapToGrid w:val="0"/>
              <w:spacing w:line="360" w:lineRule="auto"/>
              <w:ind w:firstLine="420" w:firstLineChars="200"/>
              <w:rPr>
                <w:bCs/>
              </w:rPr>
            </w:pPr>
            <w:r>
              <w:rPr>
                <w:bCs/>
              </w:rPr>
              <w:t>施工期间运输车辆排放的废气，其主要污染物为总悬浮微粒、二氧化硫、一氧化碳、氮氧化物和碳氢化合物。施工现场不存在涡流区，有利于污染物扩散，施工车辆相对较少，所产生的废气扩散稀释快，对居民生活和周围环境空气影响不大。</w:t>
            </w:r>
          </w:p>
          <w:p>
            <w:pPr>
              <w:adjustRightInd w:val="0"/>
              <w:snapToGrid w:val="0"/>
              <w:spacing w:line="360" w:lineRule="auto"/>
              <w:ind w:firstLine="420" w:firstLineChars="200"/>
              <w:rPr>
                <w:bCs/>
              </w:rPr>
            </w:pPr>
            <w:r>
              <w:rPr>
                <w:bCs/>
              </w:rPr>
              <w:t>3）噪声</w:t>
            </w:r>
          </w:p>
          <w:p>
            <w:pPr>
              <w:adjustRightInd w:val="0"/>
              <w:snapToGrid w:val="0"/>
              <w:spacing w:line="360" w:lineRule="auto"/>
              <w:ind w:firstLine="420" w:firstLineChars="200"/>
              <w:rPr>
                <w:bCs/>
              </w:rPr>
            </w:pPr>
            <w:r>
              <w:rPr>
                <w:bCs/>
              </w:rPr>
              <w:t>施工期噪声污染源主要为各类机械设备作业产生的噪声、运输车辆产生的交通噪声等。本项目施工期主要的产噪设备有切割机及焊接机等，施工机械噪声源强为85-90dB(A)，且无规则，产生噪声污染较少。</w:t>
            </w:r>
          </w:p>
          <w:p>
            <w:pPr>
              <w:adjustRightInd w:val="0"/>
              <w:snapToGrid w:val="0"/>
              <w:spacing w:line="360" w:lineRule="auto"/>
              <w:ind w:firstLine="420" w:firstLineChars="200"/>
              <w:rPr>
                <w:bCs/>
              </w:rPr>
            </w:pPr>
            <w:r>
              <w:rPr>
                <w:bCs/>
              </w:rPr>
              <w:t>4）固废</w:t>
            </w:r>
          </w:p>
          <w:p>
            <w:pPr>
              <w:adjustRightInd w:val="0"/>
              <w:snapToGrid w:val="0"/>
              <w:spacing w:line="360" w:lineRule="auto"/>
              <w:ind w:firstLine="420" w:firstLineChars="200"/>
              <w:rPr>
                <w:bCs/>
              </w:rPr>
            </w:pPr>
            <w:r>
              <w:rPr>
                <w:bCs/>
              </w:rPr>
              <w:t>施工期固体废物主要为建筑垃圾和施工人员生活垃圾。</w:t>
            </w:r>
          </w:p>
          <w:p>
            <w:pPr>
              <w:adjustRightInd w:val="0"/>
              <w:snapToGrid w:val="0"/>
              <w:spacing w:line="360" w:lineRule="auto"/>
              <w:ind w:firstLine="420" w:firstLineChars="200"/>
              <w:rPr>
                <w:bCs/>
              </w:rPr>
            </w:pPr>
            <w:r>
              <w:rPr>
                <w:bCs/>
              </w:rPr>
              <w:t>本项目产生的建材损耗垃圾及装修垃圾约为0.5t，厂区收集后将可回收部分外售废品收购公司，不可回收部分送政府指定的建筑垃圾填埋场。</w:t>
            </w:r>
          </w:p>
          <w:p>
            <w:pPr>
              <w:adjustRightInd w:val="0"/>
              <w:snapToGrid w:val="0"/>
              <w:spacing w:line="360" w:lineRule="auto"/>
              <w:ind w:firstLine="420" w:firstLineChars="200"/>
              <w:rPr>
                <w:bCs/>
              </w:rPr>
            </w:pPr>
            <w:r>
              <w:rPr>
                <w:bCs/>
              </w:rPr>
              <w:t>生活垃圾按0.04t/人.d计算，则生活垃圾产生量为0.4t/d，统一收集至厂区内的生活垃圾箱内，由环卫部门统一处理。</w:t>
            </w:r>
          </w:p>
          <w:p>
            <w:pPr>
              <w:adjustRightInd w:val="0"/>
              <w:snapToGrid w:val="0"/>
              <w:spacing w:line="360" w:lineRule="auto"/>
              <w:ind w:firstLine="420" w:firstLineChars="200"/>
              <w:rPr>
                <w:bCs/>
              </w:rPr>
            </w:pPr>
            <w:r>
              <w:rPr>
                <w:bCs/>
              </w:rPr>
              <w:t>2、运营期</w:t>
            </w:r>
          </w:p>
          <w:p>
            <w:pPr>
              <w:adjustRightInd w:val="0"/>
              <w:snapToGrid w:val="0"/>
              <w:spacing w:line="360" w:lineRule="auto"/>
              <w:ind w:firstLine="420" w:firstLineChars="200"/>
              <w:rPr>
                <w:bCs/>
              </w:rPr>
            </w:pPr>
            <w:r>
              <w:rPr>
                <w:bCs/>
              </w:rPr>
              <w:t>（1）工艺流程简述(图示)</w:t>
            </w:r>
          </w:p>
          <w:p>
            <w:pPr>
              <w:adjustRightInd w:val="0"/>
              <w:snapToGrid w:val="0"/>
              <w:spacing w:line="360" w:lineRule="auto"/>
              <w:ind w:firstLine="420" w:firstLineChars="200"/>
              <w:rPr>
                <w:bCs/>
              </w:rPr>
            </w:pPr>
            <w:r>
              <w:rPr>
                <w:bCs/>
              </w:rPr>
              <w:t>本项目主要进行沥青混凝土的生产，外购的石料、沥青经过预处理后，按一定的比例在沥青搅拌装置中重新拌和成新的混合料。具体工艺流程及排污点位详见图2-3。</w:t>
            </w:r>
          </w:p>
          <w:p>
            <w:pPr>
              <w:adjustRightInd w:val="0"/>
              <w:snapToGrid w:val="0"/>
              <w:jc w:val="center"/>
              <w:rPr>
                <w:bCs/>
              </w:rPr>
            </w:pPr>
            <w:r>
              <w:drawing>
                <wp:inline distT="0" distB="0" distL="0" distR="0">
                  <wp:extent cx="3633470" cy="1338580"/>
                  <wp:effectExtent l="0" t="0" r="508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633470" cy="1338580"/>
                          </a:xfrm>
                          <a:prstGeom prst="rect">
                            <a:avLst/>
                          </a:prstGeom>
                        </pic:spPr>
                      </pic:pic>
                    </a:graphicData>
                  </a:graphic>
                </wp:inline>
              </w:drawing>
            </w:r>
          </w:p>
          <w:p>
            <w:pPr>
              <w:adjustRightInd w:val="0"/>
              <w:snapToGrid w:val="0"/>
              <w:rPr>
                <w:bCs/>
              </w:rPr>
            </w:pPr>
          </w:p>
          <w:p>
            <w:pPr>
              <w:adjustRightInd w:val="0"/>
              <w:snapToGrid w:val="0"/>
              <w:spacing w:line="360" w:lineRule="auto"/>
              <w:jc w:val="center"/>
              <w:rPr>
                <w:bCs/>
              </w:rPr>
            </w:pPr>
            <w:r>
              <w:rPr>
                <w:bCs/>
              </w:rPr>
              <w:t>图2-3  沥青混凝土生产工艺流程及产污节点图</w:t>
            </w:r>
          </w:p>
          <w:p>
            <w:pPr>
              <w:adjustRightInd w:val="0"/>
              <w:snapToGrid w:val="0"/>
              <w:spacing w:line="360" w:lineRule="auto"/>
              <w:ind w:firstLine="420" w:firstLineChars="200"/>
              <w:rPr>
                <w:bCs/>
              </w:rPr>
            </w:pPr>
            <w:r>
              <w:rPr>
                <w:rFonts w:ascii="宋体" w:hAnsi="宋体"/>
                <w:bCs/>
              </w:rPr>
              <w:t>（</w:t>
            </w:r>
            <w:r>
              <w:rPr>
                <w:bCs/>
              </w:rPr>
              <w:t>2</w:t>
            </w:r>
            <w:r>
              <w:rPr>
                <w:rFonts w:ascii="宋体" w:hAnsi="宋体"/>
                <w:bCs/>
              </w:rPr>
              <w:t>）主要</w:t>
            </w:r>
            <w:r>
              <w:rPr>
                <w:rFonts w:hint="eastAsia" w:ascii="宋体" w:hAnsi="宋体"/>
                <w:bCs/>
              </w:rPr>
              <w:t>产排污环节</w:t>
            </w:r>
          </w:p>
          <w:p>
            <w:pPr>
              <w:adjustRightInd w:val="0"/>
              <w:snapToGrid w:val="0"/>
              <w:spacing w:line="360" w:lineRule="auto"/>
              <w:ind w:firstLine="420" w:firstLineChars="200"/>
              <w:rPr>
                <w:bCs/>
              </w:rPr>
            </w:pPr>
            <w:r>
              <w:rPr>
                <w:bCs/>
              </w:rPr>
              <w:t>1</w:t>
            </w:r>
            <w:r>
              <w:rPr>
                <w:rFonts w:ascii="宋体" w:hAnsi="宋体"/>
                <w:bCs/>
              </w:rPr>
              <w:t>）沥青处理流程</w:t>
            </w:r>
          </w:p>
          <w:p>
            <w:pPr>
              <w:adjustRightInd w:val="0"/>
              <w:snapToGrid w:val="0"/>
              <w:spacing w:line="360" w:lineRule="auto"/>
              <w:ind w:firstLine="420" w:firstLineChars="200"/>
              <w:rPr>
                <w:bCs/>
              </w:rPr>
            </w:pPr>
            <w:r>
              <w:rPr>
                <w:rFonts w:ascii="宋体" w:hAnsi="宋体"/>
                <w:bCs/>
              </w:rPr>
              <w:t>沥青是石油气工厂热解石油气原料时得到的副产品，进厂时为散装沥青，沥青由专用沥青运输车通过密闭管道送至沥青储罐，使用导热油炉将其加热至</w:t>
            </w:r>
            <w:r>
              <w:rPr>
                <w:bCs/>
              </w:rPr>
              <w:t>150-180℃</w:t>
            </w:r>
            <w:r>
              <w:rPr>
                <w:rFonts w:ascii="宋体" w:hAnsi="宋体"/>
                <w:bCs/>
              </w:rPr>
              <w:t>，再经沥青泵输送到沥青计量器，按一定的配合比分重量后通过专门管道送入拌和站的搅拌缸内与石料混合。</w:t>
            </w:r>
          </w:p>
          <w:p>
            <w:pPr>
              <w:adjustRightInd w:val="0"/>
              <w:snapToGrid w:val="0"/>
              <w:spacing w:line="360" w:lineRule="auto"/>
              <w:ind w:firstLine="420" w:firstLineChars="200"/>
              <w:rPr>
                <w:bCs/>
                <w:color w:val="auto"/>
              </w:rPr>
            </w:pPr>
            <w:r>
              <w:rPr>
                <w:bCs/>
                <w:color w:val="auto"/>
              </w:rPr>
              <w:t>此过程导热油炉采用柴油为燃料进行加热，加热过程产生废气即导热油炉烟气，经布袋除尘器处理后，去除效率99%，由15m高1#排气筒排放；</w:t>
            </w:r>
          </w:p>
          <w:p>
            <w:pPr>
              <w:adjustRightInd w:val="0"/>
              <w:snapToGrid w:val="0"/>
              <w:spacing w:line="360" w:lineRule="auto"/>
              <w:ind w:firstLine="420" w:firstLineChars="200"/>
              <w:rPr>
                <w:bCs/>
              </w:rPr>
            </w:pPr>
            <w:r>
              <w:rPr>
                <w:bCs/>
              </w:rPr>
              <w:t>项目使用导热油由供货商直接到厂添加，添加后的导热油桶由供货商带走循环使用，导热油不在厂区内进行存储，项目运行时无废导热油及废导热油桶产生。</w:t>
            </w:r>
          </w:p>
          <w:p>
            <w:pPr>
              <w:adjustRightInd w:val="0"/>
              <w:snapToGrid w:val="0"/>
              <w:spacing w:line="360" w:lineRule="auto"/>
              <w:ind w:firstLine="420" w:firstLineChars="200"/>
              <w:rPr>
                <w:bCs/>
              </w:rPr>
            </w:pPr>
            <w:r>
              <w:rPr>
                <w:bCs/>
              </w:rPr>
              <w:t>2</w:t>
            </w:r>
            <w:r>
              <w:rPr>
                <w:rFonts w:ascii="宋体" w:hAnsi="宋体"/>
                <w:bCs/>
              </w:rPr>
              <w:t>）石料（碎石）处理流程</w:t>
            </w:r>
          </w:p>
          <w:p>
            <w:pPr>
              <w:adjustRightInd w:val="0"/>
              <w:snapToGrid w:val="0"/>
              <w:spacing w:line="360" w:lineRule="auto"/>
              <w:ind w:firstLine="420" w:firstLineChars="200"/>
              <w:rPr>
                <w:bCs/>
              </w:rPr>
            </w:pPr>
            <w:r>
              <w:rPr>
                <w:rFonts w:ascii="宋体" w:hAnsi="宋体"/>
                <w:bCs/>
              </w:rPr>
              <w:t>满足产品需要规格的石料用斗车送入拌和装置进料池，然后通过皮带机自动进料。为使沥青混凝土产品不至于因过快冷却而带来运输上的不便，石料需提前经过热处理，由皮带输送机送入烘干滚筒，在其中不断加热，使石料受热均匀，加热</w:t>
            </w:r>
            <w:r>
              <w:rPr>
                <w:rFonts w:hint="eastAsia" w:ascii="宋体" w:hAnsi="宋体"/>
                <w:bCs/>
              </w:rPr>
              <w:t>筛分后</w:t>
            </w:r>
            <w:r>
              <w:rPr>
                <w:rFonts w:ascii="宋体" w:hAnsi="宋体"/>
                <w:bCs/>
              </w:rPr>
              <w:t>的石料通过提升机经计量后送入拌合缸。</w:t>
            </w:r>
          </w:p>
          <w:p>
            <w:pPr>
              <w:adjustRightInd w:val="0"/>
              <w:snapToGrid w:val="0"/>
              <w:spacing w:line="360" w:lineRule="auto"/>
              <w:ind w:firstLine="420" w:firstLineChars="200"/>
              <w:rPr>
                <w:bCs/>
              </w:rPr>
            </w:pPr>
            <w:r>
              <w:rPr>
                <w:rFonts w:hint="eastAsia" w:ascii="宋体" w:hAnsi="宋体"/>
                <w:bCs/>
              </w:rPr>
              <w:t>石料装卸及收集不合格石料过程会产生少量粉尘，经厂区洒水抑尘，运输过程遮盖等措施，无组织排放；</w:t>
            </w:r>
          </w:p>
          <w:p>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烘干滚筒采用柴油为燃料进行加热，产生的燃烧烟气经布袋除尘器（去除率达99%）</w:t>
            </w:r>
            <w:r>
              <w:rPr>
                <w:rFonts w:hint="default" w:ascii="Times New Roman" w:hAnsi="Times New Roman" w:cs="Times New Roman"/>
                <w:bCs/>
                <w:color w:val="auto"/>
                <w:lang w:val="en-US" w:eastAsia="zh-CN"/>
              </w:rPr>
              <w:t>+低氮燃烧（去除效率70%）</w:t>
            </w:r>
            <w:r>
              <w:rPr>
                <w:rFonts w:hint="default" w:ascii="Times New Roman" w:hAnsi="Times New Roman" w:cs="Times New Roman"/>
                <w:bCs/>
                <w:color w:val="auto"/>
              </w:rPr>
              <w:t>处理后，尾气经15m高2#排气筒排放；</w:t>
            </w:r>
          </w:p>
          <w:p>
            <w:pPr>
              <w:adjustRightInd w:val="0"/>
              <w:snapToGrid w:val="0"/>
              <w:spacing w:line="360" w:lineRule="auto"/>
              <w:ind w:firstLine="420" w:firstLineChars="200"/>
              <w:rPr>
                <w:bCs/>
              </w:rPr>
            </w:pPr>
            <w:r>
              <w:rPr>
                <w:rFonts w:ascii="宋体" w:hAnsi="宋体"/>
                <w:bCs/>
                <w:color w:val="auto"/>
              </w:rPr>
              <w:t>石料</w:t>
            </w:r>
            <w:r>
              <w:rPr>
                <w:rFonts w:hint="eastAsia" w:ascii="宋体" w:hAnsi="宋体"/>
                <w:bCs/>
                <w:color w:val="auto"/>
              </w:rPr>
              <w:t>筛分</w:t>
            </w:r>
            <w:r>
              <w:rPr>
                <w:rFonts w:ascii="宋体" w:hAnsi="宋体"/>
                <w:bCs/>
                <w:color w:val="auto"/>
              </w:rPr>
              <w:t>过程产生粉尘</w:t>
            </w:r>
            <w:r>
              <w:rPr>
                <w:rFonts w:hint="eastAsia" w:ascii="宋体" w:hAnsi="宋体"/>
                <w:bCs/>
                <w:color w:val="auto"/>
              </w:rPr>
              <w:t>经集气罩（</w:t>
            </w:r>
            <w:r>
              <w:rPr>
                <w:rFonts w:ascii="宋体" w:hAnsi="宋体"/>
                <w:bCs/>
                <w:color w:val="auto"/>
              </w:rPr>
              <w:t>风机风量</w:t>
            </w:r>
            <w:r>
              <w:rPr>
                <w:bCs/>
                <w:color w:val="auto"/>
              </w:rPr>
              <w:t>10000m</w:t>
            </w:r>
            <w:r>
              <w:rPr>
                <w:bCs/>
                <w:color w:val="auto"/>
                <w:vertAlign w:val="superscript"/>
              </w:rPr>
              <w:t>3</w:t>
            </w:r>
            <w:r>
              <w:rPr>
                <w:bCs/>
                <w:color w:val="auto"/>
              </w:rPr>
              <w:t>/h</w:t>
            </w:r>
            <w:r>
              <w:rPr>
                <w:rFonts w:hint="eastAsia" w:ascii="宋体" w:hAnsi="宋体"/>
                <w:bCs/>
                <w:color w:val="auto"/>
              </w:rPr>
              <w:t>）收集后，</w:t>
            </w:r>
            <w:r>
              <w:rPr>
                <w:rFonts w:ascii="宋体" w:hAnsi="宋体"/>
                <w:bCs/>
                <w:color w:val="auto"/>
              </w:rPr>
              <w:t>集气率</w:t>
            </w:r>
            <w:r>
              <w:rPr>
                <w:bCs/>
                <w:color w:val="auto"/>
              </w:rPr>
              <w:t>85%</w:t>
            </w:r>
            <w:r>
              <w:rPr>
                <w:rFonts w:ascii="宋体" w:hAnsi="宋体"/>
                <w:bCs/>
                <w:color w:val="auto"/>
              </w:rPr>
              <w:t>，与燃烧烟气由布袋除尘器（去除率</w:t>
            </w:r>
            <w:r>
              <w:rPr>
                <w:bCs/>
                <w:color w:val="auto"/>
              </w:rPr>
              <w:t>99%</w:t>
            </w:r>
            <w:r>
              <w:rPr>
                <w:rFonts w:ascii="宋体" w:hAnsi="宋体"/>
                <w:bCs/>
                <w:color w:val="auto"/>
              </w:rPr>
              <w:t>）共同处理，</w:t>
            </w:r>
            <w:r>
              <w:rPr>
                <w:rFonts w:hint="eastAsia" w:ascii="宋体" w:hAnsi="宋体"/>
                <w:bCs/>
                <w:color w:val="auto"/>
              </w:rPr>
              <w:t>尾气</w:t>
            </w:r>
            <w:r>
              <w:rPr>
                <w:rFonts w:ascii="宋体" w:hAnsi="宋体"/>
                <w:bCs/>
                <w:color w:val="auto"/>
              </w:rPr>
              <w:t>经同一排口（</w:t>
            </w:r>
            <w:r>
              <w:rPr>
                <w:bCs/>
                <w:color w:val="auto"/>
              </w:rPr>
              <w:t>2#</w:t>
            </w:r>
            <w:r>
              <w:rPr>
                <w:rFonts w:ascii="宋体" w:hAnsi="宋体"/>
                <w:bCs/>
                <w:color w:val="auto"/>
              </w:rPr>
              <w:t>排气</w:t>
            </w:r>
            <w:r>
              <w:rPr>
                <w:rFonts w:ascii="宋体" w:hAnsi="宋体"/>
                <w:bCs/>
              </w:rPr>
              <w:t>筒）排出</w:t>
            </w:r>
            <w:r>
              <w:rPr>
                <w:rFonts w:hint="eastAsia" w:ascii="宋体" w:hAnsi="宋体"/>
                <w:bCs/>
              </w:rPr>
              <w:t>；</w:t>
            </w:r>
          </w:p>
          <w:p>
            <w:pPr>
              <w:adjustRightInd w:val="0"/>
              <w:snapToGrid w:val="0"/>
              <w:spacing w:line="360" w:lineRule="auto"/>
              <w:ind w:firstLine="420" w:firstLineChars="200"/>
              <w:rPr>
                <w:bCs/>
              </w:rPr>
            </w:pPr>
            <w:r>
              <w:rPr>
                <w:rFonts w:hint="eastAsia" w:ascii="宋体" w:hAnsi="宋体"/>
                <w:bCs/>
              </w:rPr>
              <w:t>石料经筛分后产生的不合格石料收集至筛分机下方收集箱内，及时清理，收集后暂存于厂区料仓内，统一返回厂家进行破碎。</w:t>
            </w:r>
          </w:p>
          <w:p>
            <w:pPr>
              <w:adjustRightInd w:val="0"/>
              <w:snapToGrid w:val="0"/>
              <w:spacing w:line="360" w:lineRule="auto"/>
              <w:ind w:firstLine="420" w:firstLineChars="200"/>
              <w:rPr>
                <w:bCs/>
              </w:rPr>
            </w:pPr>
            <w:r>
              <w:rPr>
                <w:bCs/>
              </w:rPr>
              <w:t>3</w:t>
            </w:r>
            <w:r>
              <w:rPr>
                <w:rFonts w:ascii="宋体" w:hAnsi="宋体"/>
                <w:bCs/>
              </w:rPr>
              <w:t>）搅拌混合</w:t>
            </w:r>
            <w:r>
              <w:rPr>
                <w:rFonts w:hint="eastAsia" w:ascii="宋体" w:hAnsi="宋体"/>
                <w:bCs/>
              </w:rPr>
              <w:t>、卸料</w:t>
            </w:r>
            <w:r>
              <w:rPr>
                <w:rFonts w:ascii="宋体" w:hAnsi="宋体"/>
                <w:bCs/>
              </w:rPr>
              <w:t>工序</w:t>
            </w:r>
          </w:p>
          <w:p>
            <w:pPr>
              <w:adjustRightInd w:val="0"/>
              <w:snapToGrid w:val="0"/>
              <w:spacing w:line="360" w:lineRule="auto"/>
              <w:ind w:firstLine="420" w:firstLineChars="200"/>
              <w:rPr>
                <w:bCs/>
              </w:rPr>
            </w:pPr>
            <w:r>
              <w:rPr>
                <w:rFonts w:ascii="宋体" w:hAnsi="宋体"/>
                <w:bCs/>
              </w:rPr>
              <w:t>进入搅拌缸的石料与热沥青拌合后产生成品，整个过程都在密闭系统中进行。成品出料后装入运输车送出，生产出料为间断式。</w:t>
            </w:r>
          </w:p>
          <w:p>
            <w:pPr>
              <w:adjustRightInd w:val="0"/>
              <w:snapToGrid w:val="0"/>
              <w:spacing w:line="360" w:lineRule="auto"/>
              <w:ind w:firstLine="420" w:firstLineChars="200"/>
              <w:rPr>
                <w:bCs/>
              </w:rPr>
            </w:pPr>
            <w:r>
              <w:rPr>
                <w:rFonts w:ascii="宋体" w:hAnsi="宋体"/>
                <w:bCs/>
              </w:rPr>
              <w:t>混合搅拌</w:t>
            </w:r>
            <w:r>
              <w:rPr>
                <w:rFonts w:hint="eastAsia" w:ascii="宋体" w:hAnsi="宋体"/>
                <w:bCs/>
              </w:rPr>
              <w:t>后</w:t>
            </w:r>
            <w:r>
              <w:rPr>
                <w:rFonts w:ascii="宋体" w:hAnsi="宋体"/>
                <w:bCs/>
              </w:rPr>
              <w:t>产生的沥青烟气</w:t>
            </w:r>
            <w:r>
              <w:rPr>
                <w:rFonts w:hint="eastAsia" w:ascii="宋体" w:hAnsi="宋体"/>
                <w:bCs/>
              </w:rPr>
              <w:t>于出料口处</w:t>
            </w:r>
            <w:r>
              <w:rPr>
                <w:rFonts w:ascii="宋体" w:hAnsi="宋体"/>
                <w:bCs/>
              </w:rPr>
              <w:t>经集气罩（风机风量</w:t>
            </w:r>
            <w:r>
              <w:rPr>
                <w:bCs/>
              </w:rPr>
              <w:t>40000m</w:t>
            </w:r>
            <w:r>
              <w:rPr>
                <w:bCs/>
                <w:vertAlign w:val="superscript"/>
              </w:rPr>
              <w:t>3</w:t>
            </w:r>
            <w:r>
              <w:rPr>
                <w:bCs/>
              </w:rPr>
              <w:t>/h</w:t>
            </w:r>
            <w:r>
              <w:rPr>
                <w:rFonts w:ascii="宋体" w:hAnsi="宋体"/>
                <w:bCs/>
              </w:rPr>
              <w:t>）收集后，集气率</w:t>
            </w:r>
            <w:r>
              <w:rPr>
                <w:bCs/>
              </w:rPr>
              <w:t>85%</w:t>
            </w:r>
            <w:r>
              <w:rPr>
                <w:rFonts w:ascii="宋体" w:hAnsi="宋体"/>
                <w:bCs/>
              </w:rPr>
              <w:t>，采用活性炭进行吸附净化处理，净化效率达</w:t>
            </w:r>
            <w:r>
              <w:rPr>
                <w:bCs/>
              </w:rPr>
              <w:t>98.5%</w:t>
            </w:r>
            <w:r>
              <w:rPr>
                <w:rFonts w:ascii="宋体" w:hAnsi="宋体"/>
                <w:bCs/>
              </w:rPr>
              <w:t>，处理后尾气经</w:t>
            </w:r>
            <w:r>
              <w:rPr>
                <w:bCs/>
              </w:rPr>
              <w:t>2#</w:t>
            </w:r>
            <w:r>
              <w:rPr>
                <w:rFonts w:ascii="宋体" w:hAnsi="宋体"/>
                <w:bCs/>
              </w:rPr>
              <w:t>排气筒排</w:t>
            </w:r>
            <w:r>
              <w:rPr>
                <w:rFonts w:hint="eastAsia" w:ascii="宋体" w:hAnsi="宋体"/>
                <w:bCs/>
              </w:rPr>
              <w:t>出，少量无组织逸散；</w:t>
            </w:r>
          </w:p>
          <w:p>
            <w:pPr>
              <w:adjustRightInd w:val="0"/>
              <w:snapToGrid w:val="0"/>
              <w:spacing w:line="360" w:lineRule="auto"/>
              <w:ind w:firstLine="420" w:firstLineChars="200"/>
              <w:rPr>
                <w:bCs/>
              </w:rPr>
            </w:pPr>
            <w:r>
              <w:rPr>
                <w:rFonts w:hint="eastAsia" w:ascii="宋体" w:hAnsi="宋体"/>
                <w:bCs/>
              </w:rPr>
              <w:t>沥青管道输送过程接口处可能会产生少量沥青滴漏，拌合后成品卸料时可能会产生少量拌合残渣，收集后作为原料回用于生产。</w:t>
            </w:r>
          </w:p>
          <w:p>
            <w:pPr>
              <w:adjustRightInd w:val="0"/>
              <w:snapToGrid w:val="0"/>
              <w:spacing w:line="360" w:lineRule="auto"/>
              <w:ind w:firstLine="420" w:firstLineChars="20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675" w:type="dxa"/>
            <w:tcBorders>
              <w:top w:val="single" w:color="auto" w:sz="4" w:space="0"/>
              <w:left w:val="single" w:color="auto" w:sz="8" w:space="0"/>
              <w:bottom w:val="single" w:color="auto" w:sz="8" w:space="0"/>
              <w:right w:val="single" w:color="auto" w:sz="4" w:space="0"/>
            </w:tcBorders>
            <w:shd w:val="clear" w:color="auto" w:fill="auto"/>
            <w:vAlign w:val="center"/>
          </w:tcPr>
          <w:p>
            <w:pPr>
              <w:pStyle w:val="8"/>
              <w:adjustRightInd w:val="0"/>
              <w:snapToGrid w:val="0"/>
              <w:spacing w:beforeAutospacing="0" w:afterAutospacing="0"/>
              <w:jc w:val="center"/>
              <w:rPr>
                <w:rFonts w:hint="default" w:cs="宋体"/>
                <w:kern w:val="2"/>
                <w:sz w:val="21"/>
                <w:szCs w:val="21"/>
              </w:rPr>
            </w:pPr>
            <w:r>
              <w:rPr>
                <w:rFonts w:cs="宋体"/>
                <w:bCs/>
                <w:kern w:val="2"/>
                <w:sz w:val="21"/>
                <w:szCs w:val="21"/>
              </w:rPr>
              <w:t>与项目有关的原有环境污染问题</w:t>
            </w:r>
          </w:p>
        </w:tc>
        <w:tc>
          <w:tcPr>
            <w:tcW w:w="8385" w:type="dxa"/>
            <w:tcBorders>
              <w:top w:val="single" w:color="auto" w:sz="4" w:space="0"/>
              <w:left w:val="single" w:color="auto" w:sz="4" w:space="0"/>
              <w:bottom w:val="single" w:color="auto" w:sz="8" w:space="0"/>
              <w:right w:val="single" w:color="auto" w:sz="8" w:space="0"/>
            </w:tcBorders>
            <w:shd w:val="clear" w:color="auto" w:fill="auto"/>
            <w:vAlign w:val="center"/>
          </w:tcPr>
          <w:p>
            <w:pPr>
              <w:adjustRightInd w:val="0"/>
              <w:snapToGrid w:val="0"/>
              <w:spacing w:line="360" w:lineRule="auto"/>
              <w:ind w:firstLine="420" w:firstLineChars="200"/>
              <w:rPr>
                <w:bCs/>
              </w:rPr>
            </w:pPr>
            <w:r>
              <w:rPr>
                <w:bCs/>
              </w:rPr>
              <w:t>本项目于2015年7月建成，未办理相关环保手续，</w:t>
            </w:r>
            <w:r>
              <w:rPr>
                <w:rFonts w:hint="eastAsia"/>
                <w:bCs/>
                <w:lang w:val="en-US" w:eastAsia="zh-CN"/>
              </w:rPr>
              <w:t>属未批先建项目，白山市江源区环境保护局勒令其停工，办理环评手续后，方可开工建设。</w:t>
            </w:r>
            <w:r>
              <w:rPr>
                <w:bCs/>
              </w:rPr>
              <w:t>根据《中华人民共和国环境影响评价法》（2018.12修订）及《关于建设项目“未批先建”违法行为法律适用问题的意见》（环政法函〔2018〕31号）中相关规定，不对该项目进行处罚。</w:t>
            </w:r>
          </w:p>
          <w:p>
            <w:pPr>
              <w:adjustRightInd w:val="0"/>
              <w:snapToGrid w:val="0"/>
              <w:spacing w:line="360" w:lineRule="auto"/>
              <w:ind w:firstLine="420" w:firstLineChars="200"/>
              <w:rPr>
                <w:bCs/>
              </w:rPr>
            </w:pPr>
            <w:r>
              <w:rPr>
                <w:bCs/>
              </w:rPr>
              <w:t>项目厂区位于白山市石人镇小河口村冰湖沟一处荒地，来源于租赁，占地面积14000m</w:t>
            </w:r>
            <w:r>
              <w:rPr>
                <w:bCs/>
                <w:vertAlign w:val="superscript"/>
              </w:rPr>
              <w:t>2</w:t>
            </w:r>
            <w:r>
              <w:rPr>
                <w:bCs/>
              </w:rPr>
              <w:t>，建筑面积900m</w:t>
            </w:r>
            <w:r>
              <w:rPr>
                <w:bCs/>
                <w:vertAlign w:val="superscript"/>
              </w:rPr>
              <w:t>2</w:t>
            </w:r>
            <w:r>
              <w:rPr>
                <w:bCs/>
              </w:rPr>
              <w:t>，包括办公室、搅拌站、防渗旱厕等。项目</w:t>
            </w:r>
            <w:r>
              <w:rPr>
                <w:rFonts w:hint="eastAsia"/>
                <w:bCs/>
                <w:lang w:val="en-US" w:eastAsia="zh-CN"/>
              </w:rPr>
              <w:t>计划</w:t>
            </w:r>
            <w:r>
              <w:rPr>
                <w:bCs/>
              </w:rPr>
              <w:t>年生产沥青混凝土80000t，现有劳动定员8人，年生产90天，每天工作16小时。</w:t>
            </w:r>
          </w:p>
          <w:p>
            <w:pPr>
              <w:adjustRightInd w:val="0"/>
              <w:snapToGrid w:val="0"/>
              <w:spacing w:line="360" w:lineRule="auto"/>
              <w:ind w:firstLine="420" w:firstLineChars="200"/>
              <w:rPr>
                <w:bCs/>
              </w:rPr>
            </w:pPr>
            <w:r>
              <w:rPr>
                <w:bCs/>
              </w:rPr>
              <w:t>1、污染物排放情况</w:t>
            </w:r>
          </w:p>
          <w:p>
            <w:pPr>
              <w:adjustRightInd w:val="0"/>
              <w:snapToGrid w:val="0"/>
              <w:spacing w:line="360" w:lineRule="auto"/>
              <w:ind w:firstLine="420" w:firstLineChars="200"/>
              <w:rPr>
                <w:bCs/>
              </w:rPr>
            </w:pPr>
            <w:r>
              <w:rPr>
                <w:rFonts w:hint="eastAsia"/>
                <w:bCs/>
              </w:rPr>
              <w:t>厂区目前正处于停产状态，现有各环保设施的建设运行状况良好，环境管理情况良好，运营多年来未发生过环境信访事件。</w:t>
            </w:r>
          </w:p>
          <w:p>
            <w:pPr>
              <w:adjustRightInd w:val="0"/>
              <w:snapToGrid w:val="0"/>
              <w:spacing w:line="360" w:lineRule="auto"/>
              <w:ind w:firstLine="420" w:firstLineChars="200"/>
              <w:rPr>
                <w:rFonts w:hint="default" w:eastAsia="宋体"/>
                <w:bCs/>
                <w:lang w:val="en-US" w:eastAsia="zh-CN"/>
              </w:rPr>
            </w:pPr>
            <w:r>
              <w:rPr>
                <w:rFonts w:hint="eastAsia"/>
                <w:bCs/>
              </w:rPr>
              <w:t>原有污染物情况无法进行现场检测，故以本次环评工程分析和预测结果作为是否达标排放、污染防治措施是否可行的依据</w:t>
            </w:r>
            <w:r>
              <w:rPr>
                <w:rFonts w:hint="eastAsia"/>
                <w:bCs/>
                <w:lang w:eastAsia="zh-CN"/>
              </w:rPr>
              <w:t>，</w:t>
            </w:r>
            <w:r>
              <w:rPr>
                <w:rFonts w:hint="eastAsia"/>
                <w:bCs/>
                <w:lang w:val="en-US" w:eastAsia="zh-CN"/>
              </w:rPr>
              <w:t>具体见主要环境影响及大气专项评价章节。</w:t>
            </w:r>
          </w:p>
          <w:p>
            <w:pPr>
              <w:adjustRightInd w:val="0"/>
              <w:snapToGrid w:val="0"/>
              <w:spacing w:line="360" w:lineRule="auto"/>
              <w:ind w:firstLine="420" w:firstLineChars="200"/>
              <w:rPr>
                <w:rFonts w:hint="default" w:eastAsia="宋体"/>
                <w:bCs/>
                <w:lang w:val="en-US" w:eastAsia="zh-CN"/>
              </w:rPr>
            </w:pPr>
            <w:r>
              <w:rPr>
                <w:rFonts w:hint="eastAsia"/>
                <w:bCs/>
                <w:lang w:eastAsia="zh-CN"/>
              </w:rPr>
              <w:t>（</w:t>
            </w:r>
            <w:r>
              <w:rPr>
                <w:rFonts w:hint="eastAsia"/>
                <w:bCs/>
                <w:lang w:val="en-US" w:eastAsia="zh-CN"/>
              </w:rPr>
              <w:t>1</w:t>
            </w:r>
            <w:r>
              <w:rPr>
                <w:rFonts w:hint="eastAsia"/>
                <w:bCs/>
                <w:lang w:eastAsia="zh-CN"/>
              </w:rPr>
              <w:t>）</w:t>
            </w:r>
            <w:r>
              <w:rPr>
                <w:rFonts w:hint="eastAsia"/>
                <w:bCs/>
                <w:lang w:val="en-US" w:eastAsia="zh-CN"/>
              </w:rPr>
              <w:t>废气</w:t>
            </w:r>
          </w:p>
          <w:p>
            <w:pPr>
              <w:adjustRightInd w:val="0"/>
              <w:snapToGrid w:val="0"/>
              <w:spacing w:line="360" w:lineRule="auto"/>
              <w:ind w:firstLine="420" w:firstLineChars="200"/>
              <w:rPr>
                <w:bCs/>
              </w:rPr>
            </w:pPr>
            <w:r>
              <w:rPr>
                <w:rFonts w:hint="eastAsia" w:ascii="宋体" w:hAnsi="宋体"/>
                <w:bCs/>
              </w:rPr>
              <w:t>①</w:t>
            </w:r>
            <w:r>
              <w:rPr>
                <w:rFonts w:ascii="宋体" w:hAnsi="宋体"/>
                <w:bCs/>
              </w:rPr>
              <w:t>导热油炉烟气</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bCs/>
              </w:rPr>
            </w:pPr>
            <w:r>
              <w:rPr>
                <w:rFonts w:ascii="宋体" w:hAnsi="宋体"/>
                <w:bCs/>
              </w:rPr>
              <w:t>本项目在生产过程中安装</w:t>
            </w:r>
            <w:r>
              <w:rPr>
                <w:bCs/>
              </w:rPr>
              <w:t>1</w:t>
            </w:r>
            <w:r>
              <w:rPr>
                <w:rFonts w:ascii="宋体" w:hAnsi="宋体"/>
                <w:bCs/>
              </w:rPr>
              <w:t>台导热油炉对沥青</w:t>
            </w:r>
            <w:r>
              <w:rPr>
                <w:rFonts w:hint="eastAsia" w:ascii="宋体" w:hAnsi="宋体"/>
                <w:bCs/>
              </w:rPr>
              <w:t>进行</w:t>
            </w:r>
            <w:r>
              <w:rPr>
                <w:rFonts w:ascii="宋体" w:hAnsi="宋体"/>
                <w:bCs/>
              </w:rPr>
              <w:t>加热，导热油炉以</w:t>
            </w:r>
            <w:r>
              <w:rPr>
                <w:rFonts w:hint="eastAsia" w:ascii="宋体" w:hAnsi="宋体"/>
                <w:bCs/>
              </w:rPr>
              <w:t>柴</w:t>
            </w:r>
            <w:r>
              <w:rPr>
                <w:rFonts w:ascii="宋体" w:hAnsi="宋体"/>
                <w:bCs/>
              </w:rPr>
              <w:t>油为燃料，年燃</w:t>
            </w:r>
            <w:r>
              <w:rPr>
                <w:rFonts w:hint="eastAsia" w:ascii="宋体" w:hAnsi="宋体"/>
                <w:bCs/>
              </w:rPr>
              <w:t>柴</w:t>
            </w:r>
            <w:r>
              <w:rPr>
                <w:rFonts w:ascii="宋体" w:hAnsi="宋体"/>
                <w:bCs/>
              </w:rPr>
              <w:t>油量</w:t>
            </w:r>
            <w:r>
              <w:rPr>
                <w:bCs/>
              </w:rPr>
              <w:t>15t</w:t>
            </w:r>
            <w:r>
              <w:rPr>
                <w:rFonts w:ascii="宋体" w:hAnsi="宋体"/>
                <w:bCs/>
              </w:rPr>
              <w:t>，</w:t>
            </w:r>
            <w:r>
              <w:rPr>
                <w:rFonts w:hint="eastAsia" w:ascii="宋体" w:hAnsi="宋体"/>
                <w:bCs/>
              </w:rPr>
              <w:t>含硫率</w:t>
            </w:r>
            <w:r>
              <w:rPr>
                <w:rFonts w:hint="eastAsia"/>
                <w:bCs/>
              </w:rPr>
              <w:t>0</w:t>
            </w:r>
            <w:r>
              <w:rPr>
                <w:bCs/>
              </w:rPr>
              <w:t>.15</w:t>
            </w:r>
            <w:r>
              <w:rPr>
                <w:rFonts w:hint="eastAsia"/>
                <w:bCs/>
              </w:rPr>
              <w:t>%</w:t>
            </w:r>
            <w:r>
              <w:rPr>
                <w:rFonts w:hint="eastAsia" w:ascii="宋体" w:hAnsi="宋体"/>
                <w:bCs/>
              </w:rPr>
              <w:t>；</w:t>
            </w:r>
            <w:r>
              <w:rPr>
                <w:rFonts w:ascii="宋体" w:hAnsi="宋体"/>
                <w:bCs/>
              </w:rPr>
              <w:t>以导热油为传热导体，导热油循环使用，不排放</w:t>
            </w:r>
            <w:r>
              <w:rPr>
                <w:rFonts w:hint="eastAsia" w:ascii="宋体" w:hAnsi="宋体"/>
                <w:bCs/>
              </w:rPr>
              <w:t>。</w:t>
            </w:r>
            <w:r>
              <w:rPr>
                <w:rFonts w:ascii="宋体" w:hAnsi="宋体"/>
                <w:bCs/>
              </w:rPr>
              <w:t>导热油炉烟气中主要污染物为烟尘、</w:t>
            </w:r>
            <w:r>
              <w:rPr>
                <w:bCs/>
              </w:rPr>
              <w:t>SO</w:t>
            </w:r>
            <w:r>
              <w:rPr>
                <w:bCs/>
                <w:vertAlign w:val="subscript"/>
              </w:rPr>
              <w:t>2</w:t>
            </w:r>
            <w:r>
              <w:rPr>
                <w:rFonts w:ascii="宋体" w:hAnsi="宋体"/>
                <w:bCs/>
              </w:rPr>
              <w:t>和</w:t>
            </w:r>
            <w:r>
              <w:rPr>
                <w:bCs/>
              </w:rPr>
              <w:t>NO</w:t>
            </w:r>
            <w:r>
              <w:rPr>
                <w:bCs/>
                <w:vertAlign w:val="subscript"/>
              </w:rPr>
              <w:t>x</w:t>
            </w:r>
            <w:r>
              <w:rPr>
                <w:rFonts w:hint="eastAsia" w:ascii="宋体" w:hAnsi="宋体"/>
                <w:bCs/>
              </w:rPr>
              <w:t>，烟气由布袋除尘器处理后，尾气经</w:t>
            </w:r>
            <w:r>
              <w:rPr>
                <w:rFonts w:hint="eastAsia"/>
                <w:bCs/>
              </w:rPr>
              <w:t>1</w:t>
            </w:r>
            <w:r>
              <w:rPr>
                <w:bCs/>
              </w:rPr>
              <w:t>5m</w:t>
            </w:r>
            <w:r>
              <w:rPr>
                <w:rFonts w:hint="eastAsia" w:ascii="宋体" w:hAnsi="宋体"/>
                <w:bCs/>
              </w:rPr>
              <w:t>高排气筒排放。</w:t>
            </w:r>
          </w:p>
          <w:p>
            <w:pPr>
              <w:adjustRightInd w:val="0"/>
              <w:snapToGrid w:val="0"/>
              <w:spacing w:line="360" w:lineRule="auto"/>
              <w:ind w:firstLine="420" w:firstLineChars="200"/>
              <w:rPr>
                <w:bCs/>
              </w:rPr>
            </w:pPr>
            <w:r>
              <w:rPr>
                <w:rFonts w:hint="eastAsia" w:ascii="宋体" w:hAnsi="宋体"/>
                <w:bCs/>
              </w:rPr>
              <w:t>根据</w:t>
            </w:r>
            <w:r>
              <w:rPr>
                <w:rFonts w:ascii="宋体" w:hAnsi="宋体"/>
                <w:bCs/>
              </w:rPr>
              <w:t>《第二次全国污染源普查产排污核算系数手册（试用版）》中</w:t>
            </w:r>
            <w:r>
              <w:rPr>
                <w:rFonts w:hint="eastAsia" w:ascii="宋体" w:hAnsi="宋体"/>
                <w:bCs/>
              </w:rPr>
              <w:t>“</w:t>
            </w:r>
            <w:r>
              <w:rPr>
                <w:rFonts w:hint="eastAsia"/>
                <w:bCs/>
              </w:rPr>
              <w:t>4</w:t>
            </w:r>
            <w:r>
              <w:rPr>
                <w:bCs/>
              </w:rPr>
              <w:t xml:space="preserve">430 </w:t>
            </w:r>
            <w:r>
              <w:rPr>
                <w:rFonts w:hint="eastAsia" w:ascii="宋体" w:hAnsi="宋体"/>
                <w:bCs/>
              </w:rPr>
              <w:t>工业锅炉（热力供应）行业系数手册”</w:t>
            </w:r>
            <w:r>
              <w:rPr>
                <w:bCs/>
              </w:rPr>
              <w:t>—</w:t>
            </w:r>
            <w:r>
              <w:rPr>
                <w:rFonts w:hint="eastAsia" w:ascii="宋体" w:hAnsi="宋体"/>
                <w:bCs/>
              </w:rPr>
              <w:t>燃油工业锅炉产污系数</w:t>
            </w:r>
            <w:r>
              <w:rPr>
                <w:rFonts w:hint="eastAsia" w:ascii="宋体" w:hAnsi="宋体"/>
                <w:bCs/>
                <w:lang w:eastAsia="zh-CN"/>
              </w:rPr>
              <w:t>，</w:t>
            </w:r>
            <w:r>
              <w:rPr>
                <w:rFonts w:hint="eastAsia" w:ascii="宋体" w:hAnsi="宋体"/>
                <w:bCs/>
              </w:rPr>
              <w:t>本项目</w:t>
            </w:r>
            <w:r>
              <w:rPr>
                <w:rFonts w:ascii="宋体" w:hAnsi="宋体"/>
                <w:bCs/>
              </w:rPr>
              <w:t>导热油炉烟气污染物产生及排放情况详见下表。</w:t>
            </w:r>
          </w:p>
          <w:p>
            <w:pPr>
              <w:adjustRightInd w:val="0"/>
              <w:snapToGrid w:val="0"/>
              <w:spacing w:line="360" w:lineRule="auto"/>
              <w:jc w:val="center"/>
              <w:rPr>
                <w:rFonts w:hint="default" w:eastAsia="宋体"/>
                <w:bCs/>
                <w:lang w:val="en-US" w:eastAsia="zh-CN"/>
              </w:rPr>
            </w:pPr>
            <w:r>
              <w:rPr>
                <w:rFonts w:hint="eastAsia"/>
                <w:bCs/>
                <w:lang w:val="en-US" w:eastAsia="zh-CN"/>
              </w:rPr>
              <w:t xml:space="preserve">表2-5  </w:t>
            </w:r>
            <w:r>
              <w:rPr>
                <w:rFonts w:ascii="宋体" w:hAnsi="宋体"/>
                <w:bCs/>
              </w:rPr>
              <w:t>导热油炉烟气污染物产生及排放情况一览表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5"/>
              <w:gridCol w:w="753"/>
              <w:gridCol w:w="946"/>
              <w:gridCol w:w="588"/>
              <w:gridCol w:w="1103"/>
              <w:gridCol w:w="790"/>
              <w:gridCol w:w="422"/>
              <w:gridCol w:w="1103"/>
              <w:gridCol w:w="790"/>
              <w:gridCol w:w="1103"/>
              <w:gridCol w:w="4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6" w:type="pct"/>
                  <w:vAlign w:val="center"/>
                </w:tcPr>
                <w:p>
                  <w:pPr>
                    <w:adjustRightInd w:val="0"/>
                    <w:snapToGrid w:val="0"/>
                    <w:jc w:val="center"/>
                    <w:rPr>
                      <w:sz w:val="18"/>
                      <w:szCs w:val="18"/>
                    </w:rPr>
                  </w:pPr>
                  <w:r>
                    <w:rPr>
                      <w:sz w:val="18"/>
                      <w:szCs w:val="18"/>
                    </w:rPr>
                    <w:t>污染源</w:t>
                  </w:r>
                </w:p>
              </w:tc>
              <w:tc>
                <w:tcPr>
                  <w:tcW w:w="446" w:type="pct"/>
                  <w:vAlign w:val="center"/>
                </w:tcPr>
                <w:p>
                  <w:pPr>
                    <w:adjustRightInd w:val="0"/>
                    <w:snapToGrid w:val="0"/>
                    <w:jc w:val="center"/>
                    <w:rPr>
                      <w:sz w:val="18"/>
                      <w:szCs w:val="18"/>
                    </w:rPr>
                  </w:pPr>
                  <w:r>
                    <w:rPr>
                      <w:sz w:val="18"/>
                      <w:szCs w:val="18"/>
                    </w:rPr>
                    <w:t>排气筒高（m</w:t>
                  </w:r>
                  <w:r>
                    <w:rPr>
                      <w:rFonts w:ascii="宋体" w:hAnsi="宋体"/>
                      <w:sz w:val="18"/>
                      <w:szCs w:val="18"/>
                    </w:rPr>
                    <w:t>）</w:t>
                  </w:r>
                </w:p>
              </w:tc>
              <w:tc>
                <w:tcPr>
                  <w:tcW w:w="560" w:type="pct"/>
                  <w:vAlign w:val="center"/>
                </w:tcPr>
                <w:p>
                  <w:pPr>
                    <w:adjustRightInd w:val="0"/>
                    <w:snapToGrid w:val="0"/>
                    <w:jc w:val="center"/>
                    <w:rPr>
                      <w:sz w:val="18"/>
                      <w:szCs w:val="18"/>
                    </w:rPr>
                  </w:pPr>
                  <w:r>
                    <w:rPr>
                      <w:sz w:val="18"/>
                      <w:szCs w:val="18"/>
                    </w:rPr>
                    <w:t>烟气量（m</w:t>
                  </w:r>
                  <w:r>
                    <w:rPr>
                      <w:sz w:val="18"/>
                      <w:szCs w:val="18"/>
                      <w:vertAlign w:val="superscript"/>
                    </w:rPr>
                    <w:t>3</w:t>
                  </w:r>
                  <w:r>
                    <w:rPr>
                      <w:sz w:val="18"/>
                      <w:szCs w:val="18"/>
                    </w:rPr>
                    <w:t>/a</w:t>
                  </w:r>
                  <w:r>
                    <w:rPr>
                      <w:rFonts w:ascii="宋体" w:hAnsi="宋体"/>
                      <w:sz w:val="18"/>
                      <w:szCs w:val="18"/>
                    </w:rPr>
                    <w:t>）</w:t>
                  </w:r>
                </w:p>
              </w:tc>
              <w:tc>
                <w:tcPr>
                  <w:tcW w:w="348" w:type="pct"/>
                  <w:vAlign w:val="center"/>
                </w:tcPr>
                <w:p>
                  <w:pPr>
                    <w:adjustRightInd w:val="0"/>
                    <w:snapToGrid w:val="0"/>
                    <w:jc w:val="center"/>
                    <w:rPr>
                      <w:sz w:val="18"/>
                      <w:szCs w:val="18"/>
                    </w:rPr>
                  </w:pPr>
                  <w:r>
                    <w:rPr>
                      <w:sz w:val="18"/>
                      <w:szCs w:val="18"/>
                    </w:rPr>
                    <w:t>污染物名称</w:t>
                  </w:r>
                </w:p>
              </w:tc>
              <w:tc>
                <w:tcPr>
                  <w:tcW w:w="653" w:type="pct"/>
                  <w:vAlign w:val="center"/>
                </w:tcPr>
                <w:p>
                  <w:pPr>
                    <w:adjustRightInd w:val="0"/>
                    <w:snapToGrid w:val="0"/>
                    <w:jc w:val="center"/>
                    <w:rPr>
                      <w:sz w:val="18"/>
                      <w:szCs w:val="18"/>
                    </w:rPr>
                  </w:pPr>
                  <w:r>
                    <w:rPr>
                      <w:sz w:val="18"/>
                      <w:szCs w:val="18"/>
                    </w:rPr>
                    <w:t>产生浓度（mg/m</w:t>
                  </w:r>
                  <w:r>
                    <w:rPr>
                      <w:sz w:val="18"/>
                      <w:szCs w:val="18"/>
                      <w:vertAlign w:val="superscript"/>
                    </w:rPr>
                    <w:t>3</w:t>
                  </w:r>
                  <w:r>
                    <w:rPr>
                      <w:sz w:val="18"/>
                      <w:szCs w:val="18"/>
                    </w:rPr>
                    <w:t>）</w:t>
                  </w:r>
                </w:p>
              </w:tc>
              <w:tc>
                <w:tcPr>
                  <w:tcW w:w="468" w:type="pct"/>
                  <w:vAlign w:val="center"/>
                </w:tcPr>
                <w:p>
                  <w:pPr>
                    <w:adjustRightInd w:val="0"/>
                    <w:snapToGrid w:val="0"/>
                    <w:jc w:val="center"/>
                    <w:rPr>
                      <w:sz w:val="18"/>
                      <w:szCs w:val="18"/>
                    </w:rPr>
                  </w:pPr>
                  <w:r>
                    <w:rPr>
                      <w:sz w:val="18"/>
                      <w:szCs w:val="18"/>
                    </w:rPr>
                    <w:t>产生量（t/a</w:t>
                  </w:r>
                  <w:r>
                    <w:rPr>
                      <w:rFonts w:ascii="宋体" w:hAnsi="宋体"/>
                      <w:sz w:val="18"/>
                      <w:szCs w:val="18"/>
                    </w:rPr>
                    <w:t>）</w:t>
                  </w:r>
                </w:p>
              </w:tc>
              <w:tc>
                <w:tcPr>
                  <w:tcW w:w="250" w:type="pct"/>
                  <w:vAlign w:val="center"/>
                </w:tcPr>
                <w:p>
                  <w:pPr>
                    <w:adjustRightInd w:val="0"/>
                    <w:snapToGrid w:val="0"/>
                    <w:jc w:val="center"/>
                    <w:rPr>
                      <w:sz w:val="18"/>
                      <w:szCs w:val="18"/>
                    </w:rPr>
                  </w:pPr>
                  <w:r>
                    <w:rPr>
                      <w:sz w:val="18"/>
                      <w:szCs w:val="18"/>
                    </w:rPr>
                    <w:t>治理措施</w:t>
                  </w:r>
                </w:p>
              </w:tc>
              <w:tc>
                <w:tcPr>
                  <w:tcW w:w="653" w:type="pct"/>
                  <w:vAlign w:val="center"/>
                </w:tcPr>
                <w:p>
                  <w:pPr>
                    <w:adjustRightInd w:val="0"/>
                    <w:snapToGrid w:val="0"/>
                    <w:jc w:val="center"/>
                    <w:rPr>
                      <w:sz w:val="18"/>
                      <w:szCs w:val="18"/>
                    </w:rPr>
                  </w:pPr>
                  <w:r>
                    <w:rPr>
                      <w:sz w:val="18"/>
                      <w:szCs w:val="18"/>
                    </w:rPr>
                    <w:t>排放浓度（mg/m</w:t>
                  </w:r>
                  <w:r>
                    <w:rPr>
                      <w:sz w:val="18"/>
                      <w:szCs w:val="18"/>
                      <w:vertAlign w:val="superscript"/>
                    </w:rPr>
                    <w:t>3</w:t>
                  </w:r>
                  <w:r>
                    <w:rPr>
                      <w:sz w:val="18"/>
                      <w:szCs w:val="18"/>
                    </w:rPr>
                    <w:t>）</w:t>
                  </w:r>
                </w:p>
              </w:tc>
              <w:tc>
                <w:tcPr>
                  <w:tcW w:w="468" w:type="pct"/>
                  <w:vAlign w:val="center"/>
                </w:tcPr>
                <w:p>
                  <w:pPr>
                    <w:adjustRightInd w:val="0"/>
                    <w:snapToGrid w:val="0"/>
                    <w:jc w:val="center"/>
                    <w:rPr>
                      <w:sz w:val="18"/>
                      <w:szCs w:val="18"/>
                    </w:rPr>
                  </w:pPr>
                  <w:r>
                    <w:rPr>
                      <w:sz w:val="18"/>
                      <w:szCs w:val="18"/>
                    </w:rPr>
                    <w:t>排放量（t/a</w:t>
                  </w:r>
                  <w:r>
                    <w:rPr>
                      <w:rFonts w:ascii="宋体" w:hAnsi="宋体"/>
                      <w:sz w:val="18"/>
                      <w:szCs w:val="18"/>
                    </w:rPr>
                    <w:t>）</w:t>
                  </w:r>
                </w:p>
              </w:tc>
              <w:tc>
                <w:tcPr>
                  <w:tcW w:w="653" w:type="pct"/>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标准限值</w:t>
                  </w:r>
                  <w:r>
                    <w:rPr>
                      <w:sz w:val="18"/>
                      <w:szCs w:val="18"/>
                    </w:rPr>
                    <w:t>（mg/m</w:t>
                  </w:r>
                  <w:r>
                    <w:rPr>
                      <w:sz w:val="18"/>
                      <w:szCs w:val="18"/>
                      <w:vertAlign w:val="superscript"/>
                    </w:rPr>
                    <w:t>3</w:t>
                  </w:r>
                  <w:r>
                    <w:rPr>
                      <w:sz w:val="18"/>
                      <w:szCs w:val="18"/>
                    </w:rPr>
                    <w:t>）</w:t>
                  </w:r>
                </w:p>
              </w:tc>
              <w:tc>
                <w:tcPr>
                  <w:tcW w:w="248" w:type="pct"/>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 w:type="pct"/>
                  <w:vMerge w:val="restart"/>
                  <w:vAlign w:val="center"/>
                </w:tcPr>
                <w:p>
                  <w:pPr>
                    <w:adjustRightInd w:val="0"/>
                    <w:snapToGrid w:val="0"/>
                    <w:jc w:val="center"/>
                    <w:rPr>
                      <w:sz w:val="18"/>
                      <w:szCs w:val="18"/>
                    </w:rPr>
                  </w:pPr>
                  <w:r>
                    <w:rPr>
                      <w:sz w:val="18"/>
                      <w:szCs w:val="18"/>
                    </w:rPr>
                    <w:t>导热油炉</w:t>
                  </w:r>
                </w:p>
              </w:tc>
              <w:tc>
                <w:tcPr>
                  <w:tcW w:w="446" w:type="pct"/>
                  <w:vMerge w:val="restart"/>
                  <w:vAlign w:val="center"/>
                </w:tcPr>
                <w:p>
                  <w:pPr>
                    <w:adjustRightInd w:val="0"/>
                    <w:snapToGrid w:val="0"/>
                    <w:jc w:val="center"/>
                    <w:rPr>
                      <w:sz w:val="18"/>
                      <w:szCs w:val="18"/>
                    </w:rPr>
                  </w:pPr>
                  <w:r>
                    <w:rPr>
                      <w:sz w:val="18"/>
                      <w:szCs w:val="18"/>
                    </w:rPr>
                    <w:t>15</w:t>
                  </w:r>
                </w:p>
              </w:tc>
              <w:tc>
                <w:tcPr>
                  <w:tcW w:w="560" w:type="pct"/>
                  <w:vMerge w:val="restart"/>
                  <w:vAlign w:val="center"/>
                </w:tcPr>
                <w:p>
                  <w:pPr>
                    <w:adjustRightInd w:val="0"/>
                    <w:snapToGrid w:val="0"/>
                    <w:jc w:val="center"/>
                    <w:rPr>
                      <w:sz w:val="18"/>
                      <w:szCs w:val="18"/>
                    </w:rPr>
                  </w:pPr>
                  <w:r>
                    <w:rPr>
                      <w:rFonts w:hint="eastAsia"/>
                      <w:sz w:val="18"/>
                      <w:szCs w:val="18"/>
                    </w:rPr>
                    <w:t>2</w:t>
                  </w:r>
                  <w:r>
                    <w:rPr>
                      <w:sz w:val="18"/>
                      <w:szCs w:val="18"/>
                    </w:rPr>
                    <w:t>67060</w:t>
                  </w:r>
                </w:p>
              </w:tc>
              <w:tc>
                <w:tcPr>
                  <w:tcW w:w="348" w:type="pct"/>
                  <w:vAlign w:val="center"/>
                </w:tcPr>
                <w:p>
                  <w:pPr>
                    <w:adjustRightInd w:val="0"/>
                    <w:snapToGrid w:val="0"/>
                    <w:jc w:val="center"/>
                    <w:rPr>
                      <w:sz w:val="18"/>
                      <w:szCs w:val="18"/>
                    </w:rPr>
                  </w:pPr>
                  <w:r>
                    <w:rPr>
                      <w:sz w:val="18"/>
                      <w:szCs w:val="18"/>
                    </w:rPr>
                    <w:t>烟尘</w:t>
                  </w:r>
                </w:p>
              </w:tc>
              <w:tc>
                <w:tcPr>
                  <w:tcW w:w="653" w:type="pct"/>
                  <w:vAlign w:val="center"/>
                </w:tcPr>
                <w:p>
                  <w:pPr>
                    <w:adjustRightInd w:val="0"/>
                    <w:snapToGrid w:val="0"/>
                    <w:jc w:val="center"/>
                    <w:rPr>
                      <w:sz w:val="18"/>
                      <w:szCs w:val="18"/>
                    </w:rPr>
                  </w:pPr>
                  <w:r>
                    <w:rPr>
                      <w:rFonts w:hint="eastAsia"/>
                      <w:sz w:val="18"/>
                      <w:szCs w:val="18"/>
                    </w:rPr>
                    <w:t>1</w:t>
                  </w:r>
                  <w:r>
                    <w:rPr>
                      <w:sz w:val="18"/>
                      <w:szCs w:val="18"/>
                    </w:rPr>
                    <w:t>4.603</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.004</w:t>
                  </w:r>
                </w:p>
              </w:tc>
              <w:tc>
                <w:tcPr>
                  <w:tcW w:w="250" w:type="pct"/>
                  <w:vAlign w:val="center"/>
                </w:tcPr>
                <w:p>
                  <w:pPr>
                    <w:adjustRightInd w:val="0"/>
                    <w:snapToGrid w:val="0"/>
                    <w:jc w:val="center"/>
                    <w:rPr>
                      <w:sz w:val="18"/>
                      <w:szCs w:val="18"/>
                    </w:rPr>
                  </w:pPr>
                  <w:r>
                    <w:rPr>
                      <w:rFonts w:hint="eastAsia"/>
                      <w:sz w:val="18"/>
                      <w:szCs w:val="18"/>
                    </w:rPr>
                    <w:t>布袋除尘器</w:t>
                  </w:r>
                </w:p>
              </w:tc>
              <w:tc>
                <w:tcPr>
                  <w:tcW w:w="653" w:type="pct"/>
                  <w:vAlign w:val="center"/>
                </w:tcPr>
                <w:p>
                  <w:pPr>
                    <w:adjustRightInd w:val="0"/>
                    <w:snapToGrid w:val="0"/>
                    <w:jc w:val="center"/>
                    <w:rPr>
                      <w:sz w:val="18"/>
                      <w:szCs w:val="18"/>
                    </w:rPr>
                  </w:pPr>
                  <w:r>
                    <w:rPr>
                      <w:rFonts w:hint="eastAsia"/>
                      <w:sz w:val="18"/>
                      <w:szCs w:val="18"/>
                    </w:rPr>
                    <w:t>0</w:t>
                  </w:r>
                  <w:r>
                    <w:rPr>
                      <w:sz w:val="18"/>
                      <w:szCs w:val="18"/>
                    </w:rPr>
                    <w:t>.146</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.039 kg/a</w:t>
                  </w:r>
                </w:p>
              </w:tc>
              <w:tc>
                <w:tcPr>
                  <w:tcW w:w="653" w:type="pct"/>
                  <w:vAlign w:val="center"/>
                </w:tcPr>
                <w:p>
                  <w:pPr>
                    <w:pStyle w:val="24"/>
                    <w:snapToGrid w:val="0"/>
                    <w:spacing w:line="240" w:lineRule="auto"/>
                    <w:ind w:firstLine="0"/>
                    <w:jc w:val="center"/>
                    <w:rPr>
                      <w:rFonts w:hint="default" w:eastAsia="宋体"/>
                      <w:sz w:val="18"/>
                      <w:szCs w:val="18"/>
                      <w:lang w:val="en-US" w:eastAsia="zh-CN"/>
                    </w:rPr>
                  </w:pPr>
                  <w:r>
                    <w:rPr>
                      <w:rFonts w:hint="eastAsia"/>
                      <w:sz w:val="18"/>
                      <w:szCs w:val="18"/>
                      <w:lang w:val="en-US" w:eastAsia="zh-CN"/>
                    </w:rPr>
                    <w:t>30</w:t>
                  </w:r>
                </w:p>
              </w:tc>
              <w:tc>
                <w:tcPr>
                  <w:tcW w:w="248" w:type="pct"/>
                  <w:vAlign w:val="center"/>
                </w:tcPr>
                <w:p>
                  <w:pPr>
                    <w:pStyle w:val="24"/>
                    <w:snapToGrid w:val="0"/>
                    <w:spacing w:line="240" w:lineRule="auto"/>
                    <w:ind w:firstLine="0"/>
                    <w:jc w:val="center"/>
                    <w:rPr>
                      <w:rFonts w:hint="eastAsia" w:eastAsia="宋体"/>
                      <w:sz w:val="18"/>
                      <w:szCs w:val="18"/>
                      <w:lang w:val="en-US" w:eastAsia="zh-CN"/>
                    </w:rPr>
                  </w:pPr>
                  <w:r>
                    <w:rPr>
                      <w:rFonts w:hint="eastAsia"/>
                      <w:sz w:val="18"/>
                      <w:szCs w:val="18"/>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 w:type="pct"/>
                  <w:vMerge w:val="continue"/>
                  <w:vAlign w:val="center"/>
                </w:tcPr>
                <w:p>
                  <w:pPr>
                    <w:widowControl/>
                    <w:adjustRightInd w:val="0"/>
                    <w:snapToGrid w:val="0"/>
                    <w:jc w:val="center"/>
                    <w:rPr>
                      <w:sz w:val="18"/>
                      <w:szCs w:val="18"/>
                    </w:rPr>
                  </w:pPr>
                </w:p>
              </w:tc>
              <w:tc>
                <w:tcPr>
                  <w:tcW w:w="446" w:type="pct"/>
                  <w:vMerge w:val="continue"/>
                  <w:vAlign w:val="center"/>
                </w:tcPr>
                <w:p>
                  <w:pPr>
                    <w:widowControl/>
                    <w:adjustRightInd w:val="0"/>
                    <w:snapToGrid w:val="0"/>
                    <w:jc w:val="center"/>
                    <w:rPr>
                      <w:sz w:val="18"/>
                      <w:szCs w:val="18"/>
                    </w:rPr>
                  </w:pPr>
                </w:p>
              </w:tc>
              <w:tc>
                <w:tcPr>
                  <w:tcW w:w="560" w:type="pct"/>
                  <w:vMerge w:val="continue"/>
                  <w:vAlign w:val="center"/>
                </w:tcPr>
                <w:p>
                  <w:pPr>
                    <w:widowControl/>
                    <w:adjustRightInd w:val="0"/>
                    <w:snapToGrid w:val="0"/>
                    <w:jc w:val="center"/>
                    <w:rPr>
                      <w:sz w:val="18"/>
                      <w:szCs w:val="18"/>
                    </w:rPr>
                  </w:pPr>
                </w:p>
              </w:tc>
              <w:tc>
                <w:tcPr>
                  <w:tcW w:w="348" w:type="pct"/>
                  <w:vAlign w:val="center"/>
                </w:tcPr>
                <w:p>
                  <w:pPr>
                    <w:adjustRightInd w:val="0"/>
                    <w:snapToGrid w:val="0"/>
                    <w:jc w:val="center"/>
                    <w:rPr>
                      <w:sz w:val="18"/>
                      <w:szCs w:val="18"/>
                    </w:rPr>
                  </w:pPr>
                  <w:r>
                    <w:rPr>
                      <w:sz w:val="18"/>
                      <w:szCs w:val="18"/>
                    </w:rPr>
                    <w:t>SO</w:t>
                  </w:r>
                  <w:r>
                    <w:rPr>
                      <w:sz w:val="18"/>
                      <w:szCs w:val="18"/>
                      <w:vertAlign w:val="subscript"/>
                    </w:rPr>
                    <w:t>2</w:t>
                  </w:r>
                </w:p>
              </w:tc>
              <w:tc>
                <w:tcPr>
                  <w:tcW w:w="653" w:type="pct"/>
                  <w:vAlign w:val="center"/>
                </w:tcPr>
                <w:p>
                  <w:pPr>
                    <w:adjustRightInd w:val="0"/>
                    <w:snapToGrid w:val="0"/>
                    <w:jc w:val="center"/>
                    <w:rPr>
                      <w:sz w:val="18"/>
                      <w:szCs w:val="18"/>
                    </w:rPr>
                  </w:pPr>
                  <w:r>
                    <w:rPr>
                      <w:rFonts w:hint="eastAsia"/>
                      <w:sz w:val="18"/>
                      <w:szCs w:val="18"/>
                    </w:rPr>
                    <w:t>1</w:t>
                  </w:r>
                  <w:r>
                    <w:rPr>
                      <w:sz w:val="18"/>
                      <w:szCs w:val="18"/>
                    </w:rPr>
                    <w:t>60.076</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.043</w:t>
                  </w:r>
                </w:p>
              </w:tc>
              <w:tc>
                <w:tcPr>
                  <w:tcW w:w="250" w:type="pct"/>
                  <w:vAlign w:val="center"/>
                </w:tcPr>
                <w:p>
                  <w:pPr>
                    <w:adjustRightInd w:val="0"/>
                    <w:snapToGrid w:val="0"/>
                    <w:jc w:val="center"/>
                    <w:rPr>
                      <w:sz w:val="18"/>
                      <w:szCs w:val="18"/>
                    </w:rPr>
                  </w:pPr>
                  <w:r>
                    <w:rPr>
                      <w:sz w:val="18"/>
                      <w:szCs w:val="18"/>
                    </w:rPr>
                    <w:t>/</w:t>
                  </w:r>
                </w:p>
              </w:tc>
              <w:tc>
                <w:tcPr>
                  <w:tcW w:w="653" w:type="pct"/>
                  <w:vAlign w:val="center"/>
                </w:tcPr>
                <w:p>
                  <w:pPr>
                    <w:adjustRightInd w:val="0"/>
                    <w:snapToGrid w:val="0"/>
                    <w:jc w:val="center"/>
                    <w:rPr>
                      <w:sz w:val="18"/>
                      <w:szCs w:val="18"/>
                    </w:rPr>
                  </w:pPr>
                  <w:r>
                    <w:rPr>
                      <w:rFonts w:hint="eastAsia"/>
                      <w:sz w:val="18"/>
                      <w:szCs w:val="18"/>
                    </w:rPr>
                    <w:t>1</w:t>
                  </w:r>
                  <w:r>
                    <w:rPr>
                      <w:sz w:val="18"/>
                      <w:szCs w:val="18"/>
                    </w:rPr>
                    <w:t>60.076</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.043</w:t>
                  </w:r>
                </w:p>
              </w:tc>
              <w:tc>
                <w:tcPr>
                  <w:tcW w:w="653" w:type="pct"/>
                  <w:vAlign w:val="center"/>
                </w:tcPr>
                <w:p>
                  <w:pPr>
                    <w:pStyle w:val="24"/>
                    <w:snapToGrid w:val="0"/>
                    <w:spacing w:line="240" w:lineRule="auto"/>
                    <w:ind w:firstLine="0"/>
                    <w:jc w:val="center"/>
                    <w:rPr>
                      <w:rFonts w:hint="default" w:eastAsia="宋体"/>
                      <w:sz w:val="18"/>
                      <w:szCs w:val="18"/>
                      <w:lang w:val="en-US" w:eastAsia="zh-CN"/>
                    </w:rPr>
                  </w:pPr>
                  <w:r>
                    <w:rPr>
                      <w:rFonts w:hint="eastAsia"/>
                      <w:sz w:val="18"/>
                      <w:szCs w:val="18"/>
                      <w:lang w:val="en-US" w:eastAsia="zh-CN"/>
                    </w:rPr>
                    <w:t>200</w:t>
                  </w:r>
                </w:p>
              </w:tc>
              <w:tc>
                <w:tcPr>
                  <w:tcW w:w="248" w:type="pct"/>
                  <w:vAlign w:val="center"/>
                </w:tcPr>
                <w:p>
                  <w:pPr>
                    <w:snapToGrid w:val="0"/>
                    <w:spacing w:line="240" w:lineRule="auto"/>
                    <w:ind w:firstLine="0"/>
                    <w:jc w:val="center"/>
                    <w:rPr>
                      <w:rFonts w:hint="eastAsia"/>
                      <w:sz w:val="18"/>
                      <w:szCs w:val="18"/>
                    </w:rPr>
                  </w:pPr>
                  <w:r>
                    <w:rPr>
                      <w:rFonts w:hint="eastAsia"/>
                      <w:sz w:val="18"/>
                      <w:szCs w:val="18"/>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 w:type="pct"/>
                  <w:vMerge w:val="continue"/>
                  <w:vAlign w:val="center"/>
                </w:tcPr>
                <w:p>
                  <w:pPr>
                    <w:widowControl/>
                    <w:adjustRightInd w:val="0"/>
                    <w:snapToGrid w:val="0"/>
                    <w:jc w:val="center"/>
                    <w:rPr>
                      <w:sz w:val="18"/>
                      <w:szCs w:val="18"/>
                    </w:rPr>
                  </w:pPr>
                </w:p>
              </w:tc>
              <w:tc>
                <w:tcPr>
                  <w:tcW w:w="446" w:type="pct"/>
                  <w:vMerge w:val="continue"/>
                  <w:vAlign w:val="center"/>
                </w:tcPr>
                <w:p>
                  <w:pPr>
                    <w:widowControl/>
                    <w:adjustRightInd w:val="0"/>
                    <w:snapToGrid w:val="0"/>
                    <w:jc w:val="center"/>
                    <w:rPr>
                      <w:sz w:val="18"/>
                      <w:szCs w:val="18"/>
                    </w:rPr>
                  </w:pPr>
                </w:p>
              </w:tc>
              <w:tc>
                <w:tcPr>
                  <w:tcW w:w="560" w:type="pct"/>
                  <w:vMerge w:val="continue"/>
                  <w:vAlign w:val="center"/>
                </w:tcPr>
                <w:p>
                  <w:pPr>
                    <w:widowControl/>
                    <w:adjustRightInd w:val="0"/>
                    <w:snapToGrid w:val="0"/>
                    <w:jc w:val="center"/>
                    <w:rPr>
                      <w:sz w:val="18"/>
                      <w:szCs w:val="18"/>
                    </w:rPr>
                  </w:pPr>
                </w:p>
              </w:tc>
              <w:tc>
                <w:tcPr>
                  <w:tcW w:w="348" w:type="pct"/>
                  <w:vAlign w:val="center"/>
                </w:tcPr>
                <w:p>
                  <w:pPr>
                    <w:adjustRightInd w:val="0"/>
                    <w:snapToGrid w:val="0"/>
                    <w:jc w:val="center"/>
                    <w:rPr>
                      <w:sz w:val="18"/>
                      <w:szCs w:val="18"/>
                    </w:rPr>
                  </w:pPr>
                  <w:r>
                    <w:rPr>
                      <w:sz w:val="18"/>
                      <w:szCs w:val="18"/>
                    </w:rPr>
                    <w:t>NO</w:t>
                  </w:r>
                  <w:r>
                    <w:rPr>
                      <w:sz w:val="18"/>
                      <w:szCs w:val="18"/>
                      <w:vertAlign w:val="subscript"/>
                    </w:rPr>
                    <w:t>X</w:t>
                  </w:r>
                </w:p>
              </w:tc>
              <w:tc>
                <w:tcPr>
                  <w:tcW w:w="653" w:type="pct"/>
                  <w:vAlign w:val="center"/>
                </w:tcPr>
                <w:p>
                  <w:pPr>
                    <w:adjustRightInd w:val="0"/>
                    <w:snapToGrid w:val="0"/>
                    <w:jc w:val="center"/>
                    <w:rPr>
                      <w:sz w:val="18"/>
                      <w:szCs w:val="18"/>
                    </w:rPr>
                  </w:pPr>
                  <w:r>
                    <w:rPr>
                      <w:rFonts w:hint="eastAsia"/>
                      <w:sz w:val="18"/>
                      <w:szCs w:val="18"/>
                    </w:rPr>
                    <w:t>1</w:t>
                  </w:r>
                  <w:r>
                    <w:rPr>
                      <w:sz w:val="18"/>
                      <w:szCs w:val="18"/>
                    </w:rPr>
                    <w:t>70.186</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.045</w:t>
                  </w:r>
                </w:p>
              </w:tc>
              <w:tc>
                <w:tcPr>
                  <w:tcW w:w="250" w:type="pct"/>
                  <w:vAlign w:val="center"/>
                </w:tcPr>
                <w:p>
                  <w:pPr>
                    <w:adjustRightInd w:val="0"/>
                    <w:snapToGrid w:val="0"/>
                    <w:jc w:val="center"/>
                    <w:rPr>
                      <w:sz w:val="18"/>
                      <w:szCs w:val="18"/>
                    </w:rPr>
                  </w:pPr>
                  <w:r>
                    <w:rPr>
                      <w:sz w:val="18"/>
                      <w:szCs w:val="18"/>
                    </w:rPr>
                    <w:t>/</w:t>
                  </w:r>
                </w:p>
              </w:tc>
              <w:tc>
                <w:tcPr>
                  <w:tcW w:w="653" w:type="pct"/>
                  <w:vAlign w:val="center"/>
                </w:tcPr>
                <w:p>
                  <w:pPr>
                    <w:adjustRightInd w:val="0"/>
                    <w:snapToGrid w:val="0"/>
                    <w:jc w:val="center"/>
                    <w:rPr>
                      <w:sz w:val="18"/>
                      <w:szCs w:val="18"/>
                    </w:rPr>
                  </w:pPr>
                  <w:r>
                    <w:rPr>
                      <w:rFonts w:hint="eastAsia"/>
                      <w:sz w:val="18"/>
                      <w:szCs w:val="18"/>
                    </w:rPr>
                    <w:t>1</w:t>
                  </w:r>
                  <w:r>
                    <w:rPr>
                      <w:sz w:val="18"/>
                      <w:szCs w:val="18"/>
                    </w:rPr>
                    <w:t>70.186</w:t>
                  </w:r>
                </w:p>
              </w:tc>
              <w:tc>
                <w:tcPr>
                  <w:tcW w:w="468"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.045</w:t>
                  </w:r>
                </w:p>
              </w:tc>
              <w:tc>
                <w:tcPr>
                  <w:tcW w:w="653" w:type="pct"/>
                  <w:vAlign w:val="center"/>
                </w:tcPr>
                <w:p>
                  <w:pPr>
                    <w:pStyle w:val="24"/>
                    <w:snapToGrid w:val="0"/>
                    <w:spacing w:line="240" w:lineRule="auto"/>
                    <w:ind w:firstLine="0"/>
                    <w:jc w:val="center"/>
                    <w:rPr>
                      <w:rFonts w:hint="default" w:eastAsia="宋体"/>
                      <w:sz w:val="18"/>
                      <w:szCs w:val="18"/>
                      <w:lang w:val="en-US" w:eastAsia="zh-CN"/>
                    </w:rPr>
                  </w:pPr>
                  <w:r>
                    <w:rPr>
                      <w:rFonts w:hint="eastAsia"/>
                      <w:sz w:val="18"/>
                      <w:szCs w:val="18"/>
                      <w:lang w:val="en-US" w:eastAsia="zh-CN"/>
                    </w:rPr>
                    <w:t>250</w:t>
                  </w:r>
                </w:p>
              </w:tc>
              <w:tc>
                <w:tcPr>
                  <w:tcW w:w="248" w:type="pct"/>
                  <w:vAlign w:val="center"/>
                </w:tcPr>
                <w:p>
                  <w:pPr>
                    <w:snapToGrid w:val="0"/>
                    <w:spacing w:line="240" w:lineRule="auto"/>
                    <w:ind w:firstLine="0"/>
                    <w:jc w:val="center"/>
                    <w:rPr>
                      <w:rFonts w:hint="eastAsia"/>
                      <w:sz w:val="18"/>
                      <w:szCs w:val="18"/>
                    </w:rPr>
                  </w:pPr>
                  <w:r>
                    <w:rPr>
                      <w:rFonts w:hint="eastAsia"/>
                      <w:sz w:val="18"/>
                      <w:szCs w:val="18"/>
                      <w:lang w:val="en-US" w:eastAsia="zh-CN"/>
                    </w:rPr>
                    <w:t>达标</w:t>
                  </w:r>
                </w:p>
              </w:tc>
            </w:tr>
          </w:tbl>
          <w:p>
            <w:pPr>
              <w:adjustRightInd w:val="0"/>
              <w:snapToGrid w:val="0"/>
              <w:spacing w:line="360" w:lineRule="auto"/>
              <w:ind w:firstLine="420" w:firstLineChars="200"/>
              <w:rPr>
                <w:rFonts w:hint="eastAsia" w:ascii="宋体" w:hAnsi="宋体" w:eastAsia="宋体"/>
                <w:bCs/>
                <w:color w:val="auto"/>
                <w:lang w:val="en-US" w:eastAsia="zh-CN"/>
              </w:rPr>
            </w:pPr>
            <w:r>
              <w:rPr>
                <w:rFonts w:hint="eastAsia" w:ascii="宋体" w:hAnsi="宋体"/>
                <w:bCs/>
                <w:color w:val="auto"/>
                <w:lang w:val="en-US" w:eastAsia="zh-CN"/>
              </w:rPr>
              <w:t>本项目</w:t>
            </w:r>
            <w:r>
              <w:rPr>
                <w:rFonts w:hint="eastAsia"/>
                <w:kern w:val="2"/>
                <w:sz w:val="21"/>
              </w:rPr>
              <w:t>导热油炉烟气污染物排放浓度满足《锅炉大气污染物排放标准》（GB13271-2014）中表2新建锅炉大气污染物排放限值</w:t>
            </w:r>
            <w:r>
              <w:rPr>
                <w:rFonts w:hint="eastAsia"/>
                <w:kern w:val="2"/>
                <w:sz w:val="21"/>
                <w:lang w:eastAsia="zh-CN"/>
              </w:rPr>
              <w:t>。</w:t>
            </w:r>
          </w:p>
          <w:p>
            <w:pPr>
              <w:adjustRightInd w:val="0"/>
              <w:snapToGrid w:val="0"/>
              <w:spacing w:line="360" w:lineRule="auto"/>
              <w:ind w:firstLine="420" w:firstLineChars="200"/>
              <w:rPr>
                <w:rFonts w:hint="eastAsia" w:eastAsia="宋体"/>
                <w:bCs/>
                <w:color w:val="auto"/>
                <w:lang w:eastAsia="zh-CN"/>
              </w:rPr>
            </w:pPr>
            <w:r>
              <w:rPr>
                <w:rFonts w:hint="eastAsia" w:ascii="宋体" w:hAnsi="宋体"/>
                <w:bCs/>
                <w:color w:val="auto"/>
              </w:rPr>
              <w:t>②烘干滚筒燃烧烟气</w:t>
            </w:r>
            <w:r>
              <w:rPr>
                <w:rFonts w:hint="eastAsia" w:ascii="宋体" w:hAnsi="宋体"/>
                <w:bCs/>
                <w:color w:val="auto"/>
                <w:lang w:eastAsia="zh-CN"/>
              </w:rPr>
              <w:t>、</w:t>
            </w:r>
            <w:r>
              <w:rPr>
                <w:rFonts w:hint="eastAsia" w:ascii="宋体" w:hAnsi="宋体"/>
                <w:bCs/>
              </w:rPr>
              <w:t>石料烘干、筛分粉尘</w:t>
            </w:r>
          </w:p>
          <w:p>
            <w:pPr>
              <w:adjustRightInd w:val="0"/>
              <w:snapToGrid w:val="0"/>
              <w:spacing w:line="360" w:lineRule="auto"/>
              <w:ind w:firstLine="420" w:firstLineChars="200"/>
              <w:rPr>
                <w:bCs/>
                <w:color w:val="auto"/>
              </w:rPr>
            </w:pPr>
            <w:r>
              <w:rPr>
                <w:rFonts w:ascii="宋体" w:hAnsi="宋体"/>
                <w:bCs/>
                <w:color w:val="auto"/>
              </w:rPr>
              <w:t>本项目烘干滚筒以</w:t>
            </w:r>
            <w:r>
              <w:rPr>
                <w:rFonts w:hint="eastAsia" w:ascii="宋体" w:hAnsi="宋体"/>
                <w:bCs/>
                <w:color w:val="auto"/>
              </w:rPr>
              <w:t>柴</w:t>
            </w:r>
            <w:r>
              <w:rPr>
                <w:rFonts w:ascii="宋体" w:hAnsi="宋体"/>
                <w:bCs/>
                <w:color w:val="auto"/>
              </w:rPr>
              <w:t>油为燃料，年燃</w:t>
            </w:r>
            <w:r>
              <w:rPr>
                <w:rFonts w:hint="eastAsia" w:ascii="宋体" w:hAnsi="宋体"/>
                <w:bCs/>
                <w:color w:val="auto"/>
              </w:rPr>
              <w:t>柴</w:t>
            </w:r>
            <w:r>
              <w:rPr>
                <w:rFonts w:ascii="宋体" w:hAnsi="宋体"/>
                <w:bCs/>
                <w:color w:val="auto"/>
              </w:rPr>
              <w:t>油量</w:t>
            </w:r>
            <w:r>
              <w:rPr>
                <w:bCs/>
                <w:color w:val="auto"/>
              </w:rPr>
              <w:t>25t</w:t>
            </w:r>
            <w:r>
              <w:rPr>
                <w:rFonts w:ascii="宋体" w:hAnsi="宋体"/>
                <w:bCs/>
                <w:color w:val="auto"/>
              </w:rPr>
              <w:t>，燃烧烟气中主要污染物为烟尘、</w:t>
            </w:r>
            <w:r>
              <w:rPr>
                <w:bCs/>
                <w:color w:val="auto"/>
              </w:rPr>
              <w:t>SO</w:t>
            </w:r>
            <w:r>
              <w:rPr>
                <w:bCs/>
                <w:color w:val="auto"/>
                <w:vertAlign w:val="subscript"/>
              </w:rPr>
              <w:t>2</w:t>
            </w:r>
            <w:r>
              <w:rPr>
                <w:rFonts w:ascii="宋体" w:hAnsi="宋体"/>
                <w:bCs/>
                <w:color w:val="auto"/>
              </w:rPr>
              <w:t>和</w:t>
            </w:r>
            <w:r>
              <w:rPr>
                <w:bCs/>
                <w:color w:val="auto"/>
              </w:rPr>
              <w:t>NO</w:t>
            </w:r>
            <w:r>
              <w:rPr>
                <w:bCs/>
                <w:color w:val="auto"/>
                <w:vertAlign w:val="subscript"/>
              </w:rPr>
              <w:t>x</w:t>
            </w:r>
            <w:r>
              <w:rPr>
                <w:rFonts w:ascii="宋体" w:hAnsi="宋体"/>
                <w:bCs/>
                <w:color w:val="auto"/>
              </w:rPr>
              <w:t>，</w:t>
            </w:r>
            <w:r>
              <w:rPr>
                <w:rFonts w:hint="default" w:ascii="Times New Roman" w:hAnsi="Times New Roman" w:cs="Times New Roman"/>
                <w:bCs/>
                <w:color w:val="auto"/>
              </w:rPr>
              <w:t>燃烧废气由1套布袋除尘器（除尘效率99%）</w:t>
            </w:r>
            <w:r>
              <w:rPr>
                <w:rFonts w:hint="default" w:ascii="Times New Roman" w:hAnsi="Times New Roman" w:cs="Times New Roman"/>
                <w:bCs/>
                <w:color w:val="auto"/>
                <w:lang w:val="en-US" w:eastAsia="zh-CN"/>
              </w:rPr>
              <w:t>+低氮燃烧（去除效率70%）</w:t>
            </w:r>
            <w:r>
              <w:rPr>
                <w:rFonts w:hint="default" w:ascii="Times New Roman" w:hAnsi="Times New Roman" w:cs="Times New Roman"/>
                <w:bCs/>
                <w:color w:val="auto"/>
              </w:rPr>
              <w:t>处理后</w:t>
            </w:r>
            <w:r>
              <w:rPr>
                <w:rFonts w:ascii="宋体" w:hAnsi="宋体"/>
                <w:bCs/>
                <w:color w:val="auto"/>
              </w:rPr>
              <w:t>，尾气经</w:t>
            </w:r>
            <w:r>
              <w:rPr>
                <w:bCs/>
                <w:color w:val="auto"/>
              </w:rPr>
              <w:t>15m</w:t>
            </w:r>
            <w:r>
              <w:rPr>
                <w:rFonts w:ascii="宋体" w:hAnsi="宋体"/>
                <w:bCs/>
                <w:color w:val="auto"/>
              </w:rPr>
              <w:t>高排气筒排出。</w:t>
            </w:r>
          </w:p>
          <w:p>
            <w:pPr>
              <w:adjustRightInd w:val="0"/>
              <w:snapToGrid w:val="0"/>
              <w:spacing w:line="360" w:lineRule="auto"/>
              <w:ind w:firstLine="420" w:firstLineChars="200"/>
              <w:rPr>
                <w:bCs/>
                <w:color w:val="auto"/>
              </w:rPr>
            </w:pPr>
            <w:r>
              <w:rPr>
                <w:rFonts w:hint="eastAsia" w:ascii="宋体" w:hAnsi="宋体"/>
                <w:bCs/>
                <w:color w:val="auto"/>
              </w:rPr>
              <w:t>石料烘干、筛分过程产生的粉尘，</w:t>
            </w:r>
            <w:r>
              <w:rPr>
                <w:rFonts w:ascii="宋体" w:hAnsi="宋体"/>
                <w:bCs/>
                <w:color w:val="auto"/>
              </w:rPr>
              <w:t>与烘干滚筒燃烧烟气共同由布袋除尘器</w:t>
            </w:r>
            <w:r>
              <w:rPr>
                <w:rFonts w:hint="eastAsia" w:ascii="宋体" w:hAnsi="宋体"/>
                <w:bCs/>
                <w:color w:val="auto"/>
              </w:rPr>
              <w:t>（风机风量</w:t>
            </w:r>
            <w:r>
              <w:rPr>
                <w:rFonts w:hint="eastAsia"/>
                <w:bCs/>
                <w:color w:val="auto"/>
              </w:rPr>
              <w:t>1</w:t>
            </w:r>
            <w:r>
              <w:rPr>
                <w:bCs/>
                <w:color w:val="auto"/>
              </w:rPr>
              <w:t>0000m</w:t>
            </w:r>
            <w:r>
              <w:rPr>
                <w:bCs/>
                <w:color w:val="auto"/>
                <w:vertAlign w:val="superscript"/>
              </w:rPr>
              <w:t>3</w:t>
            </w:r>
            <w:r>
              <w:rPr>
                <w:bCs/>
                <w:color w:val="auto"/>
              </w:rPr>
              <w:t>/h</w:t>
            </w:r>
            <w:r>
              <w:rPr>
                <w:rFonts w:hint="eastAsia" w:ascii="宋体" w:hAnsi="宋体"/>
                <w:bCs/>
                <w:color w:val="auto"/>
              </w:rPr>
              <w:t>，去除效率</w:t>
            </w:r>
            <w:r>
              <w:rPr>
                <w:rFonts w:hint="eastAsia"/>
                <w:bCs/>
                <w:color w:val="auto"/>
              </w:rPr>
              <w:t>9</w:t>
            </w:r>
            <w:r>
              <w:rPr>
                <w:bCs/>
                <w:color w:val="auto"/>
              </w:rPr>
              <w:t>9</w:t>
            </w:r>
            <w:r>
              <w:rPr>
                <w:rFonts w:hint="eastAsia"/>
                <w:bCs/>
                <w:color w:val="auto"/>
              </w:rPr>
              <w:t>%</w:t>
            </w:r>
            <w:r>
              <w:rPr>
                <w:rFonts w:hint="eastAsia" w:ascii="宋体" w:hAnsi="宋体"/>
                <w:bCs/>
                <w:color w:val="auto"/>
              </w:rPr>
              <w:t>）</w:t>
            </w:r>
            <w:r>
              <w:rPr>
                <w:rFonts w:ascii="宋体" w:hAnsi="宋体"/>
                <w:bCs/>
                <w:color w:val="auto"/>
              </w:rPr>
              <w:t>处理后，经同一排口排出。</w:t>
            </w:r>
          </w:p>
          <w:p>
            <w:pPr>
              <w:adjustRightInd w:val="0"/>
              <w:snapToGrid w:val="0"/>
              <w:spacing w:line="360" w:lineRule="auto"/>
              <w:ind w:firstLine="420" w:firstLineChars="200"/>
              <w:rPr>
                <w:rFonts w:hint="default" w:ascii="Times New Roman" w:hAnsi="Times New Roman" w:cs="Times New Roman"/>
                <w:bCs/>
              </w:rPr>
            </w:pPr>
            <w:r>
              <w:rPr>
                <w:rFonts w:hint="eastAsia"/>
                <w:bCs/>
                <w:lang w:val="en-US" w:eastAsia="zh-CN"/>
              </w:rPr>
              <w:t>根据</w:t>
            </w:r>
            <w:r>
              <w:rPr>
                <w:rFonts w:ascii="宋体" w:hAnsi="宋体"/>
                <w:bCs/>
              </w:rPr>
              <w:t>《排污许可证申请与核发技术规范</w:t>
            </w:r>
            <w:r>
              <w:rPr>
                <w:bCs/>
              </w:rPr>
              <w:t xml:space="preserve"> </w:t>
            </w:r>
            <w:r>
              <w:rPr>
                <w:rFonts w:ascii="宋体" w:hAnsi="宋体"/>
                <w:bCs/>
              </w:rPr>
              <w:t>工业炉窑》（</w:t>
            </w:r>
            <w:r>
              <w:rPr>
                <w:bCs/>
              </w:rPr>
              <w:t>HJ1121-2020</w:t>
            </w:r>
            <w:r>
              <w:rPr>
                <w:rFonts w:ascii="宋体" w:hAnsi="宋体"/>
                <w:bCs/>
              </w:rPr>
              <w:t>）</w:t>
            </w:r>
            <w:r>
              <w:rPr>
                <w:rFonts w:hint="eastAsia" w:ascii="宋体" w:hAnsi="宋体"/>
                <w:bCs/>
                <w:lang w:val="en-US" w:eastAsia="zh-CN"/>
              </w:rPr>
              <w:t>及</w:t>
            </w:r>
            <w:r>
              <w:rPr>
                <w:rFonts w:ascii="宋体" w:hAnsi="宋体"/>
                <w:bCs/>
              </w:rPr>
              <w:t>《污染源源强核算技术指南</w:t>
            </w:r>
            <w:r>
              <w:rPr>
                <w:bCs/>
              </w:rPr>
              <w:t xml:space="preserve"> </w:t>
            </w:r>
            <w:r>
              <w:rPr>
                <w:rFonts w:ascii="宋体" w:hAnsi="宋体"/>
                <w:bCs/>
              </w:rPr>
              <w:t>锅炉》（</w:t>
            </w:r>
            <w:r>
              <w:rPr>
                <w:bCs/>
              </w:rPr>
              <w:t>HJ991-2018</w:t>
            </w:r>
            <w:r>
              <w:rPr>
                <w:rFonts w:ascii="宋体" w:hAnsi="宋体"/>
                <w:bCs/>
              </w:rPr>
              <w:t>）</w:t>
            </w:r>
            <w:r>
              <w:rPr>
                <w:rFonts w:hint="eastAsia" w:ascii="宋体" w:hAnsi="宋体"/>
                <w:bCs/>
                <w:lang w:val="en-US" w:eastAsia="zh-CN"/>
              </w:rPr>
              <w:t>中相关计算方法，</w:t>
            </w:r>
            <w:r>
              <w:rPr>
                <w:rFonts w:hint="eastAsia" w:ascii="宋体" w:hAnsi="宋体"/>
                <w:bCs/>
              </w:rPr>
              <w:t>烘干滚筒燃烧烟气</w:t>
            </w:r>
            <w:r>
              <w:rPr>
                <w:rFonts w:ascii="宋体" w:hAnsi="宋体"/>
                <w:bCs/>
              </w:rPr>
              <w:t>污染物产生及排放</w:t>
            </w:r>
            <w:r>
              <w:rPr>
                <w:rFonts w:hint="eastAsia" w:ascii="宋体" w:hAnsi="宋体"/>
                <w:bCs/>
                <w:lang w:val="en-US" w:eastAsia="zh-CN"/>
              </w:rPr>
              <w:t>量</w:t>
            </w:r>
            <w:r>
              <w:rPr>
                <w:rFonts w:ascii="宋体" w:hAnsi="宋体"/>
                <w:bCs/>
              </w:rPr>
              <w:t>详见</w:t>
            </w:r>
            <w:r>
              <w:rPr>
                <w:rFonts w:hint="default" w:ascii="Times New Roman" w:hAnsi="Times New Roman" w:cs="Times New Roman"/>
                <w:bCs/>
                <w:lang w:val="en-US" w:eastAsia="zh-CN"/>
              </w:rPr>
              <w:t>表2-6</w:t>
            </w:r>
            <w:r>
              <w:rPr>
                <w:rFonts w:hint="default" w:ascii="Times New Roman" w:hAnsi="Times New Roman" w:cs="Times New Roman"/>
                <w:bCs/>
              </w:rPr>
              <w:t>。</w:t>
            </w:r>
          </w:p>
          <w:p>
            <w:pPr>
              <w:adjustRightInd w:val="0"/>
              <w:snapToGrid w:val="0"/>
              <w:spacing w:line="360" w:lineRule="auto"/>
              <w:ind w:firstLine="420" w:firstLineChars="200"/>
              <w:rPr>
                <w:rFonts w:hint="default" w:ascii="Times New Roman" w:hAnsi="Times New Roman" w:eastAsia="宋体" w:cs="Times New Roman"/>
                <w:bCs/>
                <w:lang w:val="en-US" w:eastAsia="zh-CN"/>
              </w:rPr>
            </w:pPr>
            <w:r>
              <w:rPr>
                <w:rFonts w:ascii="宋体" w:hAnsi="宋体"/>
                <w:bCs/>
              </w:rPr>
              <w:t>根据《第二次全国污染源普查产排污核算系数手册（试用版）》中</w:t>
            </w:r>
            <w:r>
              <w:rPr>
                <w:rFonts w:hint="eastAsia" w:ascii="宋体" w:hAnsi="宋体"/>
                <w:bCs/>
                <w:lang w:val="en-US" w:eastAsia="zh-CN"/>
              </w:rPr>
              <w:t>相关计算参数，石料烘干、筛分过程产生的工艺粉尘产排量见</w:t>
            </w:r>
            <w:r>
              <w:rPr>
                <w:rFonts w:hint="default" w:ascii="Times New Roman" w:hAnsi="Times New Roman" w:cs="Times New Roman"/>
                <w:bCs/>
                <w:lang w:val="en-US" w:eastAsia="zh-CN"/>
              </w:rPr>
              <w:t>表2-6</w:t>
            </w:r>
            <w:r>
              <w:rPr>
                <w:rFonts w:hint="eastAsia" w:ascii="Times New Roman" w:hAnsi="Times New Roman" w:cs="Times New Roman"/>
                <w:bCs/>
                <w:lang w:val="en-US" w:eastAsia="zh-CN"/>
              </w:rPr>
              <w:t>。</w:t>
            </w:r>
          </w:p>
          <w:p>
            <w:pPr>
              <w:adjustRightInd w:val="0"/>
              <w:snapToGrid w:val="0"/>
              <w:spacing w:line="360" w:lineRule="auto"/>
              <w:jc w:val="center"/>
              <w:rPr>
                <w:rFonts w:hint="default" w:eastAsia="宋体"/>
                <w:bCs/>
                <w:color w:val="auto"/>
                <w:lang w:val="en-US" w:eastAsia="zh-CN"/>
              </w:rPr>
            </w:pPr>
            <w:r>
              <w:rPr>
                <w:rFonts w:hint="eastAsia"/>
                <w:bCs/>
                <w:color w:val="auto"/>
                <w:lang w:val="en-US" w:eastAsia="zh-CN"/>
              </w:rPr>
              <w:t xml:space="preserve">表2-6  </w:t>
            </w:r>
            <w:r>
              <w:rPr>
                <w:rFonts w:hint="default" w:ascii="Times New Roman" w:hAnsi="Times New Roman" w:cs="Times New Roman"/>
                <w:bCs/>
                <w:color w:val="auto"/>
                <w:highlight w:val="none"/>
                <w:lang w:val="en-US" w:eastAsia="zh-CN"/>
              </w:rPr>
              <w:t>烘干滚筒烟气、工艺粉尘废气产生及排放情况一览表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721"/>
              <w:gridCol w:w="1077"/>
              <w:gridCol w:w="562"/>
              <w:gridCol w:w="1060"/>
              <w:gridCol w:w="760"/>
              <w:gridCol w:w="397"/>
              <w:gridCol w:w="1060"/>
              <w:gridCol w:w="760"/>
              <w:gridCol w:w="1060"/>
              <w:gridCol w:w="3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3"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w:t>
                  </w:r>
                </w:p>
              </w:tc>
              <w:tc>
                <w:tcPr>
                  <w:tcW w:w="427"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排气筒高（m）</w:t>
                  </w:r>
                </w:p>
              </w:tc>
              <w:tc>
                <w:tcPr>
                  <w:tcW w:w="63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总风</w:t>
                  </w:r>
                  <w:r>
                    <w:rPr>
                      <w:rFonts w:hint="default" w:ascii="Times New Roman" w:hAnsi="Times New Roman" w:cs="Times New Roman"/>
                      <w:color w:val="auto"/>
                      <w:sz w:val="18"/>
                      <w:szCs w:val="18"/>
                      <w:highlight w:val="none"/>
                    </w:rPr>
                    <w:t>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333"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628"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产生浓度（mg/m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w:t>
                  </w:r>
                </w:p>
              </w:tc>
              <w:tc>
                <w:tcPr>
                  <w:tcW w:w="450"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235"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c>
                <w:tcPr>
                  <w:tcW w:w="62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排放浓度（mg/m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w:t>
                  </w:r>
                </w:p>
              </w:tc>
              <w:tc>
                <w:tcPr>
                  <w:tcW w:w="450"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c>
                <w:tcPr>
                  <w:tcW w:w="628" w:type="pct"/>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标准限值</w:t>
                  </w:r>
                  <w:r>
                    <w:rPr>
                      <w:sz w:val="18"/>
                      <w:szCs w:val="18"/>
                    </w:rPr>
                    <w:t>（mg/m</w:t>
                  </w:r>
                  <w:r>
                    <w:rPr>
                      <w:sz w:val="18"/>
                      <w:szCs w:val="18"/>
                      <w:vertAlign w:val="superscript"/>
                    </w:rPr>
                    <w:t>3</w:t>
                  </w:r>
                  <w:r>
                    <w:rPr>
                      <w:sz w:val="18"/>
                      <w:szCs w:val="18"/>
                    </w:rPr>
                    <w:t>）</w:t>
                  </w:r>
                </w:p>
              </w:tc>
              <w:tc>
                <w:tcPr>
                  <w:tcW w:w="235" w:type="pct"/>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restar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烘干滚筒</w:t>
                  </w:r>
                  <w:r>
                    <w:rPr>
                      <w:rFonts w:hint="default" w:ascii="Times New Roman" w:hAnsi="Times New Roman" w:cs="Times New Roman"/>
                      <w:color w:val="auto"/>
                      <w:sz w:val="18"/>
                      <w:szCs w:val="18"/>
                      <w:highlight w:val="none"/>
                      <w:lang w:val="en-US" w:eastAsia="zh-CN"/>
                    </w:rPr>
                    <w:t>燃烧烟气、石料筛分、烘干等粉尘</w:t>
                  </w:r>
                </w:p>
              </w:tc>
              <w:tc>
                <w:tcPr>
                  <w:tcW w:w="427" w:type="pct"/>
                  <w:vMerge w:val="restar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638" w:type="pct"/>
                  <w:vMerge w:val="restart"/>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14684467.5</w:t>
                  </w:r>
                </w:p>
              </w:tc>
              <w:tc>
                <w:tcPr>
                  <w:tcW w:w="333"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粉尘</w:t>
                  </w:r>
                </w:p>
              </w:tc>
              <w:tc>
                <w:tcPr>
                  <w:tcW w:w="628"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113.93</w:t>
                  </w:r>
                </w:p>
              </w:tc>
              <w:tc>
                <w:tcPr>
                  <w:tcW w:w="450"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1.673</w:t>
                  </w:r>
                </w:p>
              </w:tc>
              <w:tc>
                <w:tcPr>
                  <w:tcW w:w="235"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布袋除尘器</w:t>
                  </w:r>
                </w:p>
              </w:tc>
              <w:tc>
                <w:tcPr>
                  <w:tcW w:w="628"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0.96</w:t>
                  </w:r>
                </w:p>
              </w:tc>
              <w:tc>
                <w:tcPr>
                  <w:tcW w:w="450"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14.126</w:t>
                  </w:r>
                  <w:r>
                    <w:rPr>
                      <w:rFonts w:hint="default" w:ascii="Times New Roman" w:hAnsi="Times New Roman" w:cs="Times New Roman"/>
                      <w:color w:val="auto"/>
                      <w:sz w:val="18"/>
                      <w:szCs w:val="18"/>
                      <w:highlight w:val="none"/>
                    </w:rPr>
                    <w:t xml:space="preserve"> kg/a</w:t>
                  </w:r>
                </w:p>
              </w:tc>
              <w:tc>
                <w:tcPr>
                  <w:tcW w:w="628"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120</w:t>
                  </w:r>
                </w:p>
              </w:tc>
              <w:tc>
                <w:tcPr>
                  <w:tcW w:w="235" w:type="pct"/>
                  <w:vAlign w:val="center"/>
                </w:tcPr>
                <w:p>
                  <w:pPr>
                    <w:snapToGrid w:val="0"/>
                    <w:spacing w:line="240" w:lineRule="auto"/>
                    <w:ind w:firstLine="0"/>
                    <w:jc w:val="center"/>
                    <w:rPr>
                      <w:rFonts w:hint="default" w:ascii="Times New Roman" w:hAnsi="Times New Roman" w:cs="Times New Roman"/>
                      <w:color w:val="auto"/>
                      <w:sz w:val="18"/>
                      <w:szCs w:val="18"/>
                      <w:highlight w:val="none"/>
                      <w:lang w:val="en-US" w:eastAsia="zh-CN"/>
                    </w:rPr>
                  </w:pPr>
                  <w:r>
                    <w:rPr>
                      <w:rFonts w:hint="eastAsia"/>
                      <w:sz w:val="18"/>
                      <w:szCs w:val="18"/>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427"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638"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333"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628"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2.86</w:t>
                  </w:r>
                </w:p>
              </w:tc>
              <w:tc>
                <w:tcPr>
                  <w:tcW w:w="450"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c>
                <w:tcPr>
                  <w:tcW w:w="235"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628"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2.86</w:t>
                  </w:r>
                </w:p>
              </w:tc>
              <w:tc>
                <w:tcPr>
                  <w:tcW w:w="450"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c>
                <w:tcPr>
                  <w:tcW w:w="628" w:type="pct"/>
                  <w:vAlign w:val="center"/>
                </w:tcPr>
                <w:p>
                  <w:pPr>
                    <w:pStyle w:val="24"/>
                    <w:snapToGrid w:val="0"/>
                    <w:spacing w:line="240" w:lineRule="auto"/>
                    <w:ind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850</w:t>
                  </w:r>
                </w:p>
              </w:tc>
              <w:tc>
                <w:tcPr>
                  <w:tcW w:w="235" w:type="pct"/>
                  <w:vAlign w:val="center"/>
                </w:tcPr>
                <w:p>
                  <w:pPr>
                    <w:snapToGrid w:val="0"/>
                    <w:spacing w:line="240" w:lineRule="auto"/>
                    <w:ind w:firstLine="0" w:firstLineChars="0"/>
                    <w:jc w:val="center"/>
                    <w:rPr>
                      <w:rFonts w:hint="default" w:ascii="Times New Roman" w:hAnsi="Times New Roman" w:cs="Times New Roman"/>
                      <w:color w:val="auto"/>
                      <w:sz w:val="18"/>
                      <w:szCs w:val="18"/>
                      <w:highlight w:val="none"/>
                    </w:rPr>
                  </w:pPr>
                  <w:r>
                    <w:rPr>
                      <w:rFonts w:hint="eastAsia"/>
                      <w:sz w:val="18"/>
                      <w:szCs w:val="18"/>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427"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638"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333"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X</w:t>
                  </w:r>
                </w:p>
              </w:tc>
              <w:tc>
                <w:tcPr>
                  <w:tcW w:w="628"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8.58</w:t>
                  </w:r>
                </w:p>
              </w:tc>
              <w:tc>
                <w:tcPr>
                  <w:tcW w:w="450"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0.126</w:t>
                  </w:r>
                </w:p>
              </w:tc>
              <w:tc>
                <w:tcPr>
                  <w:tcW w:w="235"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低氮燃烧</w:t>
                  </w:r>
                </w:p>
              </w:tc>
              <w:tc>
                <w:tcPr>
                  <w:tcW w:w="628"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2.59</w:t>
                  </w:r>
                </w:p>
              </w:tc>
              <w:tc>
                <w:tcPr>
                  <w:tcW w:w="450"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eastAsia" w:ascii="Times New Roman" w:hAnsi="Times New Roman" w:cs="Times New Roman"/>
                      <w:color w:val="auto"/>
                      <w:kern w:val="24"/>
                      <w:sz w:val="18"/>
                      <w:szCs w:val="18"/>
                      <w:highlight w:val="none"/>
                      <w:lang w:val="en-US" w:eastAsia="zh-CN" w:bidi="ar-SA"/>
                    </w:rPr>
                    <w:t>0.038</w:t>
                  </w:r>
                </w:p>
              </w:tc>
              <w:tc>
                <w:tcPr>
                  <w:tcW w:w="628" w:type="pct"/>
                  <w:vAlign w:val="center"/>
                </w:tcPr>
                <w:p>
                  <w:pPr>
                    <w:pStyle w:val="24"/>
                    <w:snapToGrid w:val="0"/>
                    <w:spacing w:line="240" w:lineRule="auto"/>
                    <w:ind w:firstLine="0" w:firstLineChars="0"/>
                    <w:jc w:val="center"/>
                    <w:rPr>
                      <w:rFonts w:hint="default" w:ascii="Times New Roman" w:hAnsi="Times New Roman" w:cs="Times New Roman"/>
                      <w:color w:val="auto"/>
                      <w:kern w:val="24"/>
                      <w:sz w:val="18"/>
                      <w:szCs w:val="18"/>
                      <w:highlight w:val="none"/>
                      <w:lang w:val="en-US" w:eastAsia="zh-CN" w:bidi="ar-SA"/>
                    </w:rPr>
                  </w:pPr>
                  <w:r>
                    <w:rPr>
                      <w:rFonts w:hint="eastAsia" w:cs="Times New Roman"/>
                      <w:color w:val="auto"/>
                      <w:kern w:val="24"/>
                      <w:sz w:val="18"/>
                      <w:szCs w:val="18"/>
                      <w:highlight w:val="none"/>
                      <w:lang w:val="en-US" w:eastAsia="zh-CN" w:bidi="ar-SA"/>
                    </w:rPr>
                    <w:t>240</w:t>
                  </w:r>
                </w:p>
              </w:tc>
              <w:tc>
                <w:tcPr>
                  <w:tcW w:w="235" w:type="pct"/>
                  <w:vAlign w:val="center"/>
                </w:tcPr>
                <w:p>
                  <w:pPr>
                    <w:snapToGrid w:val="0"/>
                    <w:spacing w:line="240" w:lineRule="auto"/>
                    <w:ind w:firstLine="0" w:firstLineChars="0"/>
                    <w:jc w:val="center"/>
                    <w:rPr>
                      <w:rFonts w:hint="eastAsia" w:ascii="Times New Roman" w:hAnsi="Times New Roman" w:cs="Times New Roman"/>
                      <w:color w:val="auto"/>
                      <w:kern w:val="24"/>
                      <w:sz w:val="18"/>
                      <w:szCs w:val="18"/>
                      <w:highlight w:val="none"/>
                      <w:lang w:val="en-US" w:eastAsia="zh-CN" w:bidi="ar-SA"/>
                    </w:rPr>
                  </w:pPr>
                  <w:r>
                    <w:rPr>
                      <w:rFonts w:hint="eastAsia"/>
                      <w:sz w:val="18"/>
                      <w:szCs w:val="18"/>
                      <w:lang w:val="en-US" w:eastAsia="zh-CN"/>
                    </w:rPr>
                    <w:t>达标</w:t>
                  </w:r>
                </w:p>
              </w:tc>
            </w:tr>
          </w:tbl>
          <w:p>
            <w:pPr>
              <w:adjustRightInd w:val="0"/>
              <w:snapToGrid w:val="0"/>
              <w:spacing w:line="360" w:lineRule="auto"/>
              <w:ind w:firstLine="420" w:firstLineChars="200"/>
              <w:rPr>
                <w:rFonts w:hint="eastAsia" w:eastAsia="宋体"/>
                <w:bCs/>
                <w:lang w:eastAsia="zh-CN"/>
              </w:rPr>
            </w:pPr>
            <w:r>
              <w:rPr>
                <w:rFonts w:hint="eastAsia"/>
                <w:kern w:val="2"/>
                <w:sz w:val="21"/>
              </w:rPr>
              <w:t>烘干滚筒燃烧烟气中SO</w:t>
            </w:r>
            <w:r>
              <w:rPr>
                <w:rFonts w:hint="eastAsia"/>
                <w:kern w:val="2"/>
                <w:sz w:val="21"/>
                <w:vertAlign w:val="subscript"/>
              </w:rPr>
              <w:t>2</w:t>
            </w:r>
            <w:r>
              <w:rPr>
                <w:rFonts w:hint="eastAsia"/>
                <w:kern w:val="2"/>
                <w:sz w:val="21"/>
              </w:rPr>
              <w:t>污染物排放浓度满足《工业炉窑大气污染物排放标准》（GB9078-1996）中有关标准要求，颗粒物、氮氧化物满足《大气污染物综合排放标准》（GB16297-1996）中相关标准限值</w:t>
            </w:r>
            <w:r>
              <w:rPr>
                <w:rFonts w:hint="eastAsia"/>
                <w:kern w:val="2"/>
                <w:sz w:val="21"/>
                <w:lang w:eastAsia="zh-CN"/>
              </w:rPr>
              <w:t>；</w:t>
            </w:r>
            <w:r>
              <w:rPr>
                <w:rFonts w:hint="eastAsia"/>
                <w:kern w:val="2"/>
                <w:sz w:val="21"/>
              </w:rPr>
              <w:t>工艺粉尘满足《大气污染物综合排放标准》（GB16297-1996）中标准限值要求</w:t>
            </w:r>
            <w:r>
              <w:rPr>
                <w:rFonts w:hint="eastAsia"/>
                <w:kern w:val="2"/>
                <w:sz w:val="21"/>
                <w:lang w:eastAsia="zh-CN"/>
              </w:rPr>
              <w:t>。</w:t>
            </w:r>
          </w:p>
          <w:p>
            <w:pPr>
              <w:adjustRightInd w:val="0"/>
              <w:snapToGrid w:val="0"/>
              <w:spacing w:line="360" w:lineRule="auto"/>
              <w:ind w:firstLine="420" w:firstLineChars="200"/>
              <w:rPr>
                <w:rFonts w:hint="default" w:ascii="Times New Roman" w:hAnsi="Times New Roman" w:eastAsia="宋体" w:cs="Times New Roman"/>
                <w:kern w:val="2"/>
                <w:sz w:val="21"/>
              </w:rPr>
            </w:pPr>
            <w:r>
              <w:rPr>
                <w:rFonts w:hint="default" w:ascii="Times New Roman" w:hAnsi="Times New Roman" w:eastAsia="宋体" w:cs="Times New Roman"/>
                <w:kern w:val="2"/>
                <w:sz w:val="21"/>
              </w:rPr>
              <w:t>③</w:t>
            </w:r>
            <w:r>
              <w:rPr>
                <w:rFonts w:ascii="宋体" w:hAnsi="宋体"/>
                <w:bCs/>
              </w:rPr>
              <w:t>沥青烟气</w:t>
            </w:r>
          </w:p>
          <w:p>
            <w:pPr>
              <w:adjustRightInd w:val="0"/>
              <w:snapToGrid w:val="0"/>
              <w:spacing w:line="360" w:lineRule="auto"/>
              <w:ind w:firstLine="420" w:firstLineChars="200"/>
              <w:rPr>
                <w:rFonts w:hint="eastAsia" w:eastAsia="宋体"/>
                <w:kern w:val="2"/>
                <w:sz w:val="21"/>
                <w:lang w:eastAsia="zh-CN"/>
              </w:rPr>
            </w:pPr>
            <w:r>
              <w:rPr>
                <w:rFonts w:ascii="宋体" w:hAnsi="宋体"/>
                <w:bCs/>
              </w:rPr>
              <w:t>本项目对搅拌缸出气口加设收集和净化装置，沥青烟经集气净化装置统一收集（风机总风量为</w:t>
            </w:r>
            <w:r>
              <w:rPr>
                <w:bCs/>
              </w:rPr>
              <w:t>40000m</w:t>
            </w:r>
            <w:r>
              <w:rPr>
                <w:bCs/>
                <w:vertAlign w:val="superscript"/>
              </w:rPr>
              <w:t>3</w:t>
            </w:r>
            <w:r>
              <w:rPr>
                <w:bCs/>
              </w:rPr>
              <w:t>/h</w:t>
            </w:r>
            <w:r>
              <w:rPr>
                <w:rFonts w:ascii="宋体" w:hAnsi="宋体"/>
                <w:bCs/>
              </w:rPr>
              <w:t>），并配套苯并</w:t>
            </w:r>
            <w:r>
              <w:rPr>
                <w:bCs/>
              </w:rPr>
              <w:t>[a]</w:t>
            </w:r>
            <w:r>
              <w:rPr>
                <w:rFonts w:ascii="宋体" w:hAnsi="宋体"/>
                <w:bCs/>
              </w:rPr>
              <w:t>芘净化装置（采用活性炭吸附法，沥青烟在高温情况下粒径为</w:t>
            </w:r>
            <w:r>
              <w:rPr>
                <w:bCs/>
              </w:rPr>
              <w:t>0.1-1.0μm</w:t>
            </w:r>
            <w:r>
              <w:rPr>
                <w:rFonts w:ascii="宋体" w:hAnsi="宋体"/>
                <w:bCs/>
              </w:rPr>
              <w:t>之间，活性炭表面积大，空隙大，可有效的吸附沥青烟气），集气罩集气率取</w:t>
            </w:r>
            <w:r>
              <w:rPr>
                <w:bCs/>
              </w:rPr>
              <w:t>85%</w:t>
            </w:r>
            <w:r>
              <w:rPr>
                <w:rFonts w:ascii="宋体" w:hAnsi="宋体"/>
                <w:bCs/>
              </w:rPr>
              <w:t>，净化处理率取</w:t>
            </w:r>
            <w:r>
              <w:rPr>
                <w:bCs/>
              </w:rPr>
              <w:t>98.5%</w:t>
            </w:r>
            <w:r>
              <w:rPr>
                <w:rFonts w:ascii="宋体" w:hAnsi="宋体"/>
                <w:bCs/>
              </w:rPr>
              <w:t>，净化后通过</w:t>
            </w:r>
            <w:r>
              <w:rPr>
                <w:bCs/>
              </w:rPr>
              <w:t>15m</w:t>
            </w:r>
            <w:r>
              <w:rPr>
                <w:rFonts w:ascii="宋体" w:hAnsi="宋体"/>
                <w:bCs/>
              </w:rPr>
              <w:t>高排气筒排放</w:t>
            </w:r>
            <w:r>
              <w:rPr>
                <w:rFonts w:hint="eastAsia" w:ascii="宋体" w:hAnsi="宋体"/>
                <w:bCs/>
                <w:lang w:eastAsia="zh-CN"/>
              </w:rPr>
              <w:t>（</w:t>
            </w:r>
            <w:r>
              <w:rPr>
                <w:rFonts w:hint="eastAsia" w:ascii="宋体" w:hAnsi="宋体"/>
                <w:bCs/>
                <w:lang w:val="en-US" w:eastAsia="zh-CN"/>
              </w:rPr>
              <w:t>与烘干滚筒燃烧烟气及石料粉尘经同一排口排出</w:t>
            </w:r>
            <w:r>
              <w:rPr>
                <w:rFonts w:hint="eastAsia" w:ascii="宋体" w:hAnsi="宋体"/>
                <w:bCs/>
                <w:lang w:eastAsia="zh-CN"/>
              </w:rPr>
              <w:t>）。</w:t>
            </w:r>
          </w:p>
          <w:p>
            <w:pPr>
              <w:adjustRightInd w:val="0"/>
              <w:snapToGrid w:val="0"/>
              <w:spacing w:line="360" w:lineRule="auto"/>
              <w:ind w:firstLine="420" w:firstLineChars="200"/>
              <w:rPr>
                <w:rFonts w:hint="eastAsia" w:eastAsia="宋体"/>
                <w:kern w:val="2"/>
                <w:sz w:val="21"/>
                <w:lang w:val="en-US" w:eastAsia="zh-CN"/>
              </w:rPr>
            </w:pPr>
            <w:r>
              <w:rPr>
                <w:rFonts w:hint="eastAsia" w:ascii="宋体" w:hAnsi="宋体"/>
                <w:bCs/>
                <w:lang w:val="en-US" w:eastAsia="zh-CN"/>
              </w:rPr>
              <w:t>根据</w:t>
            </w:r>
            <w:r>
              <w:rPr>
                <w:rFonts w:ascii="宋体" w:hAnsi="宋体"/>
                <w:bCs/>
              </w:rPr>
              <w:t>前苏联拉扎列夫主编的《工业生产中有害物物质手册》第一卷（化学工业出版社，</w:t>
            </w:r>
            <w:r>
              <w:rPr>
                <w:bCs/>
              </w:rPr>
              <w:t>1987</w:t>
            </w:r>
            <w:r>
              <w:rPr>
                <w:rFonts w:ascii="宋体" w:hAnsi="宋体"/>
                <w:bCs/>
              </w:rPr>
              <w:t>年</w:t>
            </w:r>
            <w:r>
              <w:rPr>
                <w:bCs/>
              </w:rPr>
              <w:t>12</w:t>
            </w:r>
            <w:r>
              <w:rPr>
                <w:rFonts w:ascii="宋体" w:hAnsi="宋体"/>
                <w:bCs/>
              </w:rPr>
              <w:t>月出版）及金相灿主编的《有机化合物污染化学》（清华大学出版社，</w:t>
            </w:r>
            <w:r>
              <w:rPr>
                <w:bCs/>
              </w:rPr>
              <w:t>1990</w:t>
            </w:r>
            <w:r>
              <w:rPr>
                <w:rFonts w:ascii="宋体" w:hAnsi="宋体"/>
                <w:bCs/>
              </w:rPr>
              <w:t>年</w:t>
            </w:r>
            <w:r>
              <w:rPr>
                <w:bCs/>
              </w:rPr>
              <w:t>8</w:t>
            </w:r>
            <w:r>
              <w:rPr>
                <w:rFonts w:ascii="宋体" w:hAnsi="宋体"/>
                <w:bCs/>
              </w:rPr>
              <w:t>月出版）</w:t>
            </w:r>
            <w:r>
              <w:rPr>
                <w:rFonts w:hint="eastAsia" w:ascii="宋体" w:hAnsi="宋体"/>
                <w:bCs/>
                <w:lang w:eastAsia="zh-CN"/>
              </w:rPr>
              <w:t>，</w:t>
            </w:r>
            <w:r>
              <w:rPr>
                <w:rFonts w:ascii="宋体" w:hAnsi="宋体"/>
                <w:bCs/>
              </w:rPr>
              <w:t>项目沥青烟气产生及排放情况详见</w:t>
            </w:r>
            <w:r>
              <w:rPr>
                <w:rFonts w:hint="eastAsia" w:ascii="宋体" w:hAnsi="宋体"/>
                <w:bCs/>
                <w:lang w:val="en-US" w:eastAsia="zh-CN"/>
              </w:rPr>
              <w:t>下表。</w:t>
            </w:r>
          </w:p>
          <w:p>
            <w:pPr>
              <w:adjustRightInd w:val="0"/>
              <w:snapToGrid w:val="0"/>
              <w:spacing w:line="360" w:lineRule="auto"/>
              <w:jc w:val="center"/>
              <w:rPr>
                <w:rFonts w:hint="default" w:eastAsia="宋体"/>
                <w:kern w:val="2"/>
                <w:sz w:val="21"/>
                <w:lang w:val="en-US" w:eastAsia="zh-CN"/>
              </w:rPr>
            </w:pPr>
            <w:r>
              <w:rPr>
                <w:rFonts w:hint="eastAsia"/>
                <w:kern w:val="2"/>
                <w:sz w:val="21"/>
                <w:lang w:val="en-US" w:eastAsia="zh-CN"/>
              </w:rPr>
              <w:t xml:space="preserve">表2-7  </w:t>
            </w:r>
            <w:r>
              <w:rPr>
                <w:rFonts w:ascii="宋体" w:hAnsi="宋体"/>
                <w:bCs/>
              </w:rPr>
              <w:t>沥青烟气产生及排放情况一览表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7"/>
              <w:gridCol w:w="668"/>
              <w:gridCol w:w="703"/>
              <w:gridCol w:w="396"/>
              <w:gridCol w:w="923"/>
              <w:gridCol w:w="820"/>
              <w:gridCol w:w="378"/>
              <w:gridCol w:w="923"/>
              <w:gridCol w:w="972"/>
              <w:gridCol w:w="923"/>
              <w:gridCol w:w="972"/>
              <w:gridCol w:w="3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vAlign w:val="center"/>
                </w:tcPr>
                <w:p>
                  <w:pPr>
                    <w:adjustRightInd w:val="0"/>
                    <w:snapToGrid w:val="0"/>
                    <w:jc w:val="center"/>
                    <w:rPr>
                      <w:sz w:val="18"/>
                      <w:szCs w:val="18"/>
                    </w:rPr>
                  </w:pPr>
                  <w:r>
                    <w:rPr>
                      <w:sz w:val="18"/>
                      <w:szCs w:val="18"/>
                    </w:rPr>
                    <w:t>污染源</w:t>
                  </w:r>
                </w:p>
              </w:tc>
              <w:tc>
                <w:tcPr>
                  <w:tcW w:w="396" w:type="pct"/>
                  <w:vAlign w:val="center"/>
                </w:tcPr>
                <w:p>
                  <w:pPr>
                    <w:adjustRightInd w:val="0"/>
                    <w:snapToGrid w:val="0"/>
                    <w:jc w:val="center"/>
                    <w:rPr>
                      <w:sz w:val="18"/>
                      <w:szCs w:val="18"/>
                    </w:rPr>
                  </w:pPr>
                  <w:r>
                    <w:rPr>
                      <w:sz w:val="18"/>
                      <w:szCs w:val="18"/>
                    </w:rPr>
                    <w:t>排气筒高（m</w:t>
                  </w:r>
                  <w:r>
                    <w:rPr>
                      <w:rFonts w:ascii="宋体" w:hAnsi="宋体"/>
                      <w:sz w:val="18"/>
                      <w:szCs w:val="18"/>
                    </w:rPr>
                    <w:t>）</w:t>
                  </w:r>
                </w:p>
              </w:tc>
              <w:tc>
                <w:tcPr>
                  <w:tcW w:w="416" w:type="pct"/>
                  <w:vAlign w:val="center"/>
                </w:tcPr>
                <w:p>
                  <w:pPr>
                    <w:adjustRightInd w:val="0"/>
                    <w:snapToGrid w:val="0"/>
                    <w:jc w:val="center"/>
                    <w:rPr>
                      <w:sz w:val="18"/>
                      <w:szCs w:val="18"/>
                    </w:rPr>
                  </w:pPr>
                  <w:r>
                    <w:rPr>
                      <w:sz w:val="18"/>
                      <w:szCs w:val="18"/>
                    </w:rPr>
                    <w:t>沥青用量（t/a</w:t>
                  </w:r>
                  <w:r>
                    <w:rPr>
                      <w:rFonts w:ascii="宋体" w:hAnsi="宋体"/>
                      <w:sz w:val="18"/>
                      <w:szCs w:val="18"/>
                    </w:rPr>
                    <w:t>）</w:t>
                  </w:r>
                </w:p>
              </w:tc>
              <w:tc>
                <w:tcPr>
                  <w:tcW w:w="234" w:type="pct"/>
                  <w:vAlign w:val="center"/>
                </w:tcPr>
                <w:p>
                  <w:pPr>
                    <w:adjustRightInd w:val="0"/>
                    <w:snapToGrid w:val="0"/>
                    <w:jc w:val="center"/>
                    <w:rPr>
                      <w:sz w:val="18"/>
                      <w:szCs w:val="18"/>
                    </w:rPr>
                  </w:pPr>
                  <w:r>
                    <w:rPr>
                      <w:sz w:val="18"/>
                      <w:szCs w:val="18"/>
                    </w:rPr>
                    <w:t>污染物名称</w:t>
                  </w:r>
                </w:p>
              </w:tc>
              <w:tc>
                <w:tcPr>
                  <w:tcW w:w="547" w:type="pct"/>
                  <w:vAlign w:val="center"/>
                </w:tcPr>
                <w:p>
                  <w:pPr>
                    <w:adjustRightInd w:val="0"/>
                    <w:snapToGrid w:val="0"/>
                    <w:jc w:val="center"/>
                    <w:rPr>
                      <w:sz w:val="18"/>
                      <w:szCs w:val="18"/>
                    </w:rPr>
                  </w:pPr>
                  <w:r>
                    <w:rPr>
                      <w:sz w:val="18"/>
                      <w:szCs w:val="18"/>
                    </w:rPr>
                    <w:t>产生速率（kg/h</w:t>
                  </w:r>
                  <w:r>
                    <w:rPr>
                      <w:rFonts w:ascii="宋体" w:hAnsi="宋体"/>
                      <w:sz w:val="18"/>
                      <w:szCs w:val="18"/>
                    </w:rPr>
                    <w:t>）</w:t>
                  </w:r>
                </w:p>
              </w:tc>
              <w:tc>
                <w:tcPr>
                  <w:tcW w:w="486" w:type="pct"/>
                  <w:vAlign w:val="center"/>
                </w:tcPr>
                <w:p>
                  <w:pPr>
                    <w:adjustRightInd w:val="0"/>
                    <w:snapToGrid w:val="0"/>
                    <w:jc w:val="center"/>
                    <w:rPr>
                      <w:sz w:val="18"/>
                      <w:szCs w:val="18"/>
                    </w:rPr>
                  </w:pPr>
                  <w:r>
                    <w:rPr>
                      <w:sz w:val="18"/>
                      <w:szCs w:val="18"/>
                    </w:rPr>
                    <w:t>产生量（kg/a</w:t>
                  </w:r>
                  <w:r>
                    <w:rPr>
                      <w:rFonts w:ascii="宋体" w:hAnsi="宋体"/>
                      <w:sz w:val="18"/>
                      <w:szCs w:val="18"/>
                    </w:rPr>
                    <w:t>）</w:t>
                  </w:r>
                </w:p>
              </w:tc>
              <w:tc>
                <w:tcPr>
                  <w:tcW w:w="224" w:type="pct"/>
                  <w:vAlign w:val="center"/>
                </w:tcPr>
                <w:p>
                  <w:pPr>
                    <w:adjustRightInd w:val="0"/>
                    <w:snapToGrid w:val="0"/>
                    <w:jc w:val="center"/>
                    <w:rPr>
                      <w:sz w:val="18"/>
                      <w:szCs w:val="18"/>
                    </w:rPr>
                  </w:pPr>
                  <w:r>
                    <w:rPr>
                      <w:sz w:val="18"/>
                      <w:szCs w:val="18"/>
                    </w:rPr>
                    <w:t>治理措施</w:t>
                  </w:r>
                </w:p>
              </w:tc>
              <w:tc>
                <w:tcPr>
                  <w:tcW w:w="547" w:type="pct"/>
                  <w:vAlign w:val="center"/>
                </w:tcPr>
                <w:p>
                  <w:pPr>
                    <w:adjustRightInd w:val="0"/>
                    <w:snapToGrid w:val="0"/>
                    <w:jc w:val="center"/>
                    <w:rPr>
                      <w:sz w:val="18"/>
                      <w:szCs w:val="18"/>
                    </w:rPr>
                  </w:pPr>
                  <w:r>
                    <w:rPr>
                      <w:sz w:val="18"/>
                      <w:szCs w:val="18"/>
                    </w:rPr>
                    <w:t>排放速率（kg/h</w:t>
                  </w:r>
                  <w:r>
                    <w:rPr>
                      <w:rFonts w:ascii="宋体" w:hAnsi="宋体"/>
                      <w:sz w:val="18"/>
                      <w:szCs w:val="18"/>
                    </w:rPr>
                    <w:t>）</w:t>
                  </w:r>
                </w:p>
              </w:tc>
              <w:tc>
                <w:tcPr>
                  <w:tcW w:w="576" w:type="pct"/>
                  <w:vAlign w:val="center"/>
                </w:tcPr>
                <w:p>
                  <w:pPr>
                    <w:adjustRightInd w:val="0"/>
                    <w:snapToGrid w:val="0"/>
                    <w:jc w:val="center"/>
                    <w:rPr>
                      <w:sz w:val="18"/>
                      <w:szCs w:val="18"/>
                    </w:rPr>
                  </w:pPr>
                  <w:r>
                    <w:rPr>
                      <w:sz w:val="18"/>
                      <w:szCs w:val="18"/>
                    </w:rPr>
                    <w:t>排放浓度（mg/m</w:t>
                  </w:r>
                  <w:r>
                    <w:rPr>
                      <w:sz w:val="18"/>
                      <w:szCs w:val="18"/>
                      <w:vertAlign w:val="superscript"/>
                    </w:rPr>
                    <w:t>3</w:t>
                  </w:r>
                  <w:r>
                    <w:rPr>
                      <w:sz w:val="18"/>
                      <w:szCs w:val="18"/>
                    </w:rPr>
                    <w:t>）</w:t>
                  </w:r>
                </w:p>
              </w:tc>
              <w:tc>
                <w:tcPr>
                  <w:tcW w:w="547" w:type="pct"/>
                  <w:vAlign w:val="center"/>
                </w:tcPr>
                <w:p>
                  <w:pPr>
                    <w:adjustRightInd w:val="0"/>
                    <w:snapToGrid w:val="0"/>
                    <w:jc w:val="center"/>
                    <w:rPr>
                      <w:sz w:val="18"/>
                      <w:szCs w:val="18"/>
                    </w:rPr>
                  </w:pPr>
                  <w:r>
                    <w:rPr>
                      <w:sz w:val="18"/>
                      <w:szCs w:val="18"/>
                    </w:rPr>
                    <w:t>排放量（kg/a</w:t>
                  </w:r>
                  <w:r>
                    <w:rPr>
                      <w:rFonts w:ascii="宋体" w:hAnsi="宋体"/>
                      <w:sz w:val="18"/>
                      <w:szCs w:val="18"/>
                    </w:rPr>
                    <w:t>）</w:t>
                  </w:r>
                </w:p>
              </w:tc>
              <w:tc>
                <w:tcPr>
                  <w:tcW w:w="576" w:type="pct"/>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标准限值</w:t>
                  </w:r>
                  <w:r>
                    <w:rPr>
                      <w:sz w:val="18"/>
                      <w:szCs w:val="18"/>
                    </w:rPr>
                    <w:t>（mg/m</w:t>
                  </w:r>
                  <w:r>
                    <w:rPr>
                      <w:sz w:val="18"/>
                      <w:szCs w:val="18"/>
                      <w:vertAlign w:val="superscript"/>
                    </w:rPr>
                    <w:t>3</w:t>
                  </w:r>
                  <w:r>
                    <w:rPr>
                      <w:sz w:val="18"/>
                      <w:szCs w:val="18"/>
                    </w:rPr>
                    <w:t>）</w:t>
                  </w:r>
                </w:p>
              </w:tc>
              <w:tc>
                <w:tcPr>
                  <w:tcW w:w="224" w:type="pct"/>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 w:type="pct"/>
                  <w:vMerge w:val="restart"/>
                  <w:vAlign w:val="center"/>
                </w:tcPr>
                <w:p>
                  <w:pPr>
                    <w:adjustRightInd w:val="0"/>
                    <w:snapToGrid w:val="0"/>
                    <w:jc w:val="center"/>
                    <w:rPr>
                      <w:sz w:val="18"/>
                      <w:szCs w:val="18"/>
                    </w:rPr>
                  </w:pPr>
                  <w:r>
                    <w:rPr>
                      <w:sz w:val="18"/>
                      <w:szCs w:val="18"/>
                    </w:rPr>
                    <w:t>沥青烟气</w:t>
                  </w:r>
                </w:p>
              </w:tc>
              <w:tc>
                <w:tcPr>
                  <w:tcW w:w="396" w:type="pct"/>
                  <w:vMerge w:val="restart"/>
                  <w:vAlign w:val="center"/>
                </w:tcPr>
                <w:p>
                  <w:pPr>
                    <w:adjustRightInd w:val="0"/>
                    <w:snapToGrid w:val="0"/>
                    <w:jc w:val="center"/>
                    <w:rPr>
                      <w:sz w:val="18"/>
                      <w:szCs w:val="18"/>
                    </w:rPr>
                  </w:pPr>
                  <w:r>
                    <w:rPr>
                      <w:sz w:val="18"/>
                      <w:szCs w:val="18"/>
                    </w:rPr>
                    <w:t>15</w:t>
                  </w:r>
                </w:p>
              </w:tc>
              <w:tc>
                <w:tcPr>
                  <w:tcW w:w="416" w:type="pct"/>
                  <w:vMerge w:val="restart"/>
                  <w:vAlign w:val="center"/>
                </w:tcPr>
                <w:p>
                  <w:pPr>
                    <w:adjustRightInd w:val="0"/>
                    <w:snapToGrid w:val="0"/>
                    <w:jc w:val="center"/>
                    <w:rPr>
                      <w:sz w:val="18"/>
                      <w:szCs w:val="18"/>
                    </w:rPr>
                  </w:pPr>
                  <w:r>
                    <w:rPr>
                      <w:sz w:val="18"/>
                      <w:szCs w:val="18"/>
                    </w:rPr>
                    <w:t>300</w:t>
                  </w:r>
                </w:p>
              </w:tc>
              <w:tc>
                <w:tcPr>
                  <w:tcW w:w="234" w:type="pct"/>
                  <w:vAlign w:val="center"/>
                </w:tcPr>
                <w:p>
                  <w:pPr>
                    <w:adjustRightInd w:val="0"/>
                    <w:snapToGrid w:val="0"/>
                    <w:jc w:val="center"/>
                    <w:rPr>
                      <w:sz w:val="18"/>
                      <w:szCs w:val="18"/>
                    </w:rPr>
                  </w:pPr>
                  <w:r>
                    <w:rPr>
                      <w:sz w:val="18"/>
                      <w:szCs w:val="18"/>
                    </w:rPr>
                    <w:t>沥青烟</w:t>
                  </w:r>
                </w:p>
              </w:tc>
              <w:tc>
                <w:tcPr>
                  <w:tcW w:w="547" w:type="pct"/>
                  <w:vAlign w:val="center"/>
                </w:tcPr>
                <w:p>
                  <w:pPr>
                    <w:adjustRightInd w:val="0"/>
                    <w:snapToGrid w:val="0"/>
                    <w:jc w:val="center"/>
                    <w:rPr>
                      <w:sz w:val="18"/>
                      <w:szCs w:val="18"/>
                    </w:rPr>
                  </w:pPr>
                  <w:r>
                    <w:rPr>
                      <w:sz w:val="18"/>
                      <w:szCs w:val="18"/>
                    </w:rPr>
                    <w:t>0.026</w:t>
                  </w:r>
                </w:p>
              </w:tc>
              <w:tc>
                <w:tcPr>
                  <w:tcW w:w="486" w:type="pct"/>
                  <w:vAlign w:val="center"/>
                </w:tcPr>
                <w:p>
                  <w:pPr>
                    <w:pStyle w:val="24"/>
                    <w:snapToGrid w:val="0"/>
                    <w:spacing w:line="240" w:lineRule="auto"/>
                    <w:ind w:firstLine="0"/>
                    <w:jc w:val="center"/>
                    <w:rPr>
                      <w:sz w:val="18"/>
                      <w:szCs w:val="18"/>
                    </w:rPr>
                  </w:pPr>
                  <w:r>
                    <w:rPr>
                      <w:rFonts w:hint="eastAsia"/>
                      <w:sz w:val="18"/>
                      <w:szCs w:val="18"/>
                    </w:rPr>
                    <w:t>3</w:t>
                  </w:r>
                  <w:r>
                    <w:rPr>
                      <w:sz w:val="18"/>
                      <w:szCs w:val="18"/>
                    </w:rPr>
                    <w:t>7.5</w:t>
                  </w:r>
                </w:p>
              </w:tc>
              <w:tc>
                <w:tcPr>
                  <w:tcW w:w="224" w:type="pct"/>
                  <w:vMerge w:val="restart"/>
                  <w:vAlign w:val="center"/>
                </w:tcPr>
                <w:p>
                  <w:pPr>
                    <w:adjustRightInd w:val="0"/>
                    <w:snapToGrid w:val="0"/>
                    <w:jc w:val="center"/>
                    <w:rPr>
                      <w:sz w:val="18"/>
                      <w:szCs w:val="18"/>
                    </w:rPr>
                  </w:pPr>
                  <w:r>
                    <w:rPr>
                      <w:sz w:val="18"/>
                      <w:szCs w:val="18"/>
                    </w:rPr>
                    <w:t>活性炭吸附</w:t>
                  </w:r>
                </w:p>
              </w:tc>
              <w:tc>
                <w:tcPr>
                  <w:tcW w:w="547" w:type="pct"/>
                  <w:vAlign w:val="center"/>
                </w:tcPr>
                <w:p>
                  <w:pPr>
                    <w:adjustRightInd w:val="0"/>
                    <w:snapToGrid w:val="0"/>
                    <w:jc w:val="center"/>
                    <w:rPr>
                      <w:sz w:val="18"/>
                      <w:szCs w:val="18"/>
                    </w:rPr>
                  </w:pPr>
                  <w:r>
                    <w:rPr>
                      <w:sz w:val="18"/>
                      <w:szCs w:val="18"/>
                    </w:rPr>
                    <w:t>0.332×10</w:t>
                  </w:r>
                  <w:r>
                    <w:rPr>
                      <w:sz w:val="18"/>
                      <w:szCs w:val="18"/>
                      <w:vertAlign w:val="superscript"/>
                    </w:rPr>
                    <w:t>-3</w:t>
                  </w:r>
                </w:p>
              </w:tc>
              <w:tc>
                <w:tcPr>
                  <w:tcW w:w="576" w:type="pct"/>
                  <w:vAlign w:val="center"/>
                </w:tcPr>
                <w:p>
                  <w:pPr>
                    <w:adjustRightInd w:val="0"/>
                    <w:snapToGrid w:val="0"/>
                    <w:jc w:val="center"/>
                    <w:rPr>
                      <w:sz w:val="18"/>
                      <w:szCs w:val="18"/>
                    </w:rPr>
                  </w:pPr>
                  <w:r>
                    <w:rPr>
                      <w:sz w:val="18"/>
                      <w:szCs w:val="18"/>
                    </w:rPr>
                    <w:t>0.008</w:t>
                  </w:r>
                </w:p>
              </w:tc>
              <w:tc>
                <w:tcPr>
                  <w:tcW w:w="547"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.478</w:t>
                  </w:r>
                </w:p>
              </w:tc>
              <w:tc>
                <w:tcPr>
                  <w:tcW w:w="576" w:type="pct"/>
                  <w:vAlign w:val="center"/>
                </w:tcPr>
                <w:p>
                  <w:pPr>
                    <w:pStyle w:val="24"/>
                    <w:snapToGrid w:val="0"/>
                    <w:spacing w:line="240" w:lineRule="auto"/>
                    <w:ind w:firstLine="0"/>
                    <w:jc w:val="center"/>
                    <w:rPr>
                      <w:rFonts w:hint="default" w:eastAsia="宋体"/>
                      <w:sz w:val="18"/>
                      <w:szCs w:val="18"/>
                      <w:lang w:val="en-US" w:eastAsia="zh-CN"/>
                    </w:rPr>
                  </w:pPr>
                  <w:r>
                    <w:rPr>
                      <w:rFonts w:hint="eastAsia"/>
                      <w:sz w:val="18"/>
                      <w:szCs w:val="18"/>
                      <w:lang w:val="en-US" w:eastAsia="zh-CN"/>
                    </w:rPr>
                    <w:t>75</w:t>
                  </w:r>
                </w:p>
              </w:tc>
              <w:tc>
                <w:tcPr>
                  <w:tcW w:w="224" w:type="pct"/>
                  <w:vAlign w:val="center"/>
                </w:tcPr>
                <w:p>
                  <w:pPr>
                    <w:pStyle w:val="24"/>
                    <w:snapToGrid w:val="0"/>
                    <w:spacing w:line="240" w:lineRule="auto"/>
                    <w:ind w:firstLine="0"/>
                    <w:jc w:val="center"/>
                    <w:rPr>
                      <w:rFonts w:hint="eastAsia" w:eastAsia="宋体"/>
                      <w:sz w:val="18"/>
                      <w:szCs w:val="18"/>
                      <w:lang w:val="en-US" w:eastAsia="zh-CN"/>
                    </w:rPr>
                  </w:pPr>
                  <w:r>
                    <w:rPr>
                      <w:rFonts w:hint="eastAsia"/>
                      <w:sz w:val="18"/>
                      <w:szCs w:val="18"/>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 w:type="pct"/>
                  <w:vMerge w:val="continue"/>
                  <w:vAlign w:val="center"/>
                </w:tcPr>
                <w:p>
                  <w:pPr>
                    <w:widowControl/>
                    <w:adjustRightInd w:val="0"/>
                    <w:snapToGrid w:val="0"/>
                    <w:jc w:val="center"/>
                    <w:rPr>
                      <w:sz w:val="18"/>
                      <w:szCs w:val="18"/>
                    </w:rPr>
                  </w:pPr>
                </w:p>
              </w:tc>
              <w:tc>
                <w:tcPr>
                  <w:tcW w:w="396" w:type="pct"/>
                  <w:vMerge w:val="continue"/>
                  <w:vAlign w:val="center"/>
                </w:tcPr>
                <w:p>
                  <w:pPr>
                    <w:widowControl/>
                    <w:adjustRightInd w:val="0"/>
                    <w:snapToGrid w:val="0"/>
                    <w:jc w:val="center"/>
                    <w:rPr>
                      <w:sz w:val="18"/>
                      <w:szCs w:val="18"/>
                    </w:rPr>
                  </w:pPr>
                </w:p>
              </w:tc>
              <w:tc>
                <w:tcPr>
                  <w:tcW w:w="416" w:type="pct"/>
                  <w:vMerge w:val="continue"/>
                  <w:vAlign w:val="center"/>
                </w:tcPr>
                <w:p>
                  <w:pPr>
                    <w:widowControl/>
                    <w:adjustRightInd w:val="0"/>
                    <w:snapToGrid w:val="0"/>
                    <w:jc w:val="center"/>
                    <w:rPr>
                      <w:sz w:val="18"/>
                      <w:szCs w:val="18"/>
                    </w:rPr>
                  </w:pPr>
                </w:p>
              </w:tc>
              <w:tc>
                <w:tcPr>
                  <w:tcW w:w="234" w:type="pct"/>
                  <w:vAlign w:val="center"/>
                </w:tcPr>
                <w:p>
                  <w:pPr>
                    <w:adjustRightInd w:val="0"/>
                    <w:snapToGrid w:val="0"/>
                    <w:jc w:val="center"/>
                    <w:rPr>
                      <w:sz w:val="18"/>
                      <w:szCs w:val="18"/>
                    </w:rPr>
                  </w:pPr>
                  <w:r>
                    <w:rPr>
                      <w:sz w:val="18"/>
                      <w:szCs w:val="18"/>
                    </w:rPr>
                    <w:t>苯并[a]</w:t>
                  </w:r>
                  <w:r>
                    <w:rPr>
                      <w:rFonts w:ascii="宋体" w:hAnsi="宋体"/>
                      <w:sz w:val="18"/>
                      <w:szCs w:val="18"/>
                    </w:rPr>
                    <w:t>芘</w:t>
                  </w:r>
                </w:p>
              </w:tc>
              <w:tc>
                <w:tcPr>
                  <w:tcW w:w="547" w:type="pct"/>
                  <w:vAlign w:val="center"/>
                </w:tcPr>
                <w:p>
                  <w:pPr>
                    <w:adjustRightInd w:val="0"/>
                    <w:snapToGrid w:val="0"/>
                    <w:jc w:val="center"/>
                    <w:rPr>
                      <w:sz w:val="18"/>
                      <w:szCs w:val="18"/>
                    </w:rPr>
                  </w:pPr>
                  <w:r>
                    <w:rPr>
                      <w:sz w:val="18"/>
                      <w:szCs w:val="18"/>
                    </w:rPr>
                    <w:t>0.026×10</w:t>
                  </w:r>
                  <w:r>
                    <w:rPr>
                      <w:sz w:val="18"/>
                      <w:szCs w:val="18"/>
                      <w:vertAlign w:val="superscript"/>
                    </w:rPr>
                    <w:t>-3</w:t>
                  </w:r>
                </w:p>
              </w:tc>
              <w:tc>
                <w:tcPr>
                  <w:tcW w:w="486"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.0375</w:t>
                  </w:r>
                </w:p>
              </w:tc>
              <w:tc>
                <w:tcPr>
                  <w:tcW w:w="224" w:type="pct"/>
                  <w:vMerge w:val="continue"/>
                  <w:vAlign w:val="center"/>
                </w:tcPr>
                <w:p>
                  <w:pPr>
                    <w:widowControl/>
                    <w:adjustRightInd w:val="0"/>
                    <w:snapToGrid w:val="0"/>
                    <w:jc w:val="center"/>
                    <w:rPr>
                      <w:sz w:val="18"/>
                      <w:szCs w:val="18"/>
                    </w:rPr>
                  </w:pPr>
                </w:p>
              </w:tc>
              <w:tc>
                <w:tcPr>
                  <w:tcW w:w="547" w:type="pct"/>
                  <w:vAlign w:val="center"/>
                </w:tcPr>
                <w:p>
                  <w:pPr>
                    <w:adjustRightInd w:val="0"/>
                    <w:snapToGrid w:val="0"/>
                    <w:jc w:val="center"/>
                    <w:rPr>
                      <w:sz w:val="18"/>
                      <w:szCs w:val="18"/>
                    </w:rPr>
                  </w:pPr>
                  <w:r>
                    <w:rPr>
                      <w:sz w:val="18"/>
                      <w:szCs w:val="18"/>
                    </w:rPr>
                    <w:t>0.332×10</w:t>
                  </w:r>
                  <w:r>
                    <w:rPr>
                      <w:sz w:val="18"/>
                      <w:szCs w:val="18"/>
                      <w:vertAlign w:val="superscript"/>
                    </w:rPr>
                    <w:t>-6</w:t>
                  </w:r>
                </w:p>
              </w:tc>
              <w:tc>
                <w:tcPr>
                  <w:tcW w:w="576" w:type="pct"/>
                  <w:vAlign w:val="center"/>
                </w:tcPr>
                <w:p>
                  <w:pPr>
                    <w:adjustRightInd w:val="0"/>
                    <w:snapToGrid w:val="0"/>
                    <w:jc w:val="center"/>
                    <w:rPr>
                      <w:sz w:val="18"/>
                      <w:szCs w:val="18"/>
                    </w:rPr>
                  </w:pPr>
                  <w:r>
                    <w:rPr>
                      <w:sz w:val="18"/>
                      <w:szCs w:val="18"/>
                    </w:rPr>
                    <w:t>0.008×10</w:t>
                  </w:r>
                  <w:r>
                    <w:rPr>
                      <w:sz w:val="18"/>
                      <w:szCs w:val="18"/>
                      <w:vertAlign w:val="superscript"/>
                    </w:rPr>
                    <w:t>-3</w:t>
                  </w:r>
                </w:p>
              </w:tc>
              <w:tc>
                <w:tcPr>
                  <w:tcW w:w="547" w:type="pct"/>
                  <w:vAlign w:val="center"/>
                </w:tcPr>
                <w:p>
                  <w:pPr>
                    <w:pStyle w:val="24"/>
                    <w:snapToGrid w:val="0"/>
                    <w:spacing w:line="240" w:lineRule="auto"/>
                    <w:ind w:firstLine="0"/>
                    <w:jc w:val="center"/>
                    <w:rPr>
                      <w:sz w:val="18"/>
                      <w:szCs w:val="18"/>
                    </w:rPr>
                  </w:pPr>
                  <w:r>
                    <w:rPr>
                      <w:sz w:val="18"/>
                      <w:szCs w:val="18"/>
                    </w:rPr>
                    <w:t>0.478×10</w:t>
                  </w:r>
                  <w:r>
                    <w:rPr>
                      <w:sz w:val="18"/>
                      <w:szCs w:val="18"/>
                      <w:vertAlign w:val="superscript"/>
                    </w:rPr>
                    <w:t>-3</w:t>
                  </w:r>
                </w:p>
              </w:tc>
              <w:tc>
                <w:tcPr>
                  <w:tcW w:w="576" w:type="pct"/>
                  <w:vAlign w:val="center"/>
                </w:tcPr>
                <w:p>
                  <w:pPr>
                    <w:pStyle w:val="24"/>
                    <w:snapToGrid w:val="0"/>
                    <w:spacing w:line="240" w:lineRule="auto"/>
                    <w:ind w:firstLine="0"/>
                    <w:jc w:val="center"/>
                    <w:rPr>
                      <w:sz w:val="18"/>
                      <w:szCs w:val="18"/>
                    </w:rPr>
                  </w:pPr>
                  <w:r>
                    <w:rPr>
                      <w:rFonts w:ascii="Times New Roman" w:hAnsi="Times New Roman"/>
                      <w:color w:val="auto"/>
                      <w:sz w:val="18"/>
                      <w:szCs w:val="18"/>
                    </w:rPr>
                    <w:t>0.3×10</w:t>
                  </w:r>
                  <w:r>
                    <w:rPr>
                      <w:rFonts w:ascii="Times New Roman" w:hAnsi="Times New Roman"/>
                      <w:color w:val="auto"/>
                      <w:sz w:val="18"/>
                      <w:szCs w:val="18"/>
                      <w:vertAlign w:val="superscript"/>
                    </w:rPr>
                    <w:t>-3</w:t>
                  </w:r>
                </w:p>
              </w:tc>
              <w:tc>
                <w:tcPr>
                  <w:tcW w:w="224" w:type="pct"/>
                  <w:vAlign w:val="center"/>
                </w:tcPr>
                <w:p>
                  <w:pPr>
                    <w:pStyle w:val="24"/>
                    <w:snapToGrid w:val="0"/>
                    <w:spacing w:line="240" w:lineRule="auto"/>
                    <w:ind w:firstLine="0"/>
                    <w:jc w:val="center"/>
                    <w:rPr>
                      <w:rFonts w:hint="eastAsia" w:eastAsia="宋体"/>
                      <w:sz w:val="18"/>
                      <w:szCs w:val="18"/>
                      <w:lang w:val="en-US" w:eastAsia="zh-CN"/>
                    </w:rPr>
                  </w:pPr>
                  <w:r>
                    <w:rPr>
                      <w:rFonts w:hint="eastAsia"/>
                      <w:sz w:val="18"/>
                      <w:szCs w:val="18"/>
                      <w:lang w:val="en-US" w:eastAsia="zh-CN"/>
                    </w:rPr>
                    <w:t>达标</w:t>
                  </w:r>
                </w:p>
              </w:tc>
            </w:tr>
          </w:tbl>
          <w:p>
            <w:pPr>
              <w:adjustRightInd w:val="0"/>
              <w:snapToGrid w:val="0"/>
              <w:spacing w:line="360" w:lineRule="auto"/>
              <w:ind w:firstLine="420" w:firstLineChars="200"/>
              <w:rPr>
                <w:bCs/>
              </w:rPr>
            </w:pPr>
            <w:r>
              <w:rPr>
                <w:rFonts w:ascii="宋体" w:hAnsi="宋体"/>
                <w:bCs/>
              </w:rPr>
              <w:t>本项目生产过程会有少量沥青烟气以无组织形式排放，根据前文分析可知，本项目沥青烟无组织排放量为</w:t>
            </w:r>
            <w:r>
              <w:rPr>
                <w:bCs/>
              </w:rPr>
              <w:t>0.084kg/a</w:t>
            </w:r>
            <w:r>
              <w:rPr>
                <w:rFonts w:ascii="宋体" w:hAnsi="宋体"/>
                <w:bCs/>
              </w:rPr>
              <w:t>，排放速率为</w:t>
            </w:r>
            <w:r>
              <w:rPr>
                <w:bCs/>
              </w:rPr>
              <w:t>0.058×10</w:t>
            </w:r>
            <w:r>
              <w:rPr>
                <w:bCs/>
                <w:vertAlign w:val="superscript"/>
              </w:rPr>
              <w:t>-3</w:t>
            </w:r>
            <w:r>
              <w:rPr>
                <w:bCs/>
              </w:rPr>
              <w:t>kg/h</w:t>
            </w:r>
            <w:r>
              <w:rPr>
                <w:rFonts w:ascii="宋体" w:hAnsi="宋体"/>
                <w:bCs/>
              </w:rPr>
              <w:t>，苯并</w:t>
            </w:r>
            <w:r>
              <w:rPr>
                <w:bCs/>
              </w:rPr>
              <w:t>[a]</w:t>
            </w:r>
            <w:r>
              <w:rPr>
                <w:rFonts w:ascii="宋体" w:hAnsi="宋体"/>
                <w:bCs/>
              </w:rPr>
              <w:t>芘无组织排放量为</w:t>
            </w:r>
            <w:r>
              <w:rPr>
                <w:bCs/>
              </w:rPr>
              <w:t>0.084×10</w:t>
            </w:r>
            <w:r>
              <w:rPr>
                <w:bCs/>
                <w:vertAlign w:val="superscript"/>
              </w:rPr>
              <w:t>-3</w:t>
            </w:r>
            <w:r>
              <w:rPr>
                <w:bCs/>
              </w:rPr>
              <w:t>kg/a</w:t>
            </w:r>
            <w:r>
              <w:rPr>
                <w:rFonts w:ascii="宋体" w:hAnsi="宋体"/>
                <w:bCs/>
              </w:rPr>
              <w:t>，排放速率为</w:t>
            </w:r>
            <w:r>
              <w:rPr>
                <w:bCs/>
              </w:rPr>
              <w:t>0.058×10</w:t>
            </w:r>
            <w:r>
              <w:rPr>
                <w:bCs/>
                <w:vertAlign w:val="superscript"/>
              </w:rPr>
              <w:t>-6</w:t>
            </w:r>
            <w:r>
              <w:rPr>
                <w:bCs/>
              </w:rPr>
              <w:t>kg/h</w:t>
            </w:r>
            <w:r>
              <w:rPr>
                <w:rFonts w:ascii="宋体" w:hAnsi="宋体"/>
                <w:bCs/>
              </w:rPr>
              <w:t>。</w:t>
            </w:r>
          </w:p>
          <w:p>
            <w:pPr>
              <w:adjustRightInd w:val="0"/>
              <w:snapToGrid w:val="0"/>
              <w:spacing w:line="360" w:lineRule="auto"/>
              <w:ind w:firstLine="420" w:firstLineChars="200"/>
              <w:rPr>
                <w:rFonts w:hint="eastAsia" w:eastAsia="宋体"/>
                <w:kern w:val="2"/>
                <w:sz w:val="21"/>
                <w:lang w:eastAsia="zh-CN"/>
              </w:rPr>
            </w:pPr>
            <w:r>
              <w:rPr>
                <w:rFonts w:hint="eastAsia"/>
                <w:kern w:val="2"/>
                <w:sz w:val="21"/>
              </w:rPr>
              <w:t>沥青烟气排放浓度满足《大气污染物综合排放标准》（GB16297-1996）中二级标准要求</w:t>
            </w:r>
            <w:r>
              <w:rPr>
                <w:rFonts w:hint="eastAsia"/>
                <w:kern w:val="2"/>
                <w:sz w:val="21"/>
                <w:lang w:eastAsia="zh-CN"/>
              </w:rPr>
              <w:t>。</w:t>
            </w:r>
          </w:p>
          <w:p>
            <w:pPr>
              <w:adjustRightInd w:val="0"/>
              <w:snapToGrid w:val="0"/>
              <w:spacing w:line="360" w:lineRule="auto"/>
              <w:ind w:firstLine="420" w:firstLineChars="200"/>
              <w:rPr>
                <w:rFonts w:hint="eastAsia"/>
                <w:kern w:val="2"/>
                <w:sz w:val="21"/>
              </w:rPr>
            </w:pPr>
            <w:r>
              <w:rPr>
                <w:rFonts w:hint="eastAsia" w:ascii="宋体" w:hAnsi="宋体"/>
                <w:bCs/>
              </w:rPr>
              <w:t>④</w:t>
            </w:r>
            <w:r>
              <w:rPr>
                <w:rFonts w:ascii="宋体" w:hAnsi="宋体"/>
                <w:bCs/>
              </w:rPr>
              <w:t>无组织粉尘</w:t>
            </w:r>
          </w:p>
          <w:p>
            <w:pPr>
              <w:adjustRightInd w:val="0"/>
              <w:snapToGrid w:val="0"/>
              <w:spacing w:line="360" w:lineRule="auto"/>
              <w:ind w:firstLine="420" w:firstLineChars="200"/>
              <w:rPr>
                <w:rFonts w:hint="eastAsia"/>
                <w:bCs/>
              </w:rPr>
            </w:pPr>
            <w:r>
              <w:rPr>
                <w:rFonts w:ascii="宋体" w:hAnsi="宋体"/>
                <w:bCs/>
              </w:rPr>
              <w:t>项目沥青混凝土生产过程中产生的无组织粉尘主要为投料运输粉尘</w:t>
            </w:r>
            <w:r>
              <w:rPr>
                <w:rFonts w:hint="eastAsia" w:ascii="宋体" w:hAnsi="宋体"/>
                <w:bCs/>
              </w:rPr>
              <w:t>、不合格石料收集时产生的逸散粉尘</w:t>
            </w:r>
            <w:r>
              <w:rPr>
                <w:rFonts w:ascii="宋体" w:hAnsi="宋体"/>
                <w:bCs/>
              </w:rPr>
              <w:t>，</w:t>
            </w:r>
            <w:r>
              <w:rPr>
                <w:rFonts w:hint="eastAsia" w:ascii="宋体" w:hAnsi="宋体"/>
                <w:bCs/>
                <w:lang w:val="en-US" w:eastAsia="zh-CN"/>
              </w:rPr>
              <w:t>及运输车辆产生的动力扬尘，</w:t>
            </w:r>
            <w:r>
              <w:rPr>
                <w:rFonts w:hint="eastAsia"/>
                <w:kern w:val="2"/>
                <w:sz w:val="21"/>
              </w:rPr>
              <w:t>厂区内无组织排放粉尘满足《大气污染物综合排放标准》（GB16297-1996）中新污染源大气污染物排放限制要求。</w:t>
            </w:r>
          </w:p>
          <w:p>
            <w:pPr>
              <w:adjustRightInd w:val="0"/>
              <w:snapToGrid w:val="0"/>
              <w:spacing w:line="360" w:lineRule="auto"/>
              <w:ind w:firstLine="420" w:firstLineChars="200"/>
              <w:rPr>
                <w:bCs/>
              </w:rPr>
            </w:pPr>
            <w:r>
              <w:rPr>
                <w:rFonts w:hint="eastAsia"/>
                <w:bCs/>
              </w:rPr>
              <w:t>（2）废水</w:t>
            </w:r>
          </w:p>
          <w:p>
            <w:pPr>
              <w:adjustRightInd w:val="0"/>
              <w:snapToGrid w:val="0"/>
              <w:spacing w:line="360" w:lineRule="auto"/>
              <w:ind w:firstLine="420" w:firstLineChars="200"/>
              <w:rPr>
                <w:bCs/>
              </w:rPr>
            </w:pPr>
            <w:r>
              <w:rPr>
                <w:rFonts w:hint="eastAsia"/>
                <w:bCs/>
              </w:rPr>
              <w:t>本项目生产过程不产生生产废水，</w:t>
            </w:r>
            <w:r>
              <w:rPr>
                <w:bCs/>
              </w:rPr>
              <w:t>产生废水主要为职工生活污水，产生量为0.192m</w:t>
            </w:r>
            <w:r>
              <w:rPr>
                <w:bCs/>
                <w:vertAlign w:val="superscript"/>
              </w:rPr>
              <w:t>3</w:t>
            </w:r>
            <w:r>
              <w:rPr>
                <w:bCs/>
              </w:rPr>
              <w:t>/d（11.52m</w:t>
            </w:r>
            <w:r>
              <w:rPr>
                <w:bCs/>
                <w:vertAlign w:val="superscript"/>
              </w:rPr>
              <w:t>3</w:t>
            </w:r>
            <w:r>
              <w:rPr>
                <w:bCs/>
              </w:rPr>
              <w:t>/a），根据《给水排水设计手册》（第5册）中指导数据可知，废水中主要污染物产生浓度为COD 300mg/L、BOD</w:t>
            </w:r>
            <w:r>
              <w:rPr>
                <w:bCs/>
                <w:vertAlign w:val="subscript"/>
              </w:rPr>
              <w:t xml:space="preserve">5 </w:t>
            </w:r>
            <w:r>
              <w:rPr>
                <w:bCs/>
              </w:rPr>
              <w:t>150mg/L、氨氮 25mg/L、SS 180mg/L，生活污水各污染物排放情况见下表。</w:t>
            </w:r>
          </w:p>
          <w:p>
            <w:pPr>
              <w:adjustRightInd w:val="0"/>
              <w:snapToGrid w:val="0"/>
              <w:spacing w:line="360" w:lineRule="auto"/>
              <w:jc w:val="center"/>
              <w:rPr>
                <w:bCs/>
              </w:rPr>
            </w:pPr>
            <w:r>
              <w:rPr>
                <w:bCs/>
              </w:rPr>
              <w:t>表</w:t>
            </w:r>
            <w:r>
              <w:rPr>
                <w:rFonts w:hint="eastAsia"/>
                <w:bCs/>
                <w:lang w:val="en-US" w:eastAsia="zh-CN"/>
              </w:rPr>
              <w:t>2-8</w:t>
            </w:r>
            <w:r>
              <w:rPr>
                <w:bCs/>
              </w:rPr>
              <w:t xml:space="preserve">  生活污水各污染物排放情况一览表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3"/>
              <w:gridCol w:w="2620"/>
              <w:gridCol w:w="965"/>
              <w:gridCol w:w="1021"/>
              <w:gridCol w:w="1129"/>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tcBorders>
                    <w:top w:val="single" w:color="auto" w:sz="12" w:space="0"/>
                    <w:left w:val="nil"/>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污水产生量</w:t>
                  </w:r>
                </w:p>
              </w:tc>
              <w:tc>
                <w:tcPr>
                  <w:tcW w:w="1553"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主要指标</w:t>
                  </w:r>
                </w:p>
              </w:tc>
              <w:tc>
                <w:tcPr>
                  <w:tcW w:w="572"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COD</w:t>
                  </w:r>
                </w:p>
              </w:tc>
              <w:tc>
                <w:tcPr>
                  <w:tcW w:w="605"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BOD</w:t>
                  </w:r>
                  <w:r>
                    <w:rPr>
                      <w:sz w:val="18"/>
                      <w:szCs w:val="18"/>
                      <w:vertAlign w:val="subscript"/>
                    </w:rPr>
                    <w:t>5</w:t>
                  </w:r>
                </w:p>
              </w:tc>
              <w:tc>
                <w:tcPr>
                  <w:tcW w:w="669"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NH</w:t>
                  </w:r>
                  <w:r>
                    <w:rPr>
                      <w:sz w:val="18"/>
                      <w:szCs w:val="18"/>
                      <w:vertAlign w:val="subscript"/>
                    </w:rPr>
                    <w:t>3</w:t>
                  </w:r>
                  <w:r>
                    <w:rPr>
                      <w:sz w:val="18"/>
                      <w:szCs w:val="18"/>
                    </w:rPr>
                    <w:t>-N</w:t>
                  </w:r>
                </w:p>
              </w:tc>
              <w:tc>
                <w:tcPr>
                  <w:tcW w:w="572" w:type="pct"/>
                  <w:tcBorders>
                    <w:top w:val="single" w:color="auto" w:sz="12" w:space="0"/>
                    <w:left w:val="single" w:color="auto" w:sz="4" w:space="0"/>
                    <w:bottom w:val="single" w:color="auto" w:sz="4" w:space="0"/>
                    <w:right w:val="nil"/>
                  </w:tcBorders>
                  <w:vAlign w:val="center"/>
                </w:tcPr>
                <w:p>
                  <w:pPr>
                    <w:autoSpaceDE w:val="0"/>
                    <w:autoSpaceDN w:val="0"/>
                    <w:adjustRightInd w:val="0"/>
                    <w:snapToGrid w:val="0"/>
                    <w:jc w:val="center"/>
                    <w:rPr>
                      <w:sz w:val="18"/>
                      <w:szCs w:val="18"/>
                    </w:rPr>
                  </w:pPr>
                  <w:r>
                    <w:rPr>
                      <w:sz w:val="18"/>
                      <w:szCs w:val="18"/>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vMerge w:val="restart"/>
                  <w:tcBorders>
                    <w:top w:val="single" w:color="auto" w:sz="4" w:space="0"/>
                    <w:left w:val="nil"/>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11.52m</w:t>
                  </w:r>
                  <w:r>
                    <w:rPr>
                      <w:sz w:val="18"/>
                      <w:szCs w:val="18"/>
                      <w:vertAlign w:val="superscript"/>
                    </w:rPr>
                    <w:t>3</w:t>
                  </w:r>
                  <w:r>
                    <w:rPr>
                      <w:sz w:val="18"/>
                      <w:szCs w:val="18"/>
                    </w:rPr>
                    <w:t>/a</w:t>
                  </w:r>
                </w:p>
              </w:tc>
              <w:tc>
                <w:tcPr>
                  <w:tcW w:w="15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产生浓度（mg/L）</w:t>
                  </w:r>
                </w:p>
              </w:tc>
              <w:tc>
                <w:tcPr>
                  <w:tcW w:w="57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300</w:t>
                  </w:r>
                </w:p>
              </w:tc>
              <w:tc>
                <w:tcPr>
                  <w:tcW w:w="605"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150</w:t>
                  </w:r>
                </w:p>
              </w:tc>
              <w:tc>
                <w:tcPr>
                  <w:tcW w:w="66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25</w:t>
                  </w:r>
                </w:p>
              </w:tc>
              <w:tc>
                <w:tcPr>
                  <w:tcW w:w="572" w:type="pct"/>
                  <w:tcBorders>
                    <w:top w:val="single" w:color="auto" w:sz="4" w:space="0"/>
                    <w:left w:val="single" w:color="auto" w:sz="4" w:space="0"/>
                    <w:bottom w:val="single" w:color="auto" w:sz="4" w:space="0"/>
                    <w:right w:val="nil"/>
                  </w:tcBorders>
                  <w:vAlign w:val="center"/>
                </w:tcPr>
                <w:p>
                  <w:pPr>
                    <w:autoSpaceDE w:val="0"/>
                    <w:autoSpaceDN w:val="0"/>
                    <w:adjustRightInd w:val="0"/>
                    <w:snapToGrid w:val="0"/>
                    <w:jc w:val="center"/>
                    <w:rPr>
                      <w:sz w:val="18"/>
                      <w:szCs w:val="18"/>
                    </w:rPr>
                  </w:pPr>
                  <w:r>
                    <w:rPr>
                      <w:sz w:val="18"/>
                      <w:szCs w:val="18"/>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vMerge w:val="continue"/>
                  <w:tcBorders>
                    <w:top w:val="single" w:color="auto" w:sz="4" w:space="0"/>
                    <w:left w:val="nil"/>
                    <w:bottom w:val="single" w:color="auto" w:sz="12" w:space="0"/>
                    <w:right w:val="single" w:color="auto" w:sz="4" w:space="0"/>
                  </w:tcBorders>
                  <w:vAlign w:val="center"/>
                </w:tcPr>
                <w:p>
                  <w:pPr>
                    <w:widowControl/>
                    <w:adjustRightInd w:val="0"/>
                    <w:snapToGrid w:val="0"/>
                    <w:jc w:val="center"/>
                    <w:rPr>
                      <w:sz w:val="18"/>
                      <w:szCs w:val="18"/>
                    </w:rPr>
                  </w:pPr>
                </w:p>
              </w:tc>
              <w:tc>
                <w:tcPr>
                  <w:tcW w:w="1553"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sz w:val="18"/>
                      <w:szCs w:val="18"/>
                    </w:rPr>
                    <w:t>产生量（t/a）</w:t>
                  </w:r>
                </w:p>
              </w:tc>
              <w:tc>
                <w:tcPr>
                  <w:tcW w:w="572"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.003</w:t>
                  </w:r>
                </w:p>
              </w:tc>
              <w:tc>
                <w:tcPr>
                  <w:tcW w:w="605"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.002</w:t>
                  </w:r>
                </w:p>
              </w:tc>
              <w:tc>
                <w:tcPr>
                  <w:tcW w:w="669"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.0003</w:t>
                  </w:r>
                </w:p>
              </w:tc>
              <w:tc>
                <w:tcPr>
                  <w:tcW w:w="572" w:type="pct"/>
                  <w:tcBorders>
                    <w:top w:val="single" w:color="auto" w:sz="4" w:space="0"/>
                    <w:left w:val="single" w:color="auto" w:sz="4" w:space="0"/>
                    <w:bottom w:val="single" w:color="auto" w:sz="12" w:space="0"/>
                    <w:right w:val="nil"/>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.002</w:t>
                  </w:r>
                </w:p>
              </w:tc>
            </w:tr>
          </w:tbl>
          <w:p>
            <w:pPr>
              <w:adjustRightInd w:val="0"/>
              <w:snapToGrid w:val="0"/>
              <w:spacing w:line="360" w:lineRule="auto"/>
              <w:ind w:firstLine="420" w:firstLineChars="200"/>
              <w:rPr>
                <w:bCs/>
              </w:rPr>
            </w:pPr>
            <w:r>
              <w:rPr>
                <w:bCs/>
              </w:rPr>
              <w:t>生活污水排入厂区防渗旱厕，定期清掏，用作农肥，不外排</w:t>
            </w:r>
            <w:r>
              <w:rPr>
                <w:rFonts w:hint="eastAsia"/>
                <w:bCs/>
              </w:rPr>
              <w:t>；其中食堂废水经沉淀池处理后排入旱厕</w:t>
            </w:r>
            <w:r>
              <w:rPr>
                <w:bCs/>
              </w:rPr>
              <w:t>。项目产生废水对周围地表水环境基本无影响。</w:t>
            </w:r>
          </w:p>
          <w:p>
            <w:pPr>
              <w:adjustRightInd w:val="0"/>
              <w:snapToGrid w:val="0"/>
              <w:spacing w:line="360" w:lineRule="auto"/>
              <w:ind w:firstLine="420" w:firstLineChars="200"/>
              <w:rPr>
                <w:bCs/>
              </w:rPr>
            </w:pPr>
            <w:r>
              <w:rPr>
                <w:bCs/>
              </w:rPr>
              <w:t>（3）噪声</w:t>
            </w:r>
          </w:p>
          <w:p>
            <w:pPr>
              <w:adjustRightInd w:val="0"/>
              <w:snapToGrid w:val="0"/>
              <w:spacing w:line="360" w:lineRule="auto"/>
              <w:ind w:firstLine="420" w:firstLineChars="200"/>
            </w:pPr>
            <w:r>
              <w:rPr>
                <w:bCs/>
              </w:rPr>
              <w:t>本项目噪声主要来源于</w:t>
            </w:r>
            <w:r>
              <w:t>拌合站、皮带输送机、烘干滚筒、风机、泵类等设备运行时产生的噪声，沥青搅拌站为半封闭，根据环境监测报告，厂区周围声环境情况见下表。</w:t>
            </w:r>
          </w:p>
          <w:p>
            <w:pPr>
              <w:adjustRightInd w:val="0"/>
              <w:snapToGrid w:val="0"/>
              <w:spacing w:line="360" w:lineRule="auto"/>
              <w:jc w:val="center"/>
            </w:pPr>
            <w:r>
              <w:t>表2-</w:t>
            </w:r>
            <w:r>
              <w:rPr>
                <w:rFonts w:hint="eastAsia"/>
                <w:lang w:val="en-US" w:eastAsia="zh-CN"/>
              </w:rPr>
              <w:t>9</w:t>
            </w:r>
            <w:r>
              <w:t xml:space="preserve">  </w:t>
            </w:r>
            <w:r>
              <w:rPr>
                <w:rFonts w:hint="eastAsia"/>
              </w:rPr>
              <w:t>声环境情况</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614"/>
              <w:gridCol w:w="2107"/>
              <w:gridCol w:w="896"/>
              <w:gridCol w:w="897"/>
              <w:gridCol w:w="800"/>
              <w:gridCol w:w="801"/>
              <w:gridCol w:w="614"/>
              <w:gridCol w:w="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监测日期</w:t>
                  </w:r>
                </w:p>
              </w:tc>
              <w:tc>
                <w:tcPr>
                  <w:tcW w:w="364"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序号</w:t>
                  </w:r>
                </w:p>
              </w:tc>
              <w:tc>
                <w:tcPr>
                  <w:tcW w:w="1249"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监测点名称</w:t>
                  </w:r>
                </w:p>
              </w:tc>
              <w:tc>
                <w:tcPr>
                  <w:tcW w:w="1063"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监测结果dB（A）</w:t>
                  </w:r>
                </w:p>
              </w:tc>
              <w:tc>
                <w:tcPr>
                  <w:tcW w:w="949"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标准值dB（A）</w:t>
                  </w:r>
                </w:p>
              </w:tc>
              <w:tc>
                <w:tcPr>
                  <w:tcW w:w="727"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pStyle w:val="20"/>
                    <w:adjustRightInd w:val="0"/>
                    <w:snapToGrid w:val="0"/>
                    <w:spacing w:line="240" w:lineRule="auto"/>
                    <w:rPr>
                      <w:rFonts w:ascii="Times New Roman" w:hAnsi="Times New Roman"/>
                      <w:sz w:val="18"/>
                      <w:szCs w:val="18"/>
                    </w:rPr>
                  </w:pPr>
                </w:p>
              </w:tc>
              <w:tc>
                <w:tcPr>
                  <w:tcW w:w="364" w:type="pct"/>
                  <w:vMerge w:val="continue"/>
                  <w:vAlign w:val="center"/>
                </w:tcPr>
                <w:p>
                  <w:pPr>
                    <w:pStyle w:val="20"/>
                    <w:adjustRightInd w:val="0"/>
                    <w:snapToGrid w:val="0"/>
                    <w:spacing w:line="240" w:lineRule="auto"/>
                    <w:rPr>
                      <w:rFonts w:ascii="Times New Roman" w:hAnsi="Times New Roman"/>
                      <w:sz w:val="18"/>
                      <w:szCs w:val="18"/>
                    </w:rPr>
                  </w:pPr>
                </w:p>
              </w:tc>
              <w:tc>
                <w:tcPr>
                  <w:tcW w:w="1249" w:type="pct"/>
                  <w:vMerge w:val="continue"/>
                  <w:vAlign w:val="center"/>
                </w:tcPr>
                <w:p>
                  <w:pPr>
                    <w:pStyle w:val="20"/>
                    <w:adjustRightInd w:val="0"/>
                    <w:snapToGrid w:val="0"/>
                    <w:spacing w:line="240" w:lineRule="auto"/>
                    <w:rPr>
                      <w:rFonts w:ascii="Times New Roman" w:hAnsi="Times New Roman"/>
                      <w:sz w:val="18"/>
                      <w:szCs w:val="18"/>
                    </w:rPr>
                  </w:pPr>
                </w:p>
              </w:tc>
              <w:tc>
                <w:tcPr>
                  <w:tcW w:w="531"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532"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adjustRightInd w:val="0"/>
                    <w:snapToGrid w:val="0"/>
                    <w:jc w:val="center"/>
                    <w:rPr>
                      <w:sz w:val="18"/>
                      <w:szCs w:val="18"/>
                    </w:rPr>
                  </w:pPr>
                  <w:r>
                    <w:rPr>
                      <w:sz w:val="18"/>
                      <w:szCs w:val="18"/>
                    </w:rPr>
                    <w:t>2021.05.16</w:t>
                  </w:r>
                </w:p>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N1</w:t>
                  </w:r>
                </w:p>
              </w:tc>
              <w:tc>
                <w:tcPr>
                  <w:tcW w:w="1249" w:type="pct"/>
                  <w:vAlign w:val="center"/>
                </w:tcPr>
                <w:p>
                  <w:pPr>
                    <w:adjustRightInd w:val="0"/>
                    <w:snapToGrid w:val="0"/>
                    <w:jc w:val="center"/>
                    <w:rPr>
                      <w:sz w:val="18"/>
                      <w:szCs w:val="18"/>
                    </w:rPr>
                  </w:pPr>
                  <w:r>
                    <w:rPr>
                      <w:sz w:val="18"/>
                      <w:szCs w:val="18"/>
                    </w:rPr>
                    <w:t>项目东侧厂界外1m处</w:t>
                  </w:r>
                </w:p>
              </w:tc>
              <w:tc>
                <w:tcPr>
                  <w:tcW w:w="531" w:type="pct"/>
                  <w:vAlign w:val="center"/>
                </w:tcPr>
                <w:p>
                  <w:pPr>
                    <w:adjustRightInd w:val="0"/>
                    <w:snapToGrid w:val="0"/>
                    <w:jc w:val="center"/>
                    <w:rPr>
                      <w:sz w:val="18"/>
                      <w:szCs w:val="18"/>
                    </w:rPr>
                  </w:pPr>
                  <w:r>
                    <w:rPr>
                      <w:sz w:val="18"/>
                      <w:szCs w:val="18"/>
                    </w:rPr>
                    <w:t>51</w:t>
                  </w:r>
                </w:p>
              </w:tc>
              <w:tc>
                <w:tcPr>
                  <w:tcW w:w="532" w:type="pct"/>
                  <w:vAlign w:val="center"/>
                </w:tcPr>
                <w:p>
                  <w:pPr>
                    <w:adjustRightInd w:val="0"/>
                    <w:snapToGrid w:val="0"/>
                    <w:jc w:val="center"/>
                    <w:rPr>
                      <w:sz w:val="18"/>
                      <w:szCs w:val="18"/>
                    </w:rPr>
                  </w:pPr>
                  <w:r>
                    <w:rPr>
                      <w:sz w:val="18"/>
                      <w:szCs w:val="18"/>
                    </w:rPr>
                    <w:t>40</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N2</w:t>
                  </w:r>
                </w:p>
              </w:tc>
              <w:tc>
                <w:tcPr>
                  <w:tcW w:w="1249" w:type="pct"/>
                  <w:vAlign w:val="center"/>
                </w:tcPr>
                <w:p>
                  <w:pPr>
                    <w:adjustRightInd w:val="0"/>
                    <w:snapToGrid w:val="0"/>
                    <w:jc w:val="center"/>
                    <w:rPr>
                      <w:sz w:val="18"/>
                      <w:szCs w:val="18"/>
                    </w:rPr>
                  </w:pPr>
                  <w:r>
                    <w:rPr>
                      <w:sz w:val="18"/>
                      <w:szCs w:val="18"/>
                    </w:rPr>
                    <w:t>项目南侧厂界外1m处</w:t>
                  </w:r>
                </w:p>
              </w:tc>
              <w:tc>
                <w:tcPr>
                  <w:tcW w:w="531" w:type="pct"/>
                  <w:vAlign w:val="center"/>
                </w:tcPr>
                <w:p>
                  <w:pPr>
                    <w:adjustRightInd w:val="0"/>
                    <w:snapToGrid w:val="0"/>
                    <w:jc w:val="center"/>
                    <w:rPr>
                      <w:sz w:val="18"/>
                      <w:szCs w:val="18"/>
                    </w:rPr>
                  </w:pPr>
                  <w:r>
                    <w:rPr>
                      <w:sz w:val="18"/>
                      <w:szCs w:val="18"/>
                    </w:rPr>
                    <w:t>54</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b/>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N3</w:t>
                  </w:r>
                </w:p>
              </w:tc>
              <w:tc>
                <w:tcPr>
                  <w:tcW w:w="1249" w:type="pct"/>
                  <w:vAlign w:val="center"/>
                </w:tcPr>
                <w:p>
                  <w:pPr>
                    <w:adjustRightInd w:val="0"/>
                    <w:snapToGrid w:val="0"/>
                    <w:jc w:val="center"/>
                    <w:rPr>
                      <w:sz w:val="18"/>
                      <w:szCs w:val="18"/>
                    </w:rPr>
                  </w:pPr>
                  <w:r>
                    <w:rPr>
                      <w:sz w:val="18"/>
                      <w:szCs w:val="18"/>
                    </w:rPr>
                    <w:t>项目西侧厂界外1m处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42</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N4</w:t>
                  </w:r>
                </w:p>
              </w:tc>
              <w:tc>
                <w:tcPr>
                  <w:tcW w:w="1249" w:type="pct"/>
                  <w:vAlign w:val="center"/>
                </w:tcPr>
                <w:p>
                  <w:pPr>
                    <w:adjustRightInd w:val="0"/>
                    <w:snapToGrid w:val="0"/>
                    <w:jc w:val="center"/>
                    <w:rPr>
                      <w:sz w:val="18"/>
                      <w:szCs w:val="18"/>
                    </w:rPr>
                  </w:pPr>
                  <w:r>
                    <w:rPr>
                      <w:sz w:val="18"/>
                      <w:szCs w:val="18"/>
                    </w:rPr>
                    <w:t>项目北侧厂界外1m处</w:t>
                  </w:r>
                </w:p>
              </w:tc>
              <w:tc>
                <w:tcPr>
                  <w:tcW w:w="531" w:type="pct"/>
                  <w:vAlign w:val="center"/>
                </w:tcPr>
                <w:p>
                  <w:pPr>
                    <w:adjustRightInd w:val="0"/>
                    <w:snapToGrid w:val="0"/>
                    <w:jc w:val="center"/>
                    <w:rPr>
                      <w:sz w:val="18"/>
                      <w:szCs w:val="18"/>
                    </w:rPr>
                  </w:pPr>
                  <w:r>
                    <w:rPr>
                      <w:sz w:val="18"/>
                      <w:szCs w:val="18"/>
                    </w:rPr>
                    <w:t>52</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adjustRightInd w:val="0"/>
                    <w:snapToGrid w:val="0"/>
                    <w:jc w:val="center"/>
                    <w:rPr>
                      <w:sz w:val="18"/>
                      <w:szCs w:val="18"/>
                    </w:rPr>
                  </w:pPr>
                  <w:r>
                    <w:rPr>
                      <w:sz w:val="18"/>
                      <w:szCs w:val="18"/>
                    </w:rPr>
                    <w:t>2021.05.17</w:t>
                  </w:r>
                </w:p>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N1</w:t>
                  </w:r>
                </w:p>
              </w:tc>
              <w:tc>
                <w:tcPr>
                  <w:tcW w:w="1249" w:type="pct"/>
                  <w:vAlign w:val="center"/>
                </w:tcPr>
                <w:p>
                  <w:pPr>
                    <w:adjustRightInd w:val="0"/>
                    <w:snapToGrid w:val="0"/>
                    <w:jc w:val="center"/>
                    <w:rPr>
                      <w:sz w:val="18"/>
                      <w:szCs w:val="18"/>
                    </w:rPr>
                  </w:pPr>
                  <w:r>
                    <w:rPr>
                      <w:sz w:val="18"/>
                      <w:szCs w:val="18"/>
                    </w:rPr>
                    <w:t>项目东侧厂界外1m处</w:t>
                  </w:r>
                </w:p>
              </w:tc>
              <w:tc>
                <w:tcPr>
                  <w:tcW w:w="531" w:type="pct"/>
                  <w:vAlign w:val="center"/>
                </w:tcPr>
                <w:p>
                  <w:pPr>
                    <w:adjustRightInd w:val="0"/>
                    <w:snapToGrid w:val="0"/>
                    <w:jc w:val="center"/>
                    <w:rPr>
                      <w:sz w:val="18"/>
                      <w:szCs w:val="18"/>
                    </w:rPr>
                  </w:pPr>
                  <w:r>
                    <w:rPr>
                      <w:sz w:val="18"/>
                      <w:szCs w:val="18"/>
                    </w:rPr>
                    <w:t>50</w:t>
                  </w:r>
                </w:p>
              </w:tc>
              <w:tc>
                <w:tcPr>
                  <w:tcW w:w="532" w:type="pct"/>
                  <w:vAlign w:val="center"/>
                </w:tcPr>
                <w:p>
                  <w:pPr>
                    <w:adjustRightInd w:val="0"/>
                    <w:snapToGrid w:val="0"/>
                    <w:jc w:val="center"/>
                    <w:rPr>
                      <w:sz w:val="18"/>
                      <w:szCs w:val="18"/>
                    </w:rPr>
                  </w:pPr>
                  <w:r>
                    <w:rPr>
                      <w:sz w:val="18"/>
                      <w:szCs w:val="18"/>
                    </w:rPr>
                    <w:t>41</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N2</w:t>
                  </w:r>
                </w:p>
              </w:tc>
              <w:tc>
                <w:tcPr>
                  <w:tcW w:w="1249" w:type="pct"/>
                  <w:vAlign w:val="center"/>
                </w:tcPr>
                <w:p>
                  <w:pPr>
                    <w:adjustRightInd w:val="0"/>
                    <w:snapToGrid w:val="0"/>
                    <w:jc w:val="center"/>
                    <w:rPr>
                      <w:sz w:val="18"/>
                      <w:szCs w:val="18"/>
                    </w:rPr>
                  </w:pPr>
                  <w:r>
                    <w:rPr>
                      <w:sz w:val="18"/>
                      <w:szCs w:val="18"/>
                    </w:rPr>
                    <w:t>项目南侧厂界外1m处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44</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N3</w:t>
                  </w:r>
                </w:p>
              </w:tc>
              <w:tc>
                <w:tcPr>
                  <w:tcW w:w="1249" w:type="pct"/>
                  <w:vAlign w:val="center"/>
                </w:tcPr>
                <w:p>
                  <w:pPr>
                    <w:adjustRightInd w:val="0"/>
                    <w:snapToGrid w:val="0"/>
                    <w:jc w:val="center"/>
                    <w:rPr>
                      <w:sz w:val="18"/>
                      <w:szCs w:val="18"/>
                    </w:rPr>
                  </w:pPr>
                  <w:r>
                    <w:rPr>
                      <w:sz w:val="18"/>
                      <w:szCs w:val="18"/>
                    </w:rPr>
                    <w:t>项目西侧厂界外1m处</w:t>
                  </w:r>
                </w:p>
              </w:tc>
              <w:tc>
                <w:tcPr>
                  <w:tcW w:w="531" w:type="pct"/>
                  <w:vAlign w:val="center"/>
                </w:tcPr>
                <w:p>
                  <w:pPr>
                    <w:adjustRightInd w:val="0"/>
                    <w:snapToGrid w:val="0"/>
                    <w:jc w:val="center"/>
                    <w:rPr>
                      <w:sz w:val="18"/>
                      <w:szCs w:val="18"/>
                    </w:rPr>
                  </w:pPr>
                  <w:r>
                    <w:rPr>
                      <w:sz w:val="18"/>
                      <w:szCs w:val="18"/>
                    </w:rPr>
                    <w:t>52</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N4</w:t>
                  </w:r>
                </w:p>
              </w:tc>
              <w:tc>
                <w:tcPr>
                  <w:tcW w:w="1249" w:type="pct"/>
                  <w:vAlign w:val="center"/>
                </w:tcPr>
                <w:p>
                  <w:pPr>
                    <w:adjustRightInd w:val="0"/>
                    <w:snapToGrid w:val="0"/>
                    <w:jc w:val="center"/>
                    <w:rPr>
                      <w:sz w:val="18"/>
                      <w:szCs w:val="18"/>
                    </w:rPr>
                  </w:pPr>
                  <w:r>
                    <w:rPr>
                      <w:sz w:val="18"/>
                      <w:szCs w:val="18"/>
                    </w:rPr>
                    <w:t>项目北侧厂界外1m处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42</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bl>
          <w:p>
            <w:pPr>
              <w:adjustRightInd w:val="0"/>
              <w:snapToGrid w:val="0"/>
              <w:spacing w:line="360" w:lineRule="auto"/>
              <w:ind w:firstLine="420" w:firstLineChars="200"/>
            </w:pPr>
            <w:r>
              <w:t>本项目厂界噪声满足《工业企业厂界环境噪声排放标准》（GB12348-2008）中1类标准要求。</w:t>
            </w:r>
          </w:p>
          <w:p>
            <w:pPr>
              <w:adjustRightInd w:val="0"/>
              <w:snapToGrid w:val="0"/>
              <w:spacing w:line="360" w:lineRule="auto"/>
              <w:ind w:firstLine="420" w:firstLineChars="200"/>
            </w:pPr>
            <w:r>
              <w:t>（4）固体废物</w:t>
            </w:r>
          </w:p>
          <w:p>
            <w:pPr>
              <w:adjustRightInd w:val="0"/>
              <w:snapToGrid w:val="0"/>
              <w:spacing w:line="360" w:lineRule="auto"/>
              <w:ind w:firstLine="420" w:firstLineChars="200"/>
            </w:pPr>
            <w:r>
              <w:t>本项目产生固体废物主要为职工产生的生活垃圾、一般工业固体废物、危险废物。</w:t>
            </w:r>
          </w:p>
          <w:p>
            <w:pPr>
              <w:adjustRightInd w:val="0"/>
              <w:snapToGrid w:val="0"/>
              <w:spacing w:line="360" w:lineRule="auto"/>
              <w:ind w:firstLine="420" w:firstLineChars="200"/>
            </w:pPr>
            <w:r>
              <w:rPr>
                <w:rFonts w:hint="eastAsia" w:ascii="宋体" w:hAnsi="宋体" w:cs="宋体"/>
              </w:rPr>
              <w:t>①</w:t>
            </w:r>
            <w:r>
              <w:t>生活垃圾</w:t>
            </w:r>
          </w:p>
          <w:p>
            <w:pPr>
              <w:adjustRightInd w:val="0"/>
              <w:snapToGrid w:val="0"/>
              <w:spacing w:line="360" w:lineRule="auto"/>
              <w:ind w:firstLine="420" w:firstLineChars="200"/>
            </w:pPr>
            <w:r>
              <w:t>本项目职工生活垃圾于厂区内集中收集，由环卫部门统一处理。</w:t>
            </w:r>
            <w:r>
              <w:rPr>
                <w:rFonts w:hint="eastAsia"/>
              </w:rPr>
              <w:t>厨余垃圾交由环卫部门统一处理，废油脂于沉淀池收集后交由相关资质单位进行处理。</w:t>
            </w:r>
          </w:p>
          <w:p>
            <w:pPr>
              <w:adjustRightInd w:val="0"/>
              <w:snapToGrid w:val="0"/>
              <w:spacing w:line="360" w:lineRule="auto"/>
              <w:ind w:firstLine="420" w:firstLineChars="200"/>
            </w:pPr>
            <w:r>
              <w:rPr>
                <w:rFonts w:hint="eastAsia" w:ascii="宋体" w:hAnsi="宋体" w:cs="宋体"/>
              </w:rPr>
              <w:t>②</w:t>
            </w:r>
            <w:r>
              <w:t>一般工业固体废物</w:t>
            </w:r>
          </w:p>
          <w:p>
            <w:pPr>
              <w:adjustRightInd w:val="0"/>
              <w:snapToGrid w:val="0"/>
              <w:spacing w:line="360" w:lineRule="auto"/>
              <w:ind w:firstLine="420" w:firstLineChars="200"/>
            </w:pPr>
            <w:r>
              <w:t>1）布袋除尘器回收粉尘</w:t>
            </w:r>
          </w:p>
          <w:p>
            <w:pPr>
              <w:adjustRightInd w:val="0"/>
              <w:snapToGrid w:val="0"/>
              <w:spacing w:line="360" w:lineRule="auto"/>
              <w:ind w:firstLine="420" w:firstLineChars="200"/>
            </w:pPr>
            <w:r>
              <w:t>项目布袋除尘器回收粉尘经统一收集后，回用于生产。</w:t>
            </w:r>
          </w:p>
          <w:p>
            <w:pPr>
              <w:adjustRightInd w:val="0"/>
              <w:snapToGrid w:val="0"/>
              <w:spacing w:line="360" w:lineRule="auto"/>
              <w:ind w:firstLine="420" w:firstLineChars="200"/>
            </w:pPr>
            <w:r>
              <w:t>2）不合格石料</w:t>
            </w:r>
          </w:p>
          <w:p>
            <w:pPr>
              <w:adjustRightInd w:val="0"/>
              <w:snapToGrid w:val="0"/>
              <w:spacing w:line="360" w:lineRule="auto"/>
              <w:ind w:firstLine="420" w:firstLineChars="200"/>
            </w:pPr>
            <w:r>
              <w:t>项目不合格石料收集后暂存于厂区，返回厂家进行破碎处理。</w:t>
            </w:r>
          </w:p>
          <w:p>
            <w:pPr>
              <w:adjustRightInd w:val="0"/>
              <w:snapToGrid w:val="0"/>
              <w:spacing w:line="360" w:lineRule="auto"/>
              <w:ind w:firstLine="420" w:firstLineChars="200"/>
            </w:pPr>
            <w:r>
              <w:t>3）滴落沥青及拌合残渣</w:t>
            </w:r>
          </w:p>
          <w:p>
            <w:pPr>
              <w:adjustRightInd w:val="0"/>
              <w:snapToGrid w:val="0"/>
              <w:spacing w:line="360" w:lineRule="auto"/>
              <w:ind w:firstLine="420" w:firstLineChars="200"/>
            </w:pPr>
            <w:r>
              <w:t>沥青管道输送过程接口处可能会产生少量沥青滴漏，拌合后成品卸料时可能会产生少量拌合残渣，收集后作为原料回用于生产。</w:t>
            </w:r>
          </w:p>
          <w:p>
            <w:pPr>
              <w:adjustRightInd w:val="0"/>
              <w:snapToGrid w:val="0"/>
              <w:spacing w:line="360" w:lineRule="auto"/>
              <w:ind w:firstLine="420" w:firstLineChars="200"/>
            </w:pPr>
            <w:r>
              <w:t>4）废布袋</w:t>
            </w:r>
          </w:p>
          <w:p>
            <w:pPr>
              <w:adjustRightInd w:val="0"/>
              <w:snapToGrid w:val="0"/>
              <w:spacing w:line="360" w:lineRule="auto"/>
              <w:ind w:firstLine="420" w:firstLineChars="200"/>
            </w:pPr>
            <w:r>
              <w:t>本项目生产使用除尘器，需要定期更换布袋，由厂家进行回收。</w:t>
            </w:r>
          </w:p>
          <w:p>
            <w:pPr>
              <w:adjustRightInd w:val="0"/>
              <w:snapToGrid w:val="0"/>
              <w:spacing w:line="360" w:lineRule="auto"/>
              <w:ind w:firstLine="420" w:firstLineChars="200"/>
            </w:pPr>
            <w:r>
              <w:rPr>
                <w:rFonts w:hint="eastAsia" w:ascii="宋体" w:hAnsi="宋体" w:cs="宋体"/>
              </w:rPr>
              <w:t>③</w:t>
            </w:r>
            <w:r>
              <w:t>危险废物</w:t>
            </w:r>
          </w:p>
          <w:p>
            <w:pPr>
              <w:adjustRightInd w:val="0"/>
              <w:snapToGrid w:val="0"/>
              <w:spacing w:line="360" w:lineRule="auto"/>
              <w:ind w:firstLine="420" w:firstLineChars="200"/>
            </w:pPr>
            <w:r>
              <w:t>本项目采用活性炭吸附处理含苯并[a]芘的沥青烟，产生失效的活性炭物质，废活性炭为危险废物，</w:t>
            </w:r>
            <w:r>
              <w:rPr>
                <w:b/>
                <w:bCs/>
              </w:rPr>
              <w:t>目前企业将其外售给废品回收公司。</w:t>
            </w:r>
          </w:p>
          <w:p>
            <w:pPr>
              <w:adjustRightInd w:val="0"/>
              <w:snapToGrid w:val="0"/>
              <w:spacing w:line="360" w:lineRule="auto"/>
              <w:ind w:firstLine="420" w:firstLineChars="200"/>
              <w:rPr>
                <w:color w:val="auto"/>
              </w:rPr>
            </w:pPr>
            <w:r>
              <w:rPr>
                <w:color w:val="auto"/>
              </w:rPr>
              <w:t>2、企业现有环境问题</w:t>
            </w:r>
          </w:p>
          <w:p>
            <w:pPr>
              <w:adjustRightInd w:val="0"/>
              <w:snapToGrid w:val="0"/>
              <w:spacing w:line="360" w:lineRule="auto"/>
              <w:ind w:firstLine="420" w:firstLineChars="200"/>
              <w:rPr>
                <w:color w:val="auto"/>
              </w:rPr>
            </w:pPr>
            <w:r>
              <w:rPr>
                <w:color w:val="auto"/>
              </w:rPr>
              <w:t>（</w:t>
            </w:r>
            <w:r>
              <w:rPr>
                <w:rFonts w:hint="eastAsia"/>
                <w:color w:val="auto"/>
                <w:lang w:val="en-US" w:eastAsia="zh-CN"/>
              </w:rPr>
              <w:t>1</w:t>
            </w:r>
            <w:r>
              <w:rPr>
                <w:color w:val="auto"/>
              </w:rPr>
              <w:t>）厂区内现有石料堆场为露天存放，无封闭料仓设施；</w:t>
            </w:r>
          </w:p>
          <w:p>
            <w:pPr>
              <w:adjustRightInd w:val="0"/>
              <w:snapToGrid w:val="0"/>
              <w:spacing w:line="360" w:lineRule="auto"/>
              <w:ind w:firstLine="420" w:firstLineChars="200"/>
              <w:rPr>
                <w:rFonts w:hint="eastAsia" w:eastAsia="宋体"/>
                <w:color w:val="auto"/>
                <w:lang w:eastAsia="zh-CN"/>
              </w:rPr>
            </w:pPr>
            <w:r>
              <w:rPr>
                <w:color w:val="auto"/>
              </w:rPr>
              <w:t>（</w:t>
            </w:r>
            <w:r>
              <w:rPr>
                <w:rFonts w:hint="eastAsia"/>
                <w:color w:val="auto"/>
                <w:lang w:val="en-US" w:eastAsia="zh-CN"/>
              </w:rPr>
              <w:t>2</w:t>
            </w:r>
            <w:r>
              <w:rPr>
                <w:color w:val="auto"/>
              </w:rPr>
              <w:t>）企业目前未将处理过沥青烟气产生的废活性炭（危险废物）进行妥善处置</w:t>
            </w:r>
            <w:r>
              <w:rPr>
                <w:rFonts w:hint="eastAsia"/>
                <w:color w:val="auto"/>
                <w:lang w:eastAsia="zh-CN"/>
              </w:rPr>
              <w:t>；</w:t>
            </w:r>
          </w:p>
          <w:p>
            <w:pPr>
              <w:adjustRightInd w:val="0"/>
              <w:snapToGrid w:val="0"/>
              <w:spacing w:line="360" w:lineRule="auto"/>
              <w:ind w:firstLine="420" w:firstLineChars="200"/>
              <w:rPr>
                <w:rFonts w:hint="default" w:eastAsia="宋体"/>
                <w:color w:val="auto"/>
                <w:lang w:val="en-US"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lang w:val="en-US" w:eastAsia="zh-CN"/>
              </w:rPr>
              <w:t>目前企业厂区地面未进行防渗处理。</w:t>
            </w:r>
          </w:p>
          <w:p>
            <w:pPr>
              <w:adjustRightInd w:val="0"/>
              <w:snapToGrid w:val="0"/>
              <w:spacing w:line="360" w:lineRule="auto"/>
              <w:ind w:firstLine="420" w:firstLineChars="200"/>
              <w:rPr>
                <w:color w:val="auto"/>
              </w:rPr>
            </w:pPr>
            <w:r>
              <w:rPr>
                <w:color w:val="auto"/>
              </w:rPr>
              <w:t>3、整改措施</w:t>
            </w:r>
          </w:p>
          <w:p>
            <w:pPr>
              <w:adjustRightInd w:val="0"/>
              <w:snapToGrid w:val="0"/>
              <w:spacing w:line="360" w:lineRule="auto"/>
              <w:ind w:firstLine="420" w:firstLineChars="200"/>
              <w:rPr>
                <w:bCs/>
                <w:color w:val="auto"/>
              </w:rPr>
            </w:pPr>
            <w:r>
              <w:rPr>
                <w:bCs/>
                <w:color w:val="auto"/>
              </w:rPr>
              <w:t>（</w:t>
            </w:r>
            <w:r>
              <w:rPr>
                <w:rFonts w:hint="eastAsia"/>
                <w:bCs/>
                <w:color w:val="auto"/>
                <w:lang w:val="en-US" w:eastAsia="zh-CN"/>
              </w:rPr>
              <w:t>1</w:t>
            </w:r>
            <w:r>
              <w:rPr>
                <w:bCs/>
                <w:color w:val="auto"/>
              </w:rPr>
              <w:t>）厂区内增设碎石料仓，封闭储存，降低扬尘对周围环境的污染；</w:t>
            </w:r>
          </w:p>
          <w:p>
            <w:pPr>
              <w:adjustRightInd w:val="0"/>
              <w:snapToGrid w:val="0"/>
              <w:spacing w:line="360" w:lineRule="auto"/>
              <w:ind w:firstLine="420" w:firstLineChars="200"/>
              <w:rPr>
                <w:rFonts w:hint="eastAsia" w:eastAsia="宋体"/>
                <w:bCs/>
                <w:color w:val="auto"/>
                <w:lang w:eastAsia="zh-CN"/>
              </w:rPr>
            </w:pPr>
            <w:r>
              <w:rPr>
                <w:bCs/>
                <w:color w:val="auto"/>
              </w:rPr>
              <w:t>（</w:t>
            </w:r>
            <w:r>
              <w:rPr>
                <w:rFonts w:hint="eastAsia"/>
                <w:bCs/>
                <w:color w:val="auto"/>
                <w:lang w:val="en-US" w:eastAsia="zh-CN"/>
              </w:rPr>
              <w:t>2</w:t>
            </w:r>
            <w:r>
              <w:rPr>
                <w:bCs/>
                <w:color w:val="auto"/>
              </w:rPr>
              <w:t>）将产生的危险废物废活性炭，交由相关资质单位进行处理，妥善储存</w:t>
            </w:r>
            <w:r>
              <w:rPr>
                <w:rFonts w:hint="eastAsia"/>
                <w:bCs/>
                <w:color w:val="auto"/>
                <w:lang w:eastAsia="zh-CN"/>
              </w:rPr>
              <w:t>；</w:t>
            </w:r>
          </w:p>
          <w:p>
            <w:pPr>
              <w:adjustRightInd w:val="0"/>
              <w:snapToGrid w:val="0"/>
              <w:spacing w:line="360" w:lineRule="auto"/>
              <w:ind w:firstLine="420" w:firstLineChars="200"/>
              <w:rPr>
                <w:rFonts w:hint="default" w:eastAsia="宋体"/>
                <w:bCs/>
                <w:color w:val="auto"/>
                <w:lang w:val="en-US" w:eastAsia="zh-CN"/>
              </w:rPr>
            </w:pPr>
            <w:r>
              <w:rPr>
                <w:rFonts w:hint="eastAsia"/>
                <w:bCs/>
                <w:color w:val="auto"/>
                <w:lang w:eastAsia="zh-CN"/>
              </w:rPr>
              <w:t>（</w:t>
            </w:r>
            <w:r>
              <w:rPr>
                <w:rFonts w:hint="eastAsia"/>
                <w:bCs/>
                <w:color w:val="auto"/>
                <w:lang w:val="en-US" w:eastAsia="zh-CN"/>
              </w:rPr>
              <w:t>3</w:t>
            </w:r>
            <w:r>
              <w:rPr>
                <w:rFonts w:hint="eastAsia"/>
                <w:bCs/>
                <w:color w:val="auto"/>
                <w:lang w:eastAsia="zh-CN"/>
              </w:rPr>
              <w:t>）</w:t>
            </w:r>
            <w:r>
              <w:rPr>
                <w:rFonts w:hint="eastAsia"/>
                <w:bCs/>
                <w:color w:val="auto"/>
                <w:lang w:val="en-US" w:eastAsia="zh-CN"/>
              </w:rPr>
              <w:t>厂区地面按照分区防渗要求做好硬化防渗处理。</w:t>
            </w:r>
          </w:p>
          <w:p>
            <w:pPr>
              <w:adjustRightInd w:val="0"/>
              <w:snapToGrid w:val="0"/>
              <w:spacing w:line="360" w:lineRule="auto"/>
              <w:ind w:firstLine="420" w:firstLineChars="200"/>
              <w:rPr>
                <w:rFonts w:ascii="宋体" w:hAnsi="宋体" w:cs="宋体"/>
                <w:bCs/>
                <w:color w:val="auto"/>
              </w:rPr>
            </w:pPr>
          </w:p>
          <w:p>
            <w:pPr>
              <w:adjustRightInd w:val="0"/>
              <w:snapToGrid w:val="0"/>
              <w:spacing w:line="360" w:lineRule="auto"/>
              <w:ind w:firstLine="420" w:firstLineChars="200"/>
              <w:rPr>
                <w:rFonts w:ascii="宋体" w:hAnsi="宋体" w:cs="宋体"/>
                <w:bCs/>
              </w:rPr>
            </w:pPr>
          </w:p>
          <w:p>
            <w:pPr>
              <w:adjustRightInd w:val="0"/>
              <w:snapToGrid w:val="0"/>
              <w:spacing w:line="360" w:lineRule="auto"/>
              <w:ind w:firstLine="420" w:firstLineChars="200"/>
              <w:rPr>
                <w:rFonts w:ascii="宋体" w:hAnsi="宋体" w:cs="宋体"/>
                <w:bCs/>
              </w:rPr>
            </w:pPr>
          </w:p>
          <w:p>
            <w:pPr>
              <w:adjustRightInd w:val="0"/>
              <w:snapToGrid w:val="0"/>
              <w:spacing w:line="360" w:lineRule="auto"/>
              <w:ind w:firstLine="420" w:firstLineChars="200"/>
              <w:rPr>
                <w:rFonts w:ascii="宋体" w:hAnsi="宋体" w:cs="宋体"/>
                <w:bCs/>
              </w:rPr>
            </w:pPr>
          </w:p>
          <w:p>
            <w:pPr>
              <w:adjustRightInd w:val="0"/>
              <w:snapToGrid w:val="0"/>
              <w:spacing w:line="360" w:lineRule="auto"/>
              <w:ind w:firstLine="420" w:firstLineChars="200"/>
              <w:rPr>
                <w:rFonts w:ascii="宋体" w:hAnsi="宋体" w:cs="宋体"/>
                <w:bCs/>
              </w:rPr>
            </w:pPr>
          </w:p>
          <w:p>
            <w:pPr>
              <w:adjustRightInd w:val="0"/>
              <w:snapToGrid w:val="0"/>
              <w:spacing w:line="360" w:lineRule="auto"/>
              <w:ind w:firstLine="420" w:firstLineChars="200"/>
              <w:rPr>
                <w:rFonts w:ascii="宋体" w:hAnsi="宋体" w:cs="宋体"/>
                <w:bCs/>
              </w:rPr>
            </w:pPr>
          </w:p>
          <w:p>
            <w:pPr>
              <w:adjustRightInd w:val="0"/>
              <w:snapToGrid w:val="0"/>
              <w:spacing w:line="360" w:lineRule="auto"/>
              <w:rPr>
                <w:rFonts w:hint="eastAsia" w:ascii="宋体" w:hAnsi="宋体" w:cs="宋体"/>
                <w:bCs/>
              </w:rPr>
            </w:pPr>
          </w:p>
        </w:tc>
      </w:tr>
    </w:tbl>
    <w:p>
      <w:pPr>
        <w:rPr>
          <w:rFonts w:ascii="黑体" w:hAnsi="宋体" w:eastAsia="黑体"/>
          <w:snapToGrid w:val="0"/>
          <w:sz w:val="36"/>
          <w:szCs w:val="36"/>
          <w:lang w:bidi="ar"/>
        </w:rPr>
        <w:sectPr>
          <w:pgSz w:w="11906" w:h="16838"/>
          <w:pgMar w:top="1702" w:right="1531" w:bottom="1702" w:left="1531" w:header="851" w:footer="851" w:gutter="0"/>
          <w:cols w:space="425" w:num="1"/>
          <w:docGrid w:type="lines" w:linePitch="312" w:charSpace="0"/>
        </w:sectPr>
      </w:pPr>
    </w:p>
    <w:p>
      <w:pPr>
        <w:pStyle w:val="8"/>
        <w:adjustRightInd w:val="0"/>
        <w:snapToGrid w:val="0"/>
        <w:spacing w:beforeAutospacing="0" w:afterAutospacing="0" w:line="12" w:lineRule="auto"/>
        <w:jc w:val="center"/>
        <w:outlineLvl w:val="0"/>
        <w:rPr>
          <w:rFonts w:hint="default" w:ascii="黑体" w:eastAsia="黑体" w:cs="黑体"/>
          <w:snapToGrid w:val="0"/>
          <w:sz w:val="30"/>
          <w:szCs w:val="30"/>
        </w:rPr>
      </w:pPr>
    </w:p>
    <w:p>
      <w:pPr>
        <w:pStyle w:val="8"/>
        <w:jc w:val="center"/>
        <w:outlineLvl w:val="0"/>
        <w:rPr>
          <w:rFonts w:hint="default" w:ascii="黑体" w:eastAsia="黑体" w:cs="黑体"/>
          <w:sz w:val="30"/>
          <w:szCs w:val="30"/>
        </w:rPr>
      </w:pPr>
      <w:r>
        <w:rPr>
          <w:rFonts w:ascii="黑体" w:eastAsia="黑体" w:cs="黑体"/>
          <w:snapToGrid w:val="0"/>
          <w:sz w:val="30"/>
          <w:szCs w:val="30"/>
        </w:rPr>
        <w:t>三、区域环境质量现状、环境保护目标及评价标准</w:t>
      </w:r>
    </w:p>
    <w:tbl>
      <w:tblPr>
        <w:tblStyle w:val="1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85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302" w:type="pct"/>
            <w:tcBorders>
              <w:top w:val="single" w:color="auto" w:sz="8" w:space="0"/>
              <w:left w:val="single" w:color="auto" w:sz="8" w:space="0"/>
              <w:bottom w:val="single" w:color="auto" w:sz="4" w:space="0"/>
              <w:right w:val="single" w:color="auto" w:sz="4" w:space="0"/>
            </w:tcBorders>
            <w:shd w:val="clear" w:color="auto" w:fill="auto"/>
            <w:vAlign w:val="center"/>
          </w:tcPr>
          <w:p>
            <w:pPr>
              <w:adjustRightInd w:val="0"/>
              <w:snapToGrid w:val="0"/>
              <w:jc w:val="center"/>
              <w:rPr>
                <w:rFonts w:ascii="宋体" w:hAnsi="宋体" w:cs="宋体"/>
                <w:kern w:val="0"/>
              </w:rPr>
            </w:pPr>
            <w:r>
              <w:rPr>
                <w:rFonts w:hint="eastAsia" w:ascii="宋体" w:hAnsi="宋体" w:cs="宋体"/>
                <w:kern w:val="0"/>
                <w:lang w:bidi="ar"/>
              </w:rPr>
              <w:t>区域</w:t>
            </w:r>
          </w:p>
          <w:p>
            <w:pPr>
              <w:adjustRightInd w:val="0"/>
              <w:snapToGrid w:val="0"/>
              <w:jc w:val="center"/>
              <w:rPr>
                <w:rFonts w:ascii="宋体" w:hAnsi="宋体" w:cs="宋体"/>
                <w:kern w:val="0"/>
              </w:rPr>
            </w:pPr>
            <w:r>
              <w:rPr>
                <w:rFonts w:hint="eastAsia" w:ascii="宋体" w:hAnsi="宋体" w:cs="宋体"/>
                <w:kern w:val="0"/>
                <w:lang w:bidi="ar"/>
              </w:rPr>
              <w:t>环境</w:t>
            </w:r>
          </w:p>
          <w:p>
            <w:pPr>
              <w:adjustRightInd w:val="0"/>
              <w:snapToGrid w:val="0"/>
              <w:jc w:val="center"/>
              <w:rPr>
                <w:rFonts w:ascii="宋体" w:hAnsi="宋体" w:cs="宋体"/>
                <w:kern w:val="0"/>
              </w:rPr>
            </w:pPr>
            <w:r>
              <w:rPr>
                <w:rFonts w:hint="eastAsia" w:ascii="宋体" w:hAnsi="宋体" w:cs="宋体"/>
                <w:kern w:val="0"/>
                <w:lang w:bidi="ar"/>
              </w:rPr>
              <w:t>质量</w:t>
            </w:r>
          </w:p>
          <w:p>
            <w:pPr>
              <w:adjustRightInd w:val="0"/>
              <w:snapToGrid w:val="0"/>
              <w:jc w:val="center"/>
              <w:rPr>
                <w:rFonts w:ascii="宋体" w:hAnsi="宋体" w:cs="宋体"/>
                <w:kern w:val="0"/>
              </w:rPr>
            </w:pPr>
            <w:r>
              <w:rPr>
                <w:rFonts w:hint="eastAsia" w:ascii="宋体" w:hAnsi="宋体" w:cs="宋体"/>
                <w:kern w:val="0"/>
                <w:lang w:bidi="ar"/>
              </w:rPr>
              <w:t>现状</w:t>
            </w:r>
          </w:p>
        </w:tc>
        <w:tc>
          <w:tcPr>
            <w:tcW w:w="4698" w:type="pct"/>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rPr>
                <w:kern w:val="0"/>
              </w:rPr>
            </w:pPr>
            <w:r>
              <w:rPr>
                <w:kern w:val="0"/>
              </w:rPr>
              <w:t>一、环境空气质量现状</w:t>
            </w:r>
          </w:p>
          <w:p>
            <w:pPr>
              <w:adjustRightInd w:val="0"/>
              <w:snapToGrid w:val="0"/>
              <w:spacing w:line="360" w:lineRule="auto"/>
              <w:ind w:firstLine="420" w:firstLineChars="200"/>
              <w:rPr>
                <w:kern w:val="0"/>
              </w:rPr>
            </w:pPr>
            <w:r>
              <w:rPr>
                <w:kern w:val="0"/>
              </w:rPr>
              <w:t>根据《环境影响评价技术导则大气环境》（HJ2.2-2018）的有关规定，项目所在区域的环境质量现状应优先采用国家和地方生态环境主管部门公开发布的评价基准年环境质量公告或环境质量报告中的结论或数据。根据环境空气质量模型技术支持服务系统中有关白山市的达标区判定结果可知</w:t>
            </w:r>
            <w:r>
              <w:rPr>
                <w:color w:val="auto"/>
                <w:kern w:val="0"/>
              </w:rPr>
              <w:t>：白山市</w:t>
            </w:r>
            <w:r>
              <w:rPr>
                <w:rFonts w:hint="eastAsia"/>
                <w:color w:val="auto"/>
                <w:kern w:val="0"/>
                <w:lang w:val="en-US" w:eastAsia="zh-CN"/>
              </w:rPr>
              <w:t>2020</w:t>
            </w:r>
            <w:r>
              <w:rPr>
                <w:color w:val="auto"/>
                <w:kern w:val="0"/>
              </w:rPr>
              <w:t>年SO</w:t>
            </w:r>
            <w:r>
              <w:rPr>
                <w:color w:val="auto"/>
                <w:kern w:val="0"/>
                <w:vertAlign w:val="subscript"/>
              </w:rPr>
              <w:t>2</w:t>
            </w:r>
            <w:r>
              <w:rPr>
                <w:color w:val="auto"/>
                <w:kern w:val="0"/>
              </w:rPr>
              <w:t>、NO</w:t>
            </w:r>
            <w:r>
              <w:rPr>
                <w:color w:val="auto"/>
                <w:kern w:val="0"/>
                <w:vertAlign w:val="subscript"/>
              </w:rPr>
              <w:t>2</w:t>
            </w:r>
            <w:r>
              <w:rPr>
                <w:color w:val="auto"/>
                <w:kern w:val="0"/>
              </w:rPr>
              <w:t>、PM</w:t>
            </w:r>
            <w:r>
              <w:rPr>
                <w:color w:val="auto"/>
                <w:kern w:val="0"/>
                <w:vertAlign w:val="subscript"/>
              </w:rPr>
              <w:t>10</w:t>
            </w:r>
            <w:r>
              <w:rPr>
                <w:color w:val="auto"/>
                <w:kern w:val="0"/>
              </w:rPr>
              <w:t>、PM</w:t>
            </w:r>
            <w:r>
              <w:rPr>
                <w:color w:val="auto"/>
                <w:kern w:val="0"/>
                <w:vertAlign w:val="subscript"/>
              </w:rPr>
              <w:t>2.5</w:t>
            </w:r>
            <w:r>
              <w:rPr>
                <w:color w:val="auto"/>
                <w:kern w:val="0"/>
              </w:rPr>
              <w:t>年均浓度分别为14 μg/m</w:t>
            </w:r>
            <w:r>
              <w:rPr>
                <w:color w:val="auto"/>
                <w:kern w:val="0"/>
                <w:vertAlign w:val="superscript"/>
              </w:rPr>
              <w:t>3</w:t>
            </w:r>
            <w:r>
              <w:rPr>
                <w:color w:val="auto"/>
                <w:kern w:val="0"/>
              </w:rPr>
              <w:t>、19 μg/m</w:t>
            </w:r>
            <w:r>
              <w:rPr>
                <w:color w:val="auto"/>
                <w:kern w:val="0"/>
                <w:vertAlign w:val="superscript"/>
              </w:rPr>
              <w:t>3</w:t>
            </w:r>
            <w:r>
              <w:rPr>
                <w:color w:val="auto"/>
                <w:kern w:val="0"/>
              </w:rPr>
              <w:t>、</w:t>
            </w:r>
            <w:r>
              <w:rPr>
                <w:rFonts w:hint="eastAsia"/>
                <w:color w:val="auto"/>
                <w:kern w:val="0"/>
                <w:lang w:val="en-US" w:eastAsia="zh-CN"/>
              </w:rPr>
              <w:t>60</w:t>
            </w:r>
            <w:r>
              <w:rPr>
                <w:color w:val="auto"/>
                <w:kern w:val="0"/>
              </w:rPr>
              <w:t xml:space="preserve"> μg/m</w:t>
            </w:r>
            <w:r>
              <w:rPr>
                <w:color w:val="auto"/>
                <w:kern w:val="0"/>
                <w:vertAlign w:val="superscript"/>
              </w:rPr>
              <w:t>3</w:t>
            </w:r>
            <w:r>
              <w:rPr>
                <w:color w:val="auto"/>
                <w:kern w:val="0"/>
              </w:rPr>
              <w:t>、</w:t>
            </w:r>
            <w:r>
              <w:rPr>
                <w:rFonts w:hint="eastAsia"/>
                <w:color w:val="auto"/>
                <w:kern w:val="0"/>
                <w:lang w:val="en-US" w:eastAsia="zh-CN"/>
              </w:rPr>
              <w:t>28</w:t>
            </w:r>
            <w:r>
              <w:rPr>
                <w:color w:val="auto"/>
                <w:kern w:val="0"/>
              </w:rPr>
              <w:t xml:space="preserve"> μg/m</w:t>
            </w:r>
            <w:r>
              <w:rPr>
                <w:color w:val="auto"/>
                <w:kern w:val="0"/>
                <w:vertAlign w:val="superscript"/>
              </w:rPr>
              <w:t>3</w:t>
            </w:r>
            <w:r>
              <w:rPr>
                <w:color w:val="auto"/>
                <w:kern w:val="0"/>
              </w:rPr>
              <w:t>；CO 24小时平均第95百分位数为</w:t>
            </w:r>
            <w:r>
              <w:rPr>
                <w:rFonts w:hint="eastAsia"/>
                <w:color w:val="auto"/>
                <w:kern w:val="0"/>
                <w:lang w:val="en-US" w:eastAsia="zh-CN"/>
              </w:rPr>
              <w:t>2</w:t>
            </w:r>
            <w:r>
              <w:rPr>
                <w:color w:val="auto"/>
                <w:kern w:val="0"/>
              </w:rPr>
              <w:t>mg/m</w:t>
            </w:r>
            <w:r>
              <w:rPr>
                <w:color w:val="auto"/>
                <w:kern w:val="0"/>
                <w:vertAlign w:val="superscript"/>
              </w:rPr>
              <w:t>3</w:t>
            </w:r>
            <w:r>
              <w:rPr>
                <w:color w:val="auto"/>
                <w:kern w:val="0"/>
              </w:rPr>
              <w:t>，O</w:t>
            </w:r>
            <w:r>
              <w:rPr>
                <w:color w:val="auto"/>
                <w:kern w:val="0"/>
                <w:vertAlign w:val="subscript"/>
              </w:rPr>
              <w:t>3</w:t>
            </w:r>
            <w:r>
              <w:rPr>
                <w:color w:val="auto"/>
                <w:kern w:val="0"/>
              </w:rPr>
              <w:t>日最大8小时平均第90百分位数为</w:t>
            </w:r>
            <w:r>
              <w:rPr>
                <w:rFonts w:hint="eastAsia"/>
                <w:color w:val="auto"/>
                <w:kern w:val="0"/>
                <w:lang w:val="en-US" w:eastAsia="zh-CN"/>
              </w:rPr>
              <w:t>118</w:t>
            </w:r>
            <w:r>
              <w:rPr>
                <w:color w:val="auto"/>
                <w:kern w:val="0"/>
              </w:rPr>
              <w:t xml:space="preserve"> μg/m</w:t>
            </w:r>
            <w:r>
              <w:rPr>
                <w:color w:val="auto"/>
                <w:kern w:val="0"/>
                <w:vertAlign w:val="superscript"/>
              </w:rPr>
              <w:t>3</w:t>
            </w:r>
            <w:r>
              <w:rPr>
                <w:color w:val="auto"/>
                <w:kern w:val="0"/>
              </w:rPr>
              <w:t>；各</w:t>
            </w:r>
            <w:r>
              <w:rPr>
                <w:kern w:val="0"/>
              </w:rPr>
              <w:t>污染物平均浓度均优于《环境空气质量标准》（GB3095-2012）中二级标准限值，该区域为达标区。</w:t>
            </w:r>
          </w:p>
          <w:p>
            <w:pPr>
              <w:adjustRightInd w:val="0"/>
              <w:snapToGrid w:val="0"/>
              <w:spacing w:line="360" w:lineRule="auto"/>
              <w:ind w:firstLine="420" w:firstLineChars="200"/>
              <w:rPr>
                <w:kern w:val="0"/>
              </w:rPr>
            </w:pPr>
            <w:r>
              <w:rPr>
                <w:kern w:val="0"/>
              </w:rPr>
              <w:t>1.环境补充监测</w:t>
            </w:r>
          </w:p>
          <w:p>
            <w:pPr>
              <w:adjustRightInd w:val="0"/>
              <w:snapToGrid w:val="0"/>
              <w:spacing w:line="360" w:lineRule="auto"/>
              <w:ind w:firstLine="420" w:firstLineChars="200"/>
              <w:rPr>
                <w:kern w:val="0"/>
              </w:rPr>
            </w:pPr>
            <w:r>
              <w:rPr>
                <w:kern w:val="0"/>
              </w:rPr>
              <w:t>（1）监测点位布设</w:t>
            </w:r>
          </w:p>
          <w:p>
            <w:pPr>
              <w:adjustRightInd w:val="0"/>
              <w:snapToGrid w:val="0"/>
              <w:spacing w:line="360" w:lineRule="auto"/>
              <w:ind w:firstLine="420" w:firstLineChars="200"/>
              <w:rPr>
                <w:kern w:val="0"/>
              </w:rPr>
            </w:pPr>
            <w:r>
              <w:rPr>
                <w:kern w:val="0"/>
              </w:rPr>
              <w:t>本项目根据项目所在区域及主导风向布设1处大气补充监测点，监测点位布设情况详见下表及附图6。</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表3-1  补充监测点位布设情况表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461"/>
              <w:gridCol w:w="1121"/>
              <w:gridCol w:w="1233"/>
              <w:gridCol w:w="1234"/>
              <w:gridCol w:w="1213"/>
              <w:gridCol w:w="681"/>
              <w:gridCol w:w="1121"/>
              <w:gridCol w:w="1241"/>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3" w:hRule="atLeast"/>
                <w:jc w:val="center"/>
              </w:trPr>
              <w:tc>
                <w:tcPr>
                  <w:tcW w:w="278" w:type="pct"/>
                  <w:vMerge w:val="restart"/>
                  <w:tcBorders>
                    <w:top w:val="single" w:color="auto" w:sz="12" w:space="0"/>
                    <w:left w:val="nil"/>
                    <w:bottom w:val="single" w:color="auto" w:sz="6" w:space="0"/>
                    <w:right w:val="single" w:color="auto" w:sz="4" w:space="0"/>
                  </w:tcBorders>
                  <w:vAlign w:val="center"/>
                </w:tcPr>
                <w:p>
                  <w:pPr>
                    <w:adjustRightInd w:val="0"/>
                    <w:snapToGrid w:val="0"/>
                    <w:jc w:val="center"/>
                    <w:rPr>
                      <w:sz w:val="18"/>
                      <w:szCs w:val="18"/>
                    </w:rPr>
                  </w:pPr>
                  <w:r>
                    <w:rPr>
                      <w:sz w:val="18"/>
                      <w:szCs w:val="18"/>
                    </w:rPr>
                    <w:t>序号</w:t>
                  </w:r>
                </w:p>
              </w:tc>
              <w:tc>
                <w:tcPr>
                  <w:tcW w:w="675" w:type="pct"/>
                  <w:vMerge w:val="restart"/>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监测点位名称</w:t>
                  </w:r>
                </w:p>
              </w:tc>
              <w:tc>
                <w:tcPr>
                  <w:tcW w:w="1485" w:type="pct"/>
                  <w:gridSpan w:val="2"/>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监测点坐标</w:t>
                  </w:r>
                </w:p>
              </w:tc>
              <w:tc>
                <w:tcPr>
                  <w:tcW w:w="730" w:type="pct"/>
                  <w:vMerge w:val="restart"/>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监测因子</w:t>
                  </w:r>
                </w:p>
              </w:tc>
              <w:tc>
                <w:tcPr>
                  <w:tcW w:w="410" w:type="pct"/>
                  <w:vMerge w:val="restart"/>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监测时段</w:t>
                  </w:r>
                </w:p>
              </w:tc>
              <w:tc>
                <w:tcPr>
                  <w:tcW w:w="675" w:type="pct"/>
                  <w:vMerge w:val="restart"/>
                  <w:tcBorders>
                    <w:top w:val="single" w:color="auto" w:sz="12"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相对建设地点方位</w:t>
                  </w:r>
                </w:p>
              </w:tc>
              <w:tc>
                <w:tcPr>
                  <w:tcW w:w="748" w:type="pct"/>
                  <w:vMerge w:val="restart"/>
                  <w:tcBorders>
                    <w:top w:val="single" w:color="auto" w:sz="12" w:space="0"/>
                    <w:left w:val="single" w:color="auto" w:sz="4" w:space="0"/>
                    <w:bottom w:val="single" w:color="auto" w:sz="6" w:space="0"/>
                    <w:right w:val="nil"/>
                  </w:tcBorders>
                  <w:vAlign w:val="center"/>
                </w:tcPr>
                <w:p>
                  <w:pPr>
                    <w:adjustRightInd w:val="0"/>
                    <w:snapToGrid w:val="0"/>
                    <w:jc w:val="center"/>
                    <w:rPr>
                      <w:sz w:val="18"/>
                      <w:szCs w:val="18"/>
                    </w:rPr>
                  </w:pPr>
                  <w:r>
                    <w:rPr>
                      <w:sz w:val="18"/>
                      <w:szCs w:val="18"/>
                    </w:rPr>
                    <w:t>相对建设地点距离/m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3" w:hRule="atLeast"/>
                <w:jc w:val="center"/>
              </w:trPr>
              <w:tc>
                <w:tcPr>
                  <w:tcW w:w="278" w:type="pct"/>
                  <w:vMerge w:val="continue"/>
                  <w:tcBorders>
                    <w:top w:val="single" w:color="auto" w:sz="12" w:space="0"/>
                    <w:left w:val="nil"/>
                    <w:bottom w:val="single" w:color="auto" w:sz="6" w:space="0"/>
                    <w:right w:val="single" w:color="auto" w:sz="4" w:space="0"/>
                  </w:tcBorders>
                  <w:vAlign w:val="center"/>
                </w:tcPr>
                <w:p>
                  <w:pPr>
                    <w:widowControl/>
                    <w:adjustRightInd w:val="0"/>
                    <w:snapToGrid w:val="0"/>
                    <w:jc w:val="center"/>
                    <w:rPr>
                      <w:sz w:val="18"/>
                      <w:szCs w:val="18"/>
                    </w:rPr>
                  </w:pPr>
                </w:p>
              </w:tc>
              <w:tc>
                <w:tcPr>
                  <w:tcW w:w="675" w:type="pct"/>
                  <w:vMerge w:val="continue"/>
                  <w:tcBorders>
                    <w:top w:val="single" w:color="auto" w:sz="12" w:space="0"/>
                    <w:left w:val="single" w:color="auto" w:sz="4" w:space="0"/>
                    <w:bottom w:val="single" w:color="auto" w:sz="6" w:space="0"/>
                    <w:right w:val="single" w:color="auto" w:sz="4" w:space="0"/>
                  </w:tcBorders>
                  <w:vAlign w:val="center"/>
                </w:tcPr>
                <w:p>
                  <w:pPr>
                    <w:widowControl/>
                    <w:adjustRightInd w:val="0"/>
                    <w:snapToGrid w:val="0"/>
                    <w:jc w:val="center"/>
                    <w:rPr>
                      <w:sz w:val="18"/>
                      <w:szCs w:val="18"/>
                    </w:rPr>
                  </w:pPr>
                </w:p>
              </w:tc>
              <w:tc>
                <w:tcPr>
                  <w:tcW w:w="742" w:type="pct"/>
                  <w:tcBorders>
                    <w:top w:val="single" w:color="auto" w:sz="4"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E</w:t>
                  </w:r>
                </w:p>
              </w:tc>
              <w:tc>
                <w:tcPr>
                  <w:tcW w:w="742" w:type="pct"/>
                  <w:tcBorders>
                    <w:top w:val="single" w:color="auto" w:sz="4" w:space="0"/>
                    <w:left w:val="single" w:color="auto" w:sz="4" w:space="0"/>
                    <w:bottom w:val="single" w:color="auto" w:sz="6" w:space="0"/>
                    <w:right w:val="single" w:color="auto" w:sz="4" w:space="0"/>
                  </w:tcBorders>
                  <w:vAlign w:val="center"/>
                </w:tcPr>
                <w:p>
                  <w:pPr>
                    <w:adjustRightInd w:val="0"/>
                    <w:snapToGrid w:val="0"/>
                    <w:jc w:val="center"/>
                    <w:rPr>
                      <w:sz w:val="18"/>
                      <w:szCs w:val="18"/>
                    </w:rPr>
                  </w:pPr>
                  <w:r>
                    <w:rPr>
                      <w:sz w:val="18"/>
                      <w:szCs w:val="18"/>
                    </w:rPr>
                    <w:t>N</w:t>
                  </w:r>
                </w:p>
              </w:tc>
              <w:tc>
                <w:tcPr>
                  <w:tcW w:w="730" w:type="pct"/>
                  <w:vMerge w:val="continue"/>
                  <w:tcBorders>
                    <w:top w:val="single" w:color="auto" w:sz="12" w:space="0"/>
                    <w:left w:val="single" w:color="auto" w:sz="4" w:space="0"/>
                    <w:bottom w:val="single" w:color="auto" w:sz="6" w:space="0"/>
                    <w:right w:val="single" w:color="auto" w:sz="4" w:space="0"/>
                  </w:tcBorders>
                  <w:vAlign w:val="center"/>
                </w:tcPr>
                <w:p>
                  <w:pPr>
                    <w:widowControl/>
                    <w:adjustRightInd w:val="0"/>
                    <w:snapToGrid w:val="0"/>
                    <w:jc w:val="center"/>
                    <w:rPr>
                      <w:sz w:val="18"/>
                      <w:szCs w:val="18"/>
                    </w:rPr>
                  </w:pPr>
                </w:p>
              </w:tc>
              <w:tc>
                <w:tcPr>
                  <w:tcW w:w="410" w:type="pct"/>
                  <w:vMerge w:val="continue"/>
                  <w:tcBorders>
                    <w:top w:val="single" w:color="auto" w:sz="12" w:space="0"/>
                    <w:left w:val="single" w:color="auto" w:sz="4" w:space="0"/>
                    <w:bottom w:val="single" w:color="auto" w:sz="6" w:space="0"/>
                    <w:right w:val="single" w:color="auto" w:sz="4" w:space="0"/>
                  </w:tcBorders>
                  <w:vAlign w:val="center"/>
                </w:tcPr>
                <w:p>
                  <w:pPr>
                    <w:widowControl/>
                    <w:adjustRightInd w:val="0"/>
                    <w:snapToGrid w:val="0"/>
                    <w:jc w:val="center"/>
                    <w:rPr>
                      <w:sz w:val="18"/>
                      <w:szCs w:val="18"/>
                    </w:rPr>
                  </w:pPr>
                </w:p>
              </w:tc>
              <w:tc>
                <w:tcPr>
                  <w:tcW w:w="675" w:type="pct"/>
                  <w:vMerge w:val="continue"/>
                  <w:tcBorders>
                    <w:top w:val="single" w:color="auto" w:sz="12" w:space="0"/>
                    <w:left w:val="single" w:color="auto" w:sz="4" w:space="0"/>
                    <w:bottom w:val="single" w:color="auto" w:sz="6" w:space="0"/>
                    <w:right w:val="single" w:color="auto" w:sz="4" w:space="0"/>
                  </w:tcBorders>
                  <w:vAlign w:val="center"/>
                </w:tcPr>
                <w:p>
                  <w:pPr>
                    <w:widowControl/>
                    <w:adjustRightInd w:val="0"/>
                    <w:snapToGrid w:val="0"/>
                    <w:jc w:val="center"/>
                    <w:rPr>
                      <w:sz w:val="18"/>
                      <w:szCs w:val="18"/>
                    </w:rPr>
                  </w:pPr>
                </w:p>
              </w:tc>
              <w:tc>
                <w:tcPr>
                  <w:tcW w:w="748" w:type="pct"/>
                  <w:vMerge w:val="continue"/>
                  <w:tcBorders>
                    <w:top w:val="single" w:color="auto" w:sz="12" w:space="0"/>
                    <w:left w:val="single" w:color="auto" w:sz="4" w:space="0"/>
                    <w:bottom w:val="single" w:color="auto" w:sz="6" w:space="0"/>
                    <w:right w:val="nil"/>
                  </w:tcBorders>
                  <w:vAlign w:val="center"/>
                </w:tcPr>
                <w:p>
                  <w:pPr>
                    <w:widowControl/>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67" w:hRule="atLeast"/>
                <w:jc w:val="center"/>
              </w:trPr>
              <w:tc>
                <w:tcPr>
                  <w:tcW w:w="278" w:type="pct"/>
                  <w:tcBorders>
                    <w:top w:val="single" w:color="auto" w:sz="6" w:space="0"/>
                    <w:left w:val="nil"/>
                    <w:bottom w:val="single" w:color="auto" w:sz="12" w:space="0"/>
                    <w:right w:val="single" w:color="auto" w:sz="4" w:space="0"/>
                  </w:tcBorders>
                  <w:vAlign w:val="center"/>
                </w:tcPr>
                <w:p>
                  <w:pPr>
                    <w:adjustRightInd w:val="0"/>
                    <w:snapToGrid w:val="0"/>
                    <w:jc w:val="center"/>
                    <w:rPr>
                      <w:sz w:val="18"/>
                      <w:szCs w:val="18"/>
                    </w:rPr>
                  </w:pPr>
                  <w:r>
                    <w:rPr>
                      <w:sz w:val="18"/>
                      <w:szCs w:val="18"/>
                    </w:rPr>
                    <w:t>1</w:t>
                  </w:r>
                </w:p>
              </w:tc>
              <w:tc>
                <w:tcPr>
                  <w:tcW w:w="675"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项目所在地</w:t>
                  </w:r>
                  <w:r>
                    <w:rPr>
                      <w:rFonts w:hint="eastAsia"/>
                      <w:sz w:val="18"/>
                      <w:szCs w:val="18"/>
                    </w:rPr>
                    <w:t>下</w:t>
                  </w:r>
                  <w:r>
                    <w:rPr>
                      <w:sz w:val="18"/>
                      <w:szCs w:val="18"/>
                    </w:rPr>
                    <w:t>风向</w:t>
                  </w:r>
                </w:p>
              </w:tc>
              <w:tc>
                <w:tcPr>
                  <w:tcW w:w="742"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126.5390574°</w:t>
                  </w:r>
                </w:p>
              </w:tc>
              <w:tc>
                <w:tcPr>
                  <w:tcW w:w="742"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41.9584769°</w:t>
                  </w:r>
                </w:p>
              </w:tc>
              <w:tc>
                <w:tcPr>
                  <w:tcW w:w="730"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TSP、苯并[a]芘、非甲烷总烃</w:t>
                  </w:r>
                </w:p>
              </w:tc>
              <w:tc>
                <w:tcPr>
                  <w:tcW w:w="410"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24小时</w:t>
                  </w:r>
                </w:p>
              </w:tc>
              <w:tc>
                <w:tcPr>
                  <w:tcW w:w="675" w:type="pct"/>
                  <w:tcBorders>
                    <w:top w:val="single" w:color="auto" w:sz="6"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rFonts w:hint="eastAsia"/>
                      <w:sz w:val="18"/>
                      <w:szCs w:val="18"/>
                    </w:rPr>
                    <w:t>东北</w:t>
                  </w:r>
                  <w:r>
                    <w:rPr>
                      <w:sz w:val="18"/>
                      <w:szCs w:val="18"/>
                    </w:rPr>
                    <w:t>方</w:t>
                  </w:r>
                </w:p>
              </w:tc>
              <w:tc>
                <w:tcPr>
                  <w:tcW w:w="748" w:type="pct"/>
                  <w:tcBorders>
                    <w:top w:val="single" w:color="auto" w:sz="6" w:space="0"/>
                    <w:left w:val="single" w:color="auto" w:sz="4" w:space="0"/>
                    <w:bottom w:val="single" w:color="auto" w:sz="12" w:space="0"/>
                    <w:right w:val="nil"/>
                  </w:tcBorders>
                  <w:vAlign w:val="center"/>
                </w:tcPr>
                <w:p>
                  <w:pPr>
                    <w:adjustRightInd w:val="0"/>
                    <w:snapToGrid w:val="0"/>
                    <w:jc w:val="center"/>
                    <w:rPr>
                      <w:sz w:val="18"/>
                      <w:szCs w:val="18"/>
                    </w:rPr>
                  </w:pPr>
                  <w:r>
                    <w:rPr>
                      <w:sz w:val="18"/>
                      <w:szCs w:val="18"/>
                    </w:rPr>
                    <w:t>0</w:t>
                  </w:r>
                </w:p>
              </w:tc>
            </w:tr>
          </w:tbl>
          <w:p>
            <w:pPr>
              <w:adjustRightInd w:val="0"/>
              <w:snapToGrid w:val="0"/>
              <w:spacing w:line="360" w:lineRule="auto"/>
              <w:ind w:firstLine="420" w:firstLineChars="200"/>
              <w:rPr>
                <w:kern w:val="0"/>
              </w:rPr>
            </w:pPr>
            <w:r>
              <w:rPr>
                <w:kern w:val="0"/>
              </w:rPr>
              <w:t>（2）监测项目</w:t>
            </w:r>
          </w:p>
          <w:p>
            <w:pPr>
              <w:adjustRightInd w:val="0"/>
              <w:snapToGrid w:val="0"/>
              <w:spacing w:line="360" w:lineRule="auto"/>
              <w:ind w:firstLine="420" w:firstLineChars="200"/>
              <w:rPr>
                <w:kern w:val="0"/>
              </w:rPr>
            </w:pPr>
            <w:r>
              <w:rPr>
                <w:kern w:val="0"/>
              </w:rPr>
              <w:t>根据本项目区域环境空气质量状况，监测项目确定为TSP、苯并[a]芘、非甲烷总烃。</w:t>
            </w:r>
          </w:p>
          <w:p>
            <w:pPr>
              <w:adjustRightInd w:val="0"/>
              <w:snapToGrid w:val="0"/>
              <w:spacing w:line="360" w:lineRule="auto"/>
              <w:ind w:firstLine="420" w:firstLineChars="200"/>
              <w:rPr>
                <w:kern w:val="0"/>
              </w:rPr>
            </w:pPr>
            <w:r>
              <w:rPr>
                <w:kern w:val="0"/>
              </w:rPr>
              <w:t>（3）监测单位与监测时间</w:t>
            </w:r>
          </w:p>
          <w:p>
            <w:pPr>
              <w:adjustRightInd w:val="0"/>
              <w:snapToGrid w:val="0"/>
              <w:spacing w:line="360" w:lineRule="auto"/>
              <w:ind w:firstLine="420" w:firstLineChars="200"/>
              <w:rPr>
                <w:kern w:val="0"/>
              </w:rPr>
            </w:pPr>
            <w:r>
              <w:rPr>
                <w:kern w:val="0"/>
              </w:rPr>
              <w:t>吉林省赢帮环境检测有限公司于2021年5月16日至22日进行监测。</w:t>
            </w:r>
          </w:p>
          <w:p>
            <w:pPr>
              <w:adjustRightInd w:val="0"/>
              <w:snapToGrid w:val="0"/>
              <w:spacing w:line="360" w:lineRule="auto"/>
              <w:ind w:firstLine="420" w:firstLineChars="200"/>
              <w:rPr>
                <w:kern w:val="0"/>
              </w:rPr>
            </w:pPr>
            <w:r>
              <w:rPr>
                <w:kern w:val="0"/>
              </w:rPr>
              <w:t>（4）监测、分析方法</w:t>
            </w:r>
          </w:p>
          <w:p>
            <w:pPr>
              <w:adjustRightInd w:val="0"/>
              <w:snapToGrid w:val="0"/>
              <w:spacing w:line="360" w:lineRule="auto"/>
              <w:ind w:firstLine="420" w:firstLineChars="200"/>
              <w:rPr>
                <w:kern w:val="0"/>
              </w:rPr>
            </w:pPr>
            <w:r>
              <w:rPr>
                <w:kern w:val="0"/>
              </w:rPr>
              <w:t>样品采集按《环境监测技术规范》(大气部分)进行，分析按《大气环境标准手册》中推荐方法进行，具体见表3-2。</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表3-2  监测分析方法</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5539"/>
              <w:gridCol w:w="1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pct"/>
                  <w:vAlign w:val="center"/>
                </w:tcPr>
                <w:p>
                  <w:pPr>
                    <w:adjustRightInd w:val="0"/>
                    <w:snapToGrid w:val="0"/>
                    <w:jc w:val="center"/>
                    <w:rPr>
                      <w:sz w:val="18"/>
                      <w:szCs w:val="18"/>
                    </w:rPr>
                  </w:pPr>
                  <w:r>
                    <w:rPr>
                      <w:sz w:val="18"/>
                      <w:szCs w:val="18"/>
                    </w:rPr>
                    <w:t>检测项目</w:t>
                  </w:r>
                </w:p>
              </w:tc>
              <w:tc>
                <w:tcPr>
                  <w:tcW w:w="3335" w:type="pct"/>
                  <w:vAlign w:val="center"/>
                </w:tcPr>
                <w:p>
                  <w:pPr>
                    <w:adjustRightInd w:val="0"/>
                    <w:snapToGrid w:val="0"/>
                    <w:jc w:val="center"/>
                    <w:rPr>
                      <w:sz w:val="18"/>
                      <w:szCs w:val="18"/>
                    </w:rPr>
                  </w:pPr>
                  <w:r>
                    <w:rPr>
                      <w:sz w:val="18"/>
                      <w:szCs w:val="18"/>
                    </w:rPr>
                    <w:t>分析方法</w:t>
                  </w:r>
                </w:p>
              </w:tc>
              <w:tc>
                <w:tcPr>
                  <w:tcW w:w="965" w:type="pct"/>
                  <w:vAlign w:val="center"/>
                </w:tcPr>
                <w:p>
                  <w:pPr>
                    <w:adjustRightInd w:val="0"/>
                    <w:snapToGrid w:val="0"/>
                    <w:jc w:val="center"/>
                    <w:rPr>
                      <w:sz w:val="18"/>
                      <w:szCs w:val="18"/>
                    </w:rPr>
                  </w:pPr>
                  <w:r>
                    <w:rPr>
                      <w:sz w:val="18"/>
                      <w:szCs w:val="18"/>
                    </w:rPr>
                    <w:t>方法标准号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pct"/>
                  <w:vAlign w:val="center"/>
                </w:tcPr>
                <w:p>
                  <w:pPr>
                    <w:adjustRightInd w:val="0"/>
                    <w:snapToGrid w:val="0"/>
                    <w:jc w:val="center"/>
                    <w:rPr>
                      <w:sz w:val="18"/>
                      <w:szCs w:val="18"/>
                    </w:rPr>
                  </w:pPr>
                  <w:r>
                    <w:rPr>
                      <w:sz w:val="18"/>
                      <w:szCs w:val="18"/>
                    </w:rPr>
                    <w:t>TSP</w:t>
                  </w:r>
                </w:p>
              </w:tc>
              <w:tc>
                <w:tcPr>
                  <w:tcW w:w="3335" w:type="pct"/>
                  <w:vAlign w:val="center"/>
                </w:tcPr>
                <w:p>
                  <w:pPr>
                    <w:adjustRightInd w:val="0"/>
                    <w:snapToGrid w:val="0"/>
                    <w:jc w:val="center"/>
                    <w:rPr>
                      <w:sz w:val="18"/>
                      <w:szCs w:val="18"/>
                    </w:rPr>
                  </w:pPr>
                  <w:r>
                    <w:rPr>
                      <w:sz w:val="18"/>
                      <w:szCs w:val="18"/>
                    </w:rPr>
                    <w:t>环境空气总悬浮颗粒物的测定重量法</w:t>
                  </w:r>
                </w:p>
              </w:tc>
              <w:tc>
                <w:tcPr>
                  <w:tcW w:w="965" w:type="pct"/>
                  <w:vAlign w:val="center"/>
                </w:tcPr>
                <w:p>
                  <w:pPr>
                    <w:adjustRightInd w:val="0"/>
                    <w:snapToGrid w:val="0"/>
                    <w:jc w:val="center"/>
                    <w:rPr>
                      <w:sz w:val="18"/>
                      <w:szCs w:val="18"/>
                    </w:rPr>
                  </w:pPr>
                  <w:r>
                    <w:rPr>
                      <w:sz w:val="18"/>
                      <w:szCs w:val="18"/>
                    </w:rPr>
                    <w:t>GB/T 15432-1995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pct"/>
                  <w:vAlign w:val="center"/>
                </w:tcPr>
                <w:p>
                  <w:pPr>
                    <w:adjustRightInd w:val="0"/>
                    <w:snapToGrid w:val="0"/>
                    <w:jc w:val="center"/>
                    <w:rPr>
                      <w:sz w:val="18"/>
                      <w:szCs w:val="18"/>
                    </w:rPr>
                  </w:pPr>
                  <w:r>
                    <w:rPr>
                      <w:sz w:val="18"/>
                      <w:szCs w:val="18"/>
                    </w:rPr>
                    <w:t>苯并[a]芘</w:t>
                  </w:r>
                </w:p>
              </w:tc>
              <w:tc>
                <w:tcPr>
                  <w:tcW w:w="3335" w:type="pct"/>
                  <w:vAlign w:val="center"/>
                </w:tcPr>
                <w:p>
                  <w:pPr>
                    <w:adjustRightInd w:val="0"/>
                    <w:snapToGrid w:val="0"/>
                    <w:jc w:val="center"/>
                    <w:rPr>
                      <w:sz w:val="18"/>
                      <w:szCs w:val="18"/>
                    </w:rPr>
                  </w:pPr>
                  <w:r>
                    <w:rPr>
                      <w:sz w:val="18"/>
                      <w:szCs w:val="18"/>
                    </w:rPr>
                    <w:t>环境空气 苯并[a]芘的测定 高效液相色谱法</w:t>
                  </w:r>
                </w:p>
              </w:tc>
              <w:tc>
                <w:tcPr>
                  <w:tcW w:w="965" w:type="pct"/>
                  <w:vAlign w:val="center"/>
                </w:tcPr>
                <w:p>
                  <w:pPr>
                    <w:adjustRightInd w:val="0"/>
                    <w:snapToGrid w:val="0"/>
                    <w:jc w:val="center"/>
                    <w:rPr>
                      <w:sz w:val="18"/>
                      <w:szCs w:val="18"/>
                    </w:rPr>
                  </w:pPr>
                  <w:r>
                    <w:rPr>
                      <w:sz w:val="18"/>
                      <w:szCs w:val="18"/>
                    </w:rPr>
                    <w:t>GB/T 15439-1995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pct"/>
                  <w:vAlign w:val="center"/>
                </w:tcPr>
                <w:p>
                  <w:pPr>
                    <w:adjustRightInd w:val="0"/>
                    <w:snapToGrid w:val="0"/>
                    <w:jc w:val="center"/>
                    <w:rPr>
                      <w:sz w:val="18"/>
                      <w:szCs w:val="18"/>
                    </w:rPr>
                  </w:pPr>
                  <w:r>
                    <w:rPr>
                      <w:sz w:val="18"/>
                      <w:szCs w:val="18"/>
                    </w:rPr>
                    <w:t>非甲烷总烃</w:t>
                  </w:r>
                </w:p>
              </w:tc>
              <w:tc>
                <w:tcPr>
                  <w:tcW w:w="3335" w:type="pct"/>
                  <w:vAlign w:val="center"/>
                </w:tcPr>
                <w:p>
                  <w:pPr>
                    <w:adjustRightInd w:val="0"/>
                    <w:snapToGrid w:val="0"/>
                    <w:jc w:val="center"/>
                    <w:rPr>
                      <w:sz w:val="18"/>
                      <w:szCs w:val="18"/>
                    </w:rPr>
                  </w:pPr>
                  <w:r>
                    <w:rPr>
                      <w:sz w:val="18"/>
                      <w:szCs w:val="18"/>
                    </w:rPr>
                    <w:t>环境空气 总烃、甲烷和非甲烷总烃的测定 直接进样-气相色谱法</w:t>
                  </w:r>
                </w:p>
              </w:tc>
              <w:tc>
                <w:tcPr>
                  <w:tcW w:w="965" w:type="pct"/>
                  <w:vAlign w:val="center"/>
                </w:tcPr>
                <w:p>
                  <w:pPr>
                    <w:adjustRightInd w:val="0"/>
                    <w:snapToGrid w:val="0"/>
                    <w:jc w:val="center"/>
                    <w:rPr>
                      <w:sz w:val="18"/>
                      <w:szCs w:val="18"/>
                    </w:rPr>
                  </w:pPr>
                  <w:r>
                    <w:rPr>
                      <w:sz w:val="18"/>
                      <w:szCs w:val="18"/>
                    </w:rPr>
                    <w:t>HJ 604-2017</w:t>
                  </w:r>
                </w:p>
              </w:tc>
            </w:tr>
          </w:tbl>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（5）监测结果</w:t>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环境空气监测结果详见下表：</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表3-3  环境空气补充监测结果  单位：mg/m</w:t>
            </w:r>
            <w:r>
              <w:rPr>
                <w:rFonts w:ascii="Times New Roman" w:hAnsi="Times New Roman" w:cs="Times New Roman"/>
                <w:sz w:val="21"/>
                <w:vertAlign w:val="superscript"/>
                <w:lang w:val="en-US"/>
              </w:rPr>
              <w:t>3</w:t>
            </w:r>
            <w:r>
              <w:rPr>
                <w:rFonts w:ascii="Times New Roman" w:hAnsi="Times New Roman" w:cs="Times New Roman"/>
                <w:sz w:val="21"/>
                <w:lang w:val="en-US"/>
              </w:rPr>
              <w:t>（苯并[a]芘</w:t>
            </w:r>
            <w:r>
              <w:rPr>
                <w:rFonts w:ascii="Times New Roman" w:hAnsi="Times New Roman" w:cs="Times New Roman"/>
                <w:kern w:val="0"/>
                <w:sz w:val="21"/>
              </w:rPr>
              <w:t>μg/m</w:t>
            </w:r>
            <w:r>
              <w:rPr>
                <w:rFonts w:ascii="Times New Roman" w:hAnsi="Times New Roman" w:cs="Times New Roman"/>
                <w:kern w:val="0"/>
                <w:sz w:val="21"/>
                <w:vertAlign w:val="superscript"/>
              </w:rPr>
              <w:t>3</w:t>
            </w:r>
            <w:r>
              <w:rPr>
                <w:rFonts w:ascii="Times New Roman" w:hAnsi="Times New Roman" w:cs="Times New Roman"/>
                <w:sz w:val="21"/>
                <w:lang w:val="en-US"/>
              </w:rPr>
              <w:t>）</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28" w:type="dxa"/>
                <w:bottom w:w="0" w:type="dxa"/>
                <w:right w:w="28" w:type="dxa"/>
              </w:tblCellMar>
            </w:tblPr>
            <w:tblGrid>
              <w:gridCol w:w="2335"/>
              <w:gridCol w:w="1244"/>
              <w:gridCol w:w="2148"/>
              <w:gridCol w:w="2578"/>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Merge w:val="restart"/>
                  <w:vAlign w:val="center"/>
                </w:tcPr>
                <w:p>
                  <w:pPr>
                    <w:adjustRightInd w:val="0"/>
                    <w:snapToGrid w:val="0"/>
                    <w:jc w:val="center"/>
                    <w:rPr>
                      <w:sz w:val="18"/>
                      <w:szCs w:val="18"/>
                    </w:rPr>
                  </w:pPr>
                  <w:r>
                    <w:rPr>
                      <w:sz w:val="18"/>
                      <w:szCs w:val="18"/>
                    </w:rPr>
                    <w:t>监测日期</w:t>
                  </w:r>
                </w:p>
              </w:tc>
              <w:tc>
                <w:tcPr>
                  <w:tcW w:w="3594" w:type="pct"/>
                  <w:gridSpan w:val="3"/>
                  <w:vAlign w:val="center"/>
                </w:tcPr>
                <w:p>
                  <w:pPr>
                    <w:adjustRightInd w:val="0"/>
                    <w:snapToGrid w:val="0"/>
                    <w:jc w:val="center"/>
                    <w:rPr>
                      <w:sz w:val="18"/>
                      <w:szCs w:val="18"/>
                    </w:rPr>
                  </w:pPr>
                  <w:r>
                    <w:rPr>
                      <w:sz w:val="18"/>
                      <w:szCs w:val="18"/>
                    </w:rPr>
                    <w:t>1# 项目所在区域</w:t>
                  </w:r>
                  <w:r>
                    <w:rPr>
                      <w:rFonts w:hint="eastAsia"/>
                      <w:sz w:val="18"/>
                      <w:szCs w:val="18"/>
                    </w:rPr>
                    <w:t>下</w:t>
                  </w:r>
                  <w:r>
                    <w:rPr>
                      <w:sz w:val="18"/>
                      <w:szCs w:val="18"/>
                    </w:rPr>
                    <w:t>风向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Merge w:val="continue"/>
                  <w:vAlign w:val="center"/>
                </w:tcPr>
                <w:p>
                  <w:pPr>
                    <w:widowControl/>
                    <w:adjustRightInd w:val="0"/>
                    <w:snapToGrid w:val="0"/>
                    <w:jc w:val="center"/>
                    <w:rPr>
                      <w:sz w:val="18"/>
                      <w:szCs w:val="18"/>
                    </w:rPr>
                  </w:pPr>
                </w:p>
              </w:tc>
              <w:tc>
                <w:tcPr>
                  <w:tcW w:w="749" w:type="pct"/>
                  <w:vAlign w:val="center"/>
                </w:tcPr>
                <w:p>
                  <w:pPr>
                    <w:adjustRightInd w:val="0"/>
                    <w:snapToGrid w:val="0"/>
                    <w:jc w:val="center"/>
                    <w:rPr>
                      <w:sz w:val="18"/>
                      <w:szCs w:val="18"/>
                    </w:rPr>
                  </w:pPr>
                  <w:r>
                    <w:rPr>
                      <w:kern w:val="0"/>
                      <w:sz w:val="18"/>
                      <w:szCs w:val="18"/>
                    </w:rPr>
                    <w:t>TSP</w:t>
                  </w:r>
                </w:p>
              </w:tc>
              <w:tc>
                <w:tcPr>
                  <w:tcW w:w="1293" w:type="pct"/>
                  <w:vAlign w:val="center"/>
                </w:tcPr>
                <w:p>
                  <w:pPr>
                    <w:adjustRightInd w:val="0"/>
                    <w:snapToGrid w:val="0"/>
                    <w:jc w:val="center"/>
                    <w:rPr>
                      <w:sz w:val="18"/>
                      <w:szCs w:val="18"/>
                    </w:rPr>
                  </w:pPr>
                  <w:r>
                    <w:rPr>
                      <w:sz w:val="18"/>
                      <w:szCs w:val="18"/>
                    </w:rPr>
                    <w:t>苯并[a]芘</w:t>
                  </w:r>
                </w:p>
              </w:tc>
              <w:tc>
                <w:tcPr>
                  <w:tcW w:w="1552" w:type="pct"/>
                  <w:vAlign w:val="center"/>
                </w:tcPr>
                <w:p>
                  <w:pPr>
                    <w:adjustRightInd w:val="0"/>
                    <w:snapToGrid w:val="0"/>
                    <w:jc w:val="center"/>
                    <w:rPr>
                      <w:sz w:val="18"/>
                      <w:szCs w:val="18"/>
                    </w:rPr>
                  </w:pPr>
                  <w:r>
                    <w:rPr>
                      <w:sz w:val="18"/>
                      <w:szCs w:val="18"/>
                    </w:rPr>
                    <w:t>非甲烷总烃</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2021.05.16</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0.072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2021.05.17</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0.071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2021.05.18</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0.078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2021.05.19</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0.077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2021.05.20</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0.074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2021.05.21</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0.078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28" w:type="dxa"/>
                  <w:bottom w:w="0" w:type="dxa"/>
                  <w:right w:w="28" w:type="dxa"/>
                </w:tblCellMar>
              </w:tblPrEx>
              <w:trPr>
                <w:cantSplit/>
                <w:trHeight w:val="340" w:hRule="atLeast"/>
                <w:jc w:val="center"/>
              </w:trPr>
              <w:tc>
                <w:tcPr>
                  <w:tcW w:w="1406" w:type="pct"/>
                  <w:vAlign w:val="center"/>
                </w:tcPr>
                <w:p>
                  <w:pPr>
                    <w:autoSpaceDE w:val="0"/>
                    <w:adjustRightInd w:val="0"/>
                    <w:snapToGrid w:val="0"/>
                    <w:jc w:val="center"/>
                    <w:rPr>
                      <w:sz w:val="18"/>
                      <w:szCs w:val="18"/>
                    </w:rPr>
                  </w:pPr>
                  <w:r>
                    <w:rPr>
                      <w:rFonts w:hint="eastAsia"/>
                      <w:sz w:val="18"/>
                      <w:szCs w:val="18"/>
                    </w:rPr>
                    <w:t>2021.05.22</w:t>
                  </w:r>
                </w:p>
              </w:tc>
              <w:tc>
                <w:tcPr>
                  <w:tcW w:w="749" w:type="pct"/>
                  <w:vAlign w:val="center"/>
                </w:tcPr>
                <w:p>
                  <w:pPr>
                    <w:widowControl/>
                    <w:adjustRightInd w:val="0"/>
                    <w:snapToGrid w:val="0"/>
                    <w:jc w:val="center"/>
                    <w:textAlignment w:val="center"/>
                    <w:rPr>
                      <w:sz w:val="18"/>
                      <w:szCs w:val="18"/>
                    </w:rPr>
                  </w:pPr>
                  <w:r>
                    <w:rPr>
                      <w:color w:val="000000"/>
                      <w:kern w:val="0"/>
                      <w:sz w:val="18"/>
                      <w:szCs w:val="18"/>
                    </w:rPr>
                    <w:t xml:space="preserve">0.076 </w:t>
                  </w:r>
                </w:p>
              </w:tc>
              <w:tc>
                <w:tcPr>
                  <w:tcW w:w="1293" w:type="pct"/>
                  <w:vAlign w:val="center"/>
                </w:tcPr>
                <w:p>
                  <w:pPr>
                    <w:widowControl/>
                    <w:adjustRightInd w:val="0"/>
                    <w:snapToGrid w:val="0"/>
                    <w:jc w:val="center"/>
                    <w:textAlignment w:val="center"/>
                    <w:rPr>
                      <w:sz w:val="18"/>
                      <w:szCs w:val="18"/>
                    </w:rPr>
                  </w:pPr>
                  <w:r>
                    <w:rPr>
                      <w:sz w:val="18"/>
                      <w:szCs w:val="18"/>
                    </w:rPr>
                    <w:t>1×10</w:t>
                  </w:r>
                  <w:r>
                    <w:rPr>
                      <w:sz w:val="18"/>
                      <w:szCs w:val="18"/>
                      <w:vertAlign w:val="superscript"/>
                    </w:rPr>
                    <w:t>-7</w:t>
                  </w:r>
                  <w:r>
                    <w:rPr>
                      <w:sz w:val="18"/>
                      <w:szCs w:val="18"/>
                    </w:rPr>
                    <w:t>L</w:t>
                  </w:r>
                </w:p>
              </w:tc>
              <w:tc>
                <w:tcPr>
                  <w:tcW w:w="1552" w:type="pct"/>
                </w:tcPr>
                <w:p>
                  <w:pPr>
                    <w:adjustRightInd w:val="0"/>
                    <w:snapToGrid w:val="0"/>
                    <w:jc w:val="center"/>
                    <w:rPr>
                      <w:sz w:val="18"/>
                      <w:szCs w:val="18"/>
                    </w:rPr>
                  </w:pPr>
                  <w:r>
                    <w:rPr>
                      <w:rFonts w:hint="eastAsia"/>
                      <w:sz w:val="18"/>
                      <w:szCs w:val="18"/>
                    </w:rPr>
                    <w:t>0</w:t>
                  </w:r>
                  <w:r>
                    <w:rPr>
                      <w:sz w:val="18"/>
                      <w:szCs w:val="18"/>
                    </w:rPr>
                    <w:t>.07L</w:t>
                  </w:r>
                </w:p>
              </w:tc>
            </w:tr>
          </w:tbl>
          <w:p>
            <w:pPr>
              <w:adjustRightInd w:val="0"/>
              <w:snapToGrid w:val="0"/>
              <w:spacing w:line="360" w:lineRule="auto"/>
              <w:ind w:firstLine="420" w:firstLineChars="200"/>
              <w:rPr>
                <w:kern w:val="0"/>
              </w:rPr>
            </w:pPr>
            <w:r>
              <w:rPr>
                <w:kern w:val="0"/>
              </w:rPr>
              <w:t>（6）评价标准</w:t>
            </w:r>
          </w:p>
          <w:p>
            <w:pPr>
              <w:adjustRightInd w:val="0"/>
              <w:snapToGrid w:val="0"/>
              <w:spacing w:line="360" w:lineRule="auto"/>
              <w:ind w:firstLine="420" w:firstLineChars="200"/>
              <w:rPr>
                <w:kern w:val="0"/>
              </w:rPr>
            </w:pPr>
            <w:r>
              <w:rPr>
                <w:kern w:val="0"/>
              </w:rPr>
              <w:t>TSP、苯并[a]芘执行《环境空气质量标准》(GB3095-2012)中的二级标准；非甲烷总烃执行《大气污染物综合排放标准详解》中相关标准。</w:t>
            </w:r>
          </w:p>
          <w:p>
            <w:pPr>
              <w:adjustRightInd w:val="0"/>
              <w:snapToGrid w:val="0"/>
              <w:spacing w:line="360" w:lineRule="auto"/>
              <w:ind w:firstLine="420" w:firstLineChars="200"/>
              <w:rPr>
                <w:kern w:val="0"/>
              </w:rPr>
            </w:pPr>
            <w:r>
              <w:rPr>
                <w:kern w:val="0"/>
              </w:rPr>
              <w:t>（7）评价方法</w:t>
            </w:r>
          </w:p>
          <w:p>
            <w:pPr>
              <w:adjustRightInd w:val="0"/>
              <w:snapToGrid w:val="0"/>
              <w:spacing w:line="360" w:lineRule="auto"/>
              <w:ind w:firstLine="420" w:firstLineChars="200"/>
              <w:rPr>
                <w:kern w:val="0"/>
              </w:rPr>
            </w:pPr>
            <w:r>
              <w:rPr>
                <w:kern w:val="0"/>
              </w:rPr>
              <w:t>采用最大浓度占标率法进行评价，计算公式如下：</w:t>
            </w:r>
          </w:p>
          <w:p>
            <w:pPr>
              <w:adjustRightInd w:val="0"/>
              <w:snapToGrid w:val="0"/>
              <w:jc w:val="center"/>
              <w:rPr>
                <w:kern w:val="0"/>
              </w:rPr>
            </w:pPr>
            <w:r>
              <w:drawing>
                <wp:inline distT="0" distB="0" distL="114300" distR="114300">
                  <wp:extent cx="1192530" cy="435610"/>
                  <wp:effectExtent l="0" t="0" r="762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1201460" cy="439267"/>
                          </a:xfrm>
                          <a:prstGeom prst="rect">
                            <a:avLst/>
                          </a:prstGeom>
                          <a:noFill/>
                          <a:ln>
                            <a:noFill/>
                          </a:ln>
                        </pic:spPr>
                      </pic:pic>
                    </a:graphicData>
                  </a:graphic>
                </wp:inline>
              </w:drawing>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式中：P</w:t>
            </w:r>
            <w:r>
              <w:rPr>
                <w:rFonts w:ascii="Times New Roman" w:hAnsi="Times New Roman" w:cs="Times New Roman"/>
                <w:sz w:val="21"/>
                <w:vertAlign w:val="subscript"/>
                <w:lang w:val="en-US"/>
              </w:rPr>
              <w:t>max,i</w:t>
            </w:r>
            <w:r>
              <w:rPr>
                <w:rFonts w:ascii="Times New Roman" w:hAnsi="Times New Roman" w:cs="Times New Roman"/>
                <w:sz w:val="21"/>
                <w:lang w:val="en-US"/>
              </w:rPr>
              <w:t>——i点的现状监测结果最大浓度占标率；</w:t>
            </w:r>
          </w:p>
          <w:p>
            <w:pPr>
              <w:pStyle w:val="3"/>
              <w:adjustRightInd w:val="0"/>
              <w:snapToGrid w:val="0"/>
              <w:spacing w:line="360" w:lineRule="auto"/>
              <w:ind w:firstLine="1050" w:firstLineChars="500"/>
              <w:rPr>
                <w:rFonts w:ascii="Times New Roman" w:hAnsi="Times New Roman" w:cs="Times New Roman"/>
                <w:sz w:val="21"/>
                <w:lang w:val="en-US"/>
              </w:rPr>
            </w:pPr>
            <w:r>
              <w:rPr>
                <w:rFonts w:ascii="Times New Roman" w:hAnsi="Times New Roman" w:cs="Times New Roman"/>
                <w:sz w:val="21"/>
                <w:lang w:val="en-US"/>
              </w:rPr>
              <w:t>C</w:t>
            </w:r>
            <w:r>
              <w:rPr>
                <w:rFonts w:ascii="Times New Roman" w:hAnsi="Times New Roman" w:cs="Times New Roman"/>
                <w:sz w:val="21"/>
                <w:vertAlign w:val="subscript"/>
                <w:lang w:val="en-US"/>
              </w:rPr>
              <w:t>max,i</w:t>
            </w:r>
            <w:r>
              <w:rPr>
                <w:rFonts w:ascii="Times New Roman" w:hAnsi="Times New Roman" w:cs="Times New Roman"/>
                <w:sz w:val="21"/>
                <w:lang w:val="en-US"/>
              </w:rPr>
              <w:t>——i点的现状监测结果最大浓度值；</w:t>
            </w:r>
          </w:p>
          <w:p>
            <w:pPr>
              <w:pStyle w:val="3"/>
              <w:adjustRightInd w:val="0"/>
              <w:snapToGrid w:val="0"/>
              <w:spacing w:line="360" w:lineRule="auto"/>
              <w:ind w:firstLine="1050" w:firstLineChars="500"/>
              <w:rPr>
                <w:rFonts w:ascii="Times New Roman" w:hAnsi="Times New Roman" w:cs="Times New Roman"/>
                <w:sz w:val="21"/>
                <w:lang w:val="en-US"/>
              </w:rPr>
            </w:pPr>
            <w:r>
              <w:rPr>
                <w:rFonts w:ascii="Times New Roman" w:hAnsi="Times New Roman" w:cs="Times New Roman"/>
                <w:sz w:val="21"/>
                <w:lang w:val="en-US"/>
              </w:rPr>
              <w:t>C</w:t>
            </w:r>
            <w:r>
              <w:rPr>
                <w:rFonts w:ascii="Times New Roman" w:hAnsi="Times New Roman" w:cs="Times New Roman"/>
                <w:sz w:val="21"/>
                <w:vertAlign w:val="subscript"/>
                <w:lang w:val="en-US"/>
              </w:rPr>
              <w:t>0</w:t>
            </w:r>
            <w:r>
              <w:rPr>
                <w:rFonts w:ascii="Times New Roman" w:hAnsi="Times New Roman" w:cs="Times New Roman"/>
                <w:sz w:val="21"/>
                <w:lang w:val="en-US"/>
              </w:rPr>
              <w:t>——环境质量标准中对应的平均浓度标准限值。</w:t>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（8）评价结果</w:t>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环境空气评价结果见下表。</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表3-4  其他污染物环境质量现状（监测结果）表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1233"/>
              <w:gridCol w:w="1234"/>
              <w:gridCol w:w="620"/>
              <w:gridCol w:w="483"/>
              <w:gridCol w:w="1181"/>
              <w:gridCol w:w="1262"/>
              <w:gridCol w:w="714"/>
              <w:gridCol w:w="503"/>
              <w:gridCol w:w="4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56" w:type="pct"/>
                  <w:vMerge w:val="restart"/>
                  <w:tcBorders>
                    <w:top w:val="single" w:color="auto" w:sz="12"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监测点位</w:t>
                  </w:r>
                </w:p>
              </w:tc>
              <w:tc>
                <w:tcPr>
                  <w:tcW w:w="1485" w:type="pct"/>
                  <w:gridSpan w:val="2"/>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监测点坐标</w:t>
                  </w:r>
                </w:p>
              </w:tc>
              <w:tc>
                <w:tcPr>
                  <w:tcW w:w="373"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污染物</w:t>
                  </w:r>
                </w:p>
              </w:tc>
              <w:tc>
                <w:tcPr>
                  <w:tcW w:w="291"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平均时间</w:t>
                  </w:r>
                </w:p>
              </w:tc>
              <w:tc>
                <w:tcPr>
                  <w:tcW w:w="711"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评价标准/（mg/m</w:t>
                  </w:r>
                  <w:r>
                    <w:rPr>
                      <w:sz w:val="18"/>
                      <w:szCs w:val="18"/>
                      <w:vertAlign w:val="superscript"/>
                    </w:rPr>
                    <w:t>3</w:t>
                  </w:r>
                  <w:r>
                    <w:rPr>
                      <w:sz w:val="18"/>
                      <w:szCs w:val="18"/>
                    </w:rPr>
                    <w:t>）</w:t>
                  </w:r>
                </w:p>
              </w:tc>
              <w:tc>
                <w:tcPr>
                  <w:tcW w:w="760"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监测浓度范围/（mg/m</w:t>
                  </w:r>
                  <w:r>
                    <w:rPr>
                      <w:sz w:val="18"/>
                      <w:szCs w:val="18"/>
                      <w:vertAlign w:val="superscript"/>
                    </w:rPr>
                    <w:t>3</w:t>
                  </w:r>
                  <w:r>
                    <w:rPr>
                      <w:sz w:val="18"/>
                      <w:szCs w:val="18"/>
                    </w:rPr>
                    <w:t>）</w:t>
                  </w:r>
                </w:p>
              </w:tc>
              <w:tc>
                <w:tcPr>
                  <w:tcW w:w="430"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最大浓度占标率/%</w:t>
                  </w:r>
                </w:p>
              </w:tc>
              <w:tc>
                <w:tcPr>
                  <w:tcW w:w="303"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超标率/%</w:t>
                  </w:r>
                </w:p>
              </w:tc>
              <w:tc>
                <w:tcPr>
                  <w:tcW w:w="291" w:type="pct"/>
                  <w:vMerge w:val="restart"/>
                  <w:tcBorders>
                    <w:top w:val="single" w:color="auto" w:sz="12"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356" w:type="pct"/>
                  <w:vMerge w:val="continue"/>
                  <w:tcBorders>
                    <w:top w:val="single" w:color="auto" w:sz="12" w:space="0"/>
                    <w:left w:val="nil"/>
                    <w:bottom w:val="single" w:color="auto" w:sz="4" w:space="0"/>
                    <w:right w:val="single" w:color="auto" w:sz="4" w:space="0"/>
                  </w:tcBorders>
                  <w:vAlign w:val="center"/>
                </w:tcPr>
                <w:p>
                  <w:pPr>
                    <w:widowControl/>
                    <w:adjustRightInd w:val="0"/>
                    <w:snapToGrid w:val="0"/>
                    <w:jc w:val="center"/>
                    <w:rPr>
                      <w:sz w:val="18"/>
                      <w:szCs w:val="18"/>
                    </w:rPr>
                  </w:pPr>
                </w:p>
              </w:tc>
              <w:tc>
                <w:tcPr>
                  <w:tcW w:w="742"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E</w:t>
                  </w:r>
                </w:p>
              </w:tc>
              <w:tc>
                <w:tcPr>
                  <w:tcW w:w="74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N</w:t>
                  </w:r>
                </w:p>
              </w:tc>
              <w:tc>
                <w:tcPr>
                  <w:tcW w:w="373"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291"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711"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760"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430"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303"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291" w:type="pct"/>
                  <w:vMerge w:val="continue"/>
                  <w:tcBorders>
                    <w:top w:val="single" w:color="auto" w:sz="12" w:space="0"/>
                    <w:left w:val="single" w:color="auto" w:sz="4" w:space="0"/>
                    <w:bottom w:val="single" w:color="auto" w:sz="4" w:space="0"/>
                    <w:right w:val="nil"/>
                  </w:tcBorders>
                  <w:vAlign w:val="center"/>
                </w:tcPr>
                <w:p>
                  <w:pPr>
                    <w:widowControl/>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restart"/>
                  <w:tcBorders>
                    <w:top w:val="single" w:color="auto" w:sz="4" w:space="0"/>
                    <w:left w:val="nil"/>
                    <w:right w:val="single" w:color="auto" w:sz="4" w:space="0"/>
                  </w:tcBorders>
                  <w:vAlign w:val="center"/>
                </w:tcPr>
                <w:p>
                  <w:pPr>
                    <w:adjustRightInd w:val="0"/>
                    <w:snapToGrid w:val="0"/>
                    <w:jc w:val="center"/>
                    <w:rPr>
                      <w:sz w:val="18"/>
                      <w:szCs w:val="18"/>
                    </w:rPr>
                  </w:pPr>
                  <w:r>
                    <w:rPr>
                      <w:sz w:val="18"/>
                      <w:szCs w:val="18"/>
                    </w:rPr>
                    <w:t>A1#</w:t>
                  </w:r>
                </w:p>
              </w:tc>
              <w:tc>
                <w:tcPr>
                  <w:tcW w:w="742" w:type="pct"/>
                  <w:vMerge w:val="restart"/>
                  <w:tcBorders>
                    <w:top w:val="single" w:color="auto" w:sz="4" w:space="0"/>
                    <w:left w:val="single" w:color="auto" w:sz="4" w:space="0"/>
                    <w:right w:val="single" w:color="auto" w:sz="4" w:space="0"/>
                  </w:tcBorders>
                  <w:vAlign w:val="center"/>
                </w:tcPr>
                <w:p>
                  <w:pPr>
                    <w:adjustRightInd w:val="0"/>
                    <w:snapToGrid w:val="0"/>
                    <w:jc w:val="center"/>
                    <w:rPr>
                      <w:sz w:val="18"/>
                      <w:szCs w:val="18"/>
                      <w:highlight w:val="yellow"/>
                    </w:rPr>
                  </w:pPr>
                  <w:r>
                    <w:rPr>
                      <w:sz w:val="18"/>
                      <w:szCs w:val="18"/>
                    </w:rPr>
                    <w:t>126.5390574°</w:t>
                  </w:r>
                </w:p>
              </w:tc>
              <w:tc>
                <w:tcPr>
                  <w:tcW w:w="743" w:type="pct"/>
                  <w:vMerge w:val="restart"/>
                  <w:tcBorders>
                    <w:top w:val="single" w:color="auto" w:sz="4" w:space="0"/>
                    <w:left w:val="single" w:color="auto" w:sz="4" w:space="0"/>
                    <w:right w:val="single" w:color="auto" w:sz="4" w:space="0"/>
                  </w:tcBorders>
                  <w:vAlign w:val="center"/>
                </w:tcPr>
                <w:p>
                  <w:pPr>
                    <w:adjustRightInd w:val="0"/>
                    <w:snapToGrid w:val="0"/>
                    <w:jc w:val="center"/>
                    <w:rPr>
                      <w:sz w:val="18"/>
                      <w:szCs w:val="18"/>
                      <w:highlight w:val="yellow"/>
                    </w:rPr>
                  </w:pPr>
                  <w:r>
                    <w:rPr>
                      <w:sz w:val="18"/>
                      <w:szCs w:val="18"/>
                    </w:rPr>
                    <w:t>41.9584769°</w:t>
                  </w:r>
                </w:p>
              </w:tc>
              <w:tc>
                <w:tcPr>
                  <w:tcW w:w="37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TSP</w:t>
                  </w:r>
                </w:p>
              </w:tc>
              <w:tc>
                <w:tcPr>
                  <w:tcW w:w="291" w:type="pct"/>
                  <w:vMerge w:val="restart"/>
                  <w:tcBorders>
                    <w:top w:val="single" w:color="auto" w:sz="4" w:space="0"/>
                    <w:left w:val="single" w:color="auto" w:sz="4" w:space="0"/>
                    <w:right w:val="single" w:color="auto" w:sz="4" w:space="0"/>
                  </w:tcBorders>
                  <w:vAlign w:val="center"/>
                </w:tcPr>
                <w:p>
                  <w:pPr>
                    <w:adjustRightInd w:val="0"/>
                    <w:snapToGrid w:val="0"/>
                    <w:jc w:val="center"/>
                    <w:rPr>
                      <w:sz w:val="18"/>
                      <w:szCs w:val="18"/>
                    </w:rPr>
                  </w:pPr>
                  <w:r>
                    <w:rPr>
                      <w:sz w:val="18"/>
                      <w:szCs w:val="18"/>
                    </w:rPr>
                    <w:t>24小时</w:t>
                  </w:r>
                </w:p>
              </w:tc>
              <w:tc>
                <w:tcPr>
                  <w:tcW w:w="71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0.3</w:t>
                  </w:r>
                </w:p>
              </w:tc>
              <w:tc>
                <w:tcPr>
                  <w:tcW w:w="760"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rFonts w:hint="eastAsia"/>
                      <w:sz w:val="18"/>
                      <w:szCs w:val="18"/>
                    </w:rPr>
                    <w:t>0</w:t>
                  </w:r>
                  <w:r>
                    <w:rPr>
                      <w:sz w:val="18"/>
                      <w:szCs w:val="18"/>
                    </w:rPr>
                    <w:t>.071-0.078</w:t>
                  </w:r>
                </w:p>
              </w:tc>
              <w:tc>
                <w:tcPr>
                  <w:tcW w:w="430"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rFonts w:hint="eastAsia"/>
                      <w:sz w:val="18"/>
                      <w:szCs w:val="18"/>
                    </w:rPr>
                    <w:t>2</w:t>
                  </w:r>
                  <w:r>
                    <w:rPr>
                      <w:sz w:val="18"/>
                      <w:szCs w:val="18"/>
                    </w:rPr>
                    <w:t>6</w:t>
                  </w:r>
                </w:p>
              </w:tc>
              <w:tc>
                <w:tcPr>
                  <w:tcW w:w="30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0</w:t>
                  </w:r>
                </w:p>
              </w:tc>
              <w:tc>
                <w:tcPr>
                  <w:tcW w:w="291" w:type="pct"/>
                  <w:tcBorders>
                    <w:top w:val="single" w:color="auto" w:sz="4"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continue"/>
                  <w:tcBorders>
                    <w:top w:val="single" w:color="auto" w:sz="4" w:space="0"/>
                    <w:left w:val="nil"/>
                    <w:right w:val="single" w:color="auto" w:sz="4" w:space="0"/>
                  </w:tcBorders>
                  <w:vAlign w:val="center"/>
                </w:tcPr>
                <w:p>
                  <w:pPr>
                    <w:adjustRightInd w:val="0"/>
                    <w:snapToGrid w:val="0"/>
                    <w:jc w:val="center"/>
                    <w:rPr>
                      <w:sz w:val="18"/>
                      <w:szCs w:val="18"/>
                    </w:rPr>
                  </w:pPr>
                </w:p>
              </w:tc>
              <w:tc>
                <w:tcPr>
                  <w:tcW w:w="742" w:type="pct"/>
                  <w:vMerge w:val="continue"/>
                  <w:tcBorders>
                    <w:top w:val="single" w:color="auto" w:sz="4" w:space="0"/>
                    <w:left w:val="single" w:color="auto" w:sz="4" w:space="0"/>
                    <w:right w:val="single" w:color="auto" w:sz="4" w:space="0"/>
                  </w:tcBorders>
                  <w:vAlign w:val="center"/>
                </w:tcPr>
                <w:p>
                  <w:pPr>
                    <w:adjustRightInd w:val="0"/>
                    <w:snapToGrid w:val="0"/>
                    <w:jc w:val="center"/>
                    <w:rPr>
                      <w:sz w:val="18"/>
                      <w:szCs w:val="18"/>
                      <w:highlight w:val="yellow"/>
                    </w:rPr>
                  </w:pPr>
                </w:p>
              </w:tc>
              <w:tc>
                <w:tcPr>
                  <w:tcW w:w="743" w:type="pct"/>
                  <w:vMerge w:val="continue"/>
                  <w:tcBorders>
                    <w:top w:val="single" w:color="auto" w:sz="4" w:space="0"/>
                    <w:left w:val="single" w:color="auto" w:sz="4" w:space="0"/>
                    <w:right w:val="single" w:color="auto" w:sz="4" w:space="0"/>
                  </w:tcBorders>
                  <w:vAlign w:val="center"/>
                </w:tcPr>
                <w:p>
                  <w:pPr>
                    <w:adjustRightInd w:val="0"/>
                    <w:snapToGrid w:val="0"/>
                    <w:jc w:val="center"/>
                    <w:rPr>
                      <w:sz w:val="18"/>
                      <w:szCs w:val="18"/>
                      <w:highlight w:val="yellow"/>
                    </w:rPr>
                  </w:pPr>
                </w:p>
              </w:tc>
              <w:tc>
                <w:tcPr>
                  <w:tcW w:w="37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苯并[a]芘</w:t>
                  </w:r>
                </w:p>
              </w:tc>
              <w:tc>
                <w:tcPr>
                  <w:tcW w:w="291" w:type="pct"/>
                  <w:vMerge w:val="continue"/>
                  <w:tcBorders>
                    <w:left w:val="single" w:color="auto" w:sz="4" w:space="0"/>
                    <w:right w:val="single" w:color="auto" w:sz="4" w:space="0"/>
                  </w:tcBorders>
                  <w:vAlign w:val="center"/>
                </w:tcPr>
                <w:p>
                  <w:pPr>
                    <w:adjustRightInd w:val="0"/>
                    <w:snapToGrid w:val="0"/>
                    <w:jc w:val="center"/>
                    <w:rPr>
                      <w:sz w:val="18"/>
                      <w:szCs w:val="18"/>
                    </w:rPr>
                  </w:pPr>
                </w:p>
              </w:tc>
              <w:tc>
                <w:tcPr>
                  <w:tcW w:w="711"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0.0025（μg/m</w:t>
                  </w:r>
                  <w:r>
                    <w:rPr>
                      <w:sz w:val="18"/>
                      <w:szCs w:val="18"/>
                      <w:vertAlign w:val="superscript"/>
                    </w:rPr>
                    <w:t>3</w:t>
                  </w:r>
                  <w:r>
                    <w:rPr>
                      <w:sz w:val="18"/>
                      <w:szCs w:val="18"/>
                    </w:rPr>
                    <w:t>）</w:t>
                  </w:r>
                </w:p>
              </w:tc>
              <w:tc>
                <w:tcPr>
                  <w:tcW w:w="760"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未检出</w:t>
                  </w:r>
                </w:p>
              </w:tc>
              <w:tc>
                <w:tcPr>
                  <w:tcW w:w="430"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w:t>
                  </w:r>
                </w:p>
              </w:tc>
              <w:tc>
                <w:tcPr>
                  <w:tcW w:w="30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0</w:t>
                  </w:r>
                </w:p>
              </w:tc>
              <w:tc>
                <w:tcPr>
                  <w:tcW w:w="291" w:type="pct"/>
                  <w:tcBorders>
                    <w:top w:val="single" w:color="auto" w:sz="4"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continue"/>
                  <w:tcBorders>
                    <w:left w:val="nil"/>
                    <w:bottom w:val="single" w:color="auto" w:sz="12" w:space="0"/>
                    <w:right w:val="single" w:color="auto" w:sz="4" w:space="0"/>
                  </w:tcBorders>
                  <w:vAlign w:val="center"/>
                </w:tcPr>
                <w:p>
                  <w:pPr>
                    <w:adjustRightInd w:val="0"/>
                    <w:snapToGrid w:val="0"/>
                    <w:jc w:val="center"/>
                    <w:rPr>
                      <w:sz w:val="18"/>
                      <w:szCs w:val="18"/>
                    </w:rPr>
                  </w:pPr>
                </w:p>
              </w:tc>
              <w:tc>
                <w:tcPr>
                  <w:tcW w:w="742" w:type="pct"/>
                  <w:vMerge w:val="continue"/>
                  <w:tcBorders>
                    <w:left w:val="single" w:color="auto" w:sz="4" w:space="0"/>
                    <w:bottom w:val="single" w:color="auto" w:sz="12" w:space="0"/>
                    <w:right w:val="single" w:color="auto" w:sz="4" w:space="0"/>
                  </w:tcBorders>
                  <w:vAlign w:val="center"/>
                </w:tcPr>
                <w:p>
                  <w:pPr>
                    <w:adjustRightInd w:val="0"/>
                    <w:snapToGrid w:val="0"/>
                    <w:jc w:val="center"/>
                    <w:rPr>
                      <w:sz w:val="18"/>
                      <w:szCs w:val="18"/>
                    </w:rPr>
                  </w:pPr>
                </w:p>
              </w:tc>
              <w:tc>
                <w:tcPr>
                  <w:tcW w:w="743" w:type="pct"/>
                  <w:vMerge w:val="continue"/>
                  <w:tcBorders>
                    <w:left w:val="single" w:color="auto" w:sz="4" w:space="0"/>
                    <w:bottom w:val="single" w:color="auto" w:sz="12" w:space="0"/>
                    <w:right w:val="single" w:color="auto" w:sz="4" w:space="0"/>
                  </w:tcBorders>
                  <w:vAlign w:val="center"/>
                </w:tcPr>
                <w:p>
                  <w:pPr>
                    <w:adjustRightInd w:val="0"/>
                    <w:snapToGrid w:val="0"/>
                    <w:jc w:val="center"/>
                    <w:rPr>
                      <w:sz w:val="18"/>
                      <w:szCs w:val="18"/>
                    </w:rPr>
                  </w:pPr>
                </w:p>
              </w:tc>
              <w:tc>
                <w:tcPr>
                  <w:tcW w:w="373"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非甲烷总烃</w:t>
                  </w:r>
                </w:p>
              </w:tc>
              <w:tc>
                <w:tcPr>
                  <w:tcW w:w="291" w:type="pct"/>
                  <w:vMerge w:val="continue"/>
                  <w:tcBorders>
                    <w:left w:val="single" w:color="auto" w:sz="4" w:space="0"/>
                    <w:bottom w:val="single" w:color="auto" w:sz="12" w:space="0"/>
                    <w:right w:val="single" w:color="auto" w:sz="4" w:space="0"/>
                  </w:tcBorders>
                  <w:vAlign w:val="center"/>
                </w:tcPr>
                <w:p>
                  <w:pPr>
                    <w:adjustRightInd w:val="0"/>
                    <w:snapToGrid w:val="0"/>
                    <w:jc w:val="center"/>
                    <w:rPr>
                      <w:sz w:val="18"/>
                      <w:szCs w:val="18"/>
                    </w:rPr>
                  </w:pPr>
                </w:p>
              </w:tc>
              <w:tc>
                <w:tcPr>
                  <w:tcW w:w="711"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2.0</w:t>
                  </w:r>
                </w:p>
              </w:tc>
              <w:tc>
                <w:tcPr>
                  <w:tcW w:w="760"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未检出</w:t>
                  </w:r>
                </w:p>
              </w:tc>
              <w:tc>
                <w:tcPr>
                  <w:tcW w:w="430"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w:t>
                  </w:r>
                </w:p>
              </w:tc>
              <w:tc>
                <w:tcPr>
                  <w:tcW w:w="303"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0</w:t>
                  </w:r>
                </w:p>
              </w:tc>
              <w:tc>
                <w:tcPr>
                  <w:tcW w:w="291" w:type="pct"/>
                  <w:tcBorders>
                    <w:top w:val="single" w:color="auto" w:sz="4" w:space="0"/>
                    <w:left w:val="single" w:color="auto" w:sz="4" w:space="0"/>
                    <w:bottom w:val="single" w:color="auto" w:sz="12" w:space="0"/>
                    <w:right w:val="nil"/>
                  </w:tcBorders>
                  <w:vAlign w:val="center"/>
                </w:tcPr>
                <w:p>
                  <w:pPr>
                    <w:adjustRightInd w:val="0"/>
                    <w:snapToGrid w:val="0"/>
                    <w:jc w:val="center"/>
                    <w:rPr>
                      <w:sz w:val="18"/>
                      <w:szCs w:val="18"/>
                    </w:rPr>
                  </w:pPr>
                  <w:r>
                    <w:rPr>
                      <w:sz w:val="18"/>
                      <w:szCs w:val="18"/>
                    </w:rPr>
                    <w:t>达标</w:t>
                  </w:r>
                </w:p>
              </w:tc>
            </w:tr>
          </w:tbl>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由上表可知，评价区域内TSP、苯并[a]芘满足《环境空气质量标准》(GB3095-2012)中的二级标准要求；非甲烷总烃满足《大气污染物综合排放标准详解》中相关标准要求。</w:t>
            </w:r>
          </w:p>
          <w:p>
            <w:pPr>
              <w:adjustRightInd w:val="0"/>
              <w:snapToGrid w:val="0"/>
              <w:spacing w:line="360" w:lineRule="auto"/>
              <w:ind w:firstLine="420" w:firstLineChars="200"/>
              <w:rPr>
                <w:kern w:val="0"/>
              </w:rPr>
            </w:pPr>
            <w:r>
              <w:rPr>
                <w:kern w:val="0"/>
              </w:rPr>
              <w:t>二、地表水环境质量现状</w:t>
            </w:r>
          </w:p>
          <w:p>
            <w:pPr>
              <w:adjustRightInd w:val="0"/>
              <w:snapToGrid w:val="0"/>
              <w:spacing w:line="360" w:lineRule="auto"/>
              <w:ind w:firstLine="420" w:firstLineChars="200"/>
              <w:rPr>
                <w:kern w:val="0"/>
              </w:rPr>
            </w:pPr>
            <w:r>
              <w:rPr>
                <w:kern w:val="0"/>
              </w:rPr>
              <w:t>本项目产生废水为生活污水，排入厂区防渗旱厕，定期清掏，用作农肥，不外排</w:t>
            </w:r>
            <w:r>
              <w:rPr>
                <w:rFonts w:hint="eastAsia"/>
                <w:kern w:val="0"/>
              </w:rPr>
              <w:t>；其中食堂废水经沉淀池隔油处理后排入防渗旱厕</w:t>
            </w:r>
            <w:r>
              <w:rPr>
                <w:kern w:val="0"/>
              </w:rPr>
              <w:t>。</w:t>
            </w:r>
          </w:p>
          <w:p>
            <w:pPr>
              <w:adjustRightInd w:val="0"/>
              <w:snapToGrid w:val="0"/>
              <w:spacing w:line="360" w:lineRule="auto"/>
              <w:ind w:firstLine="420" w:firstLineChars="200"/>
              <w:rPr>
                <w:kern w:val="0"/>
              </w:rPr>
            </w:pPr>
            <w:r>
              <w:rPr>
                <w:kern w:val="0"/>
              </w:rPr>
              <w:t>根据《环境影响评价技术导则地表水环境》（HJ2.3-2018）的有关规定，应优先采用国务院生态环境主管部门统一发布的水环境状况信息。根据本项目的地理位置分布情况，</w:t>
            </w:r>
            <w:r>
              <w:rPr>
                <w:rFonts w:hint="eastAsia"/>
              </w:rPr>
              <w:t>项目所在区域地表水体为石人河，位于项目厂界东南侧</w:t>
            </w:r>
            <w:r>
              <w:t>375m</w:t>
            </w:r>
            <w:r>
              <w:rPr>
                <w:rFonts w:hint="eastAsia"/>
              </w:rPr>
              <w:t>处，由东向西汇入红土崖河，最终汇入浑江。</w:t>
            </w:r>
            <w:r>
              <w:rPr>
                <w:kern w:val="0"/>
              </w:rPr>
              <w:t>故本次水质评价采用吉林省生态环境厅发布的吉林省江河国控断面水质月报。</w:t>
            </w:r>
          </w:p>
          <w:p>
            <w:pPr>
              <w:adjustRightInd w:val="0"/>
              <w:snapToGrid w:val="0"/>
              <w:spacing w:line="360" w:lineRule="auto"/>
              <w:ind w:firstLine="420" w:firstLineChars="200"/>
              <w:rPr>
                <w:kern w:val="0"/>
              </w:rPr>
            </w:pPr>
            <w:r>
              <w:rPr>
                <w:kern w:val="0"/>
              </w:rPr>
              <w:t>根据吉林省生态环境厅发布的2021年4月吉林省江河国控断面水质月报，该国控断面水环境质量目标为Ⅲ类，与上月相比水质没有变化，同比去年水质有所下降，详见下表。</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表3-5  浑江白山市河段国控断面水质月报（2021年4月）</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47"/>
              <w:gridCol w:w="1247"/>
              <w:gridCol w:w="1488"/>
              <w:gridCol w:w="768"/>
              <w:gridCol w:w="768"/>
              <w:gridCol w:w="1251"/>
              <w:gridCol w:w="768"/>
              <w:gridCol w:w="76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9" w:hRule="atLeast"/>
                <w:jc w:val="center"/>
              </w:trPr>
              <w:tc>
                <w:tcPr>
                  <w:tcW w:w="751" w:type="pct"/>
                  <w:vMerge w:val="restart"/>
                  <w:vAlign w:val="center"/>
                </w:tcPr>
                <w:p>
                  <w:pPr>
                    <w:pStyle w:val="19"/>
                    <w:adjustRightInd w:val="0"/>
                    <w:snapToGrid w:val="0"/>
                    <w:rPr>
                      <w:sz w:val="18"/>
                      <w:szCs w:val="18"/>
                    </w:rPr>
                  </w:pPr>
                  <w:r>
                    <w:rPr>
                      <w:sz w:val="18"/>
                      <w:szCs w:val="18"/>
                    </w:rPr>
                    <w:t>所属城市</w:t>
                  </w:r>
                </w:p>
              </w:tc>
              <w:tc>
                <w:tcPr>
                  <w:tcW w:w="751" w:type="pct"/>
                  <w:vMerge w:val="restart"/>
                  <w:vAlign w:val="center"/>
                </w:tcPr>
                <w:p>
                  <w:pPr>
                    <w:pStyle w:val="19"/>
                    <w:adjustRightInd w:val="0"/>
                    <w:snapToGrid w:val="0"/>
                    <w:rPr>
                      <w:sz w:val="18"/>
                      <w:szCs w:val="18"/>
                    </w:rPr>
                  </w:pPr>
                  <w:r>
                    <w:rPr>
                      <w:sz w:val="18"/>
                      <w:szCs w:val="18"/>
                    </w:rPr>
                    <w:t>江河名称</w:t>
                  </w:r>
                </w:p>
              </w:tc>
              <w:tc>
                <w:tcPr>
                  <w:tcW w:w="896" w:type="pct"/>
                  <w:vMerge w:val="restart"/>
                  <w:vAlign w:val="center"/>
                </w:tcPr>
                <w:p>
                  <w:pPr>
                    <w:pStyle w:val="19"/>
                    <w:adjustRightInd w:val="0"/>
                    <w:snapToGrid w:val="0"/>
                    <w:rPr>
                      <w:sz w:val="18"/>
                      <w:szCs w:val="18"/>
                    </w:rPr>
                  </w:pPr>
                  <w:r>
                    <w:rPr>
                      <w:sz w:val="18"/>
                      <w:szCs w:val="18"/>
                    </w:rPr>
                    <w:t>断面名称</w:t>
                  </w:r>
                </w:p>
              </w:tc>
              <w:tc>
                <w:tcPr>
                  <w:tcW w:w="1677" w:type="pct"/>
                  <w:gridSpan w:val="3"/>
                  <w:vAlign w:val="center"/>
                </w:tcPr>
                <w:p>
                  <w:pPr>
                    <w:pStyle w:val="19"/>
                    <w:adjustRightInd w:val="0"/>
                    <w:snapToGrid w:val="0"/>
                    <w:rPr>
                      <w:sz w:val="18"/>
                      <w:szCs w:val="18"/>
                    </w:rPr>
                  </w:pPr>
                  <w:r>
                    <w:rPr>
                      <w:sz w:val="18"/>
                      <w:szCs w:val="18"/>
                    </w:rPr>
                    <w:t>水质类别</w:t>
                  </w:r>
                </w:p>
              </w:tc>
              <w:tc>
                <w:tcPr>
                  <w:tcW w:w="462" w:type="pct"/>
                  <w:vMerge w:val="restart"/>
                  <w:vAlign w:val="center"/>
                </w:tcPr>
                <w:p>
                  <w:pPr>
                    <w:pStyle w:val="19"/>
                    <w:adjustRightInd w:val="0"/>
                    <w:snapToGrid w:val="0"/>
                    <w:rPr>
                      <w:sz w:val="18"/>
                      <w:szCs w:val="18"/>
                    </w:rPr>
                  </w:pPr>
                  <w:r>
                    <w:rPr>
                      <w:sz w:val="18"/>
                      <w:szCs w:val="18"/>
                    </w:rPr>
                    <w:t>环比</w:t>
                  </w:r>
                </w:p>
              </w:tc>
              <w:tc>
                <w:tcPr>
                  <w:tcW w:w="462" w:type="pct"/>
                  <w:vMerge w:val="restart"/>
                  <w:vAlign w:val="center"/>
                </w:tcPr>
                <w:p>
                  <w:pPr>
                    <w:pStyle w:val="19"/>
                    <w:adjustRightInd w:val="0"/>
                    <w:snapToGrid w:val="0"/>
                    <w:rPr>
                      <w:sz w:val="18"/>
                      <w:szCs w:val="18"/>
                    </w:rPr>
                  </w:pPr>
                  <w:r>
                    <w:rPr>
                      <w:sz w:val="18"/>
                      <w:szCs w:val="18"/>
                    </w:rPr>
                    <w:t>同比</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9" w:hRule="atLeast"/>
                <w:jc w:val="center"/>
              </w:trPr>
              <w:tc>
                <w:tcPr>
                  <w:tcW w:w="751" w:type="pct"/>
                  <w:vMerge w:val="continue"/>
                  <w:vAlign w:val="center"/>
                </w:tcPr>
                <w:p>
                  <w:pPr>
                    <w:pStyle w:val="19"/>
                    <w:adjustRightInd w:val="0"/>
                    <w:snapToGrid w:val="0"/>
                    <w:rPr>
                      <w:sz w:val="18"/>
                      <w:szCs w:val="18"/>
                    </w:rPr>
                  </w:pPr>
                </w:p>
              </w:tc>
              <w:tc>
                <w:tcPr>
                  <w:tcW w:w="751" w:type="pct"/>
                  <w:vMerge w:val="continue"/>
                  <w:vAlign w:val="center"/>
                </w:tcPr>
                <w:p>
                  <w:pPr>
                    <w:pStyle w:val="19"/>
                    <w:adjustRightInd w:val="0"/>
                    <w:snapToGrid w:val="0"/>
                    <w:rPr>
                      <w:sz w:val="18"/>
                      <w:szCs w:val="18"/>
                    </w:rPr>
                  </w:pPr>
                </w:p>
              </w:tc>
              <w:tc>
                <w:tcPr>
                  <w:tcW w:w="896" w:type="pct"/>
                  <w:vMerge w:val="continue"/>
                  <w:vAlign w:val="center"/>
                </w:tcPr>
                <w:p>
                  <w:pPr>
                    <w:pStyle w:val="19"/>
                    <w:adjustRightInd w:val="0"/>
                    <w:snapToGrid w:val="0"/>
                    <w:rPr>
                      <w:sz w:val="18"/>
                      <w:szCs w:val="18"/>
                    </w:rPr>
                  </w:pPr>
                </w:p>
              </w:tc>
              <w:tc>
                <w:tcPr>
                  <w:tcW w:w="462" w:type="pct"/>
                  <w:vAlign w:val="center"/>
                </w:tcPr>
                <w:p>
                  <w:pPr>
                    <w:pStyle w:val="19"/>
                    <w:adjustRightInd w:val="0"/>
                    <w:snapToGrid w:val="0"/>
                    <w:rPr>
                      <w:sz w:val="18"/>
                      <w:szCs w:val="18"/>
                    </w:rPr>
                  </w:pPr>
                  <w:r>
                    <w:rPr>
                      <w:sz w:val="18"/>
                      <w:szCs w:val="18"/>
                    </w:rPr>
                    <w:t>本月</w:t>
                  </w:r>
                </w:p>
              </w:tc>
              <w:tc>
                <w:tcPr>
                  <w:tcW w:w="462" w:type="pct"/>
                  <w:vAlign w:val="center"/>
                </w:tcPr>
                <w:p>
                  <w:pPr>
                    <w:pStyle w:val="19"/>
                    <w:adjustRightInd w:val="0"/>
                    <w:snapToGrid w:val="0"/>
                    <w:rPr>
                      <w:sz w:val="18"/>
                      <w:szCs w:val="18"/>
                    </w:rPr>
                  </w:pPr>
                  <w:r>
                    <w:rPr>
                      <w:sz w:val="18"/>
                      <w:szCs w:val="18"/>
                    </w:rPr>
                    <w:t>上月</w:t>
                  </w:r>
                </w:p>
              </w:tc>
              <w:tc>
                <w:tcPr>
                  <w:tcW w:w="753" w:type="pct"/>
                  <w:vAlign w:val="center"/>
                </w:tcPr>
                <w:p>
                  <w:pPr>
                    <w:pStyle w:val="19"/>
                    <w:adjustRightInd w:val="0"/>
                    <w:snapToGrid w:val="0"/>
                    <w:rPr>
                      <w:sz w:val="18"/>
                      <w:szCs w:val="18"/>
                    </w:rPr>
                  </w:pPr>
                  <w:r>
                    <w:rPr>
                      <w:sz w:val="18"/>
                      <w:szCs w:val="18"/>
                    </w:rPr>
                    <w:t>去年同期</w:t>
                  </w:r>
                </w:p>
              </w:tc>
              <w:tc>
                <w:tcPr>
                  <w:tcW w:w="462" w:type="pct"/>
                  <w:vMerge w:val="continue"/>
                  <w:vAlign w:val="center"/>
                </w:tcPr>
                <w:p>
                  <w:pPr>
                    <w:pStyle w:val="19"/>
                    <w:adjustRightInd w:val="0"/>
                    <w:snapToGrid w:val="0"/>
                    <w:rPr>
                      <w:sz w:val="18"/>
                      <w:szCs w:val="18"/>
                    </w:rPr>
                  </w:pPr>
                </w:p>
              </w:tc>
              <w:tc>
                <w:tcPr>
                  <w:tcW w:w="462" w:type="pct"/>
                  <w:vMerge w:val="continue"/>
                  <w:vAlign w:val="center"/>
                </w:tcPr>
                <w:p>
                  <w:pPr>
                    <w:pStyle w:val="19"/>
                    <w:adjustRightInd w:val="0"/>
                    <w:snapToGrid w:val="0"/>
                    <w:rPr>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49" w:hRule="atLeast"/>
                <w:jc w:val="center"/>
              </w:trPr>
              <w:tc>
                <w:tcPr>
                  <w:tcW w:w="751" w:type="pct"/>
                  <w:vAlign w:val="center"/>
                </w:tcPr>
                <w:p>
                  <w:pPr>
                    <w:pStyle w:val="19"/>
                    <w:adjustRightInd w:val="0"/>
                    <w:snapToGrid w:val="0"/>
                    <w:rPr>
                      <w:sz w:val="18"/>
                      <w:szCs w:val="18"/>
                    </w:rPr>
                  </w:pPr>
                  <w:r>
                    <w:rPr>
                      <w:sz w:val="18"/>
                      <w:szCs w:val="18"/>
                    </w:rPr>
                    <w:t>白山市</w:t>
                  </w:r>
                </w:p>
              </w:tc>
              <w:tc>
                <w:tcPr>
                  <w:tcW w:w="751" w:type="pct"/>
                  <w:vAlign w:val="center"/>
                </w:tcPr>
                <w:p>
                  <w:pPr>
                    <w:pStyle w:val="19"/>
                    <w:adjustRightInd w:val="0"/>
                    <w:snapToGrid w:val="0"/>
                    <w:rPr>
                      <w:sz w:val="18"/>
                      <w:szCs w:val="18"/>
                    </w:rPr>
                  </w:pPr>
                  <w:r>
                    <w:rPr>
                      <w:sz w:val="18"/>
                      <w:szCs w:val="18"/>
                    </w:rPr>
                    <w:t>浑江</w:t>
                  </w:r>
                </w:p>
              </w:tc>
              <w:tc>
                <w:tcPr>
                  <w:tcW w:w="896" w:type="pct"/>
                  <w:vAlign w:val="center"/>
                </w:tcPr>
                <w:p>
                  <w:pPr>
                    <w:pStyle w:val="19"/>
                    <w:adjustRightInd w:val="0"/>
                    <w:snapToGrid w:val="0"/>
                    <w:rPr>
                      <w:sz w:val="18"/>
                      <w:szCs w:val="18"/>
                    </w:rPr>
                  </w:pPr>
                  <w:r>
                    <w:rPr>
                      <w:sz w:val="18"/>
                      <w:szCs w:val="18"/>
                    </w:rPr>
                    <w:t>江源（浑）</w:t>
                  </w:r>
                </w:p>
              </w:tc>
              <w:tc>
                <w:tcPr>
                  <w:tcW w:w="462" w:type="pct"/>
                  <w:vAlign w:val="center"/>
                </w:tcPr>
                <w:p>
                  <w:pPr>
                    <w:pStyle w:val="19"/>
                    <w:adjustRightInd w:val="0"/>
                    <w:snapToGrid w:val="0"/>
                    <w:rPr>
                      <w:sz w:val="18"/>
                      <w:szCs w:val="18"/>
                    </w:rPr>
                  </w:pPr>
                  <w:r>
                    <w:rPr>
                      <w:sz w:val="18"/>
                      <w:szCs w:val="18"/>
                    </w:rPr>
                    <w:t>Ⅲ</w:t>
                  </w:r>
                </w:p>
              </w:tc>
              <w:tc>
                <w:tcPr>
                  <w:tcW w:w="462" w:type="pct"/>
                  <w:vAlign w:val="center"/>
                </w:tcPr>
                <w:p>
                  <w:pPr>
                    <w:pStyle w:val="19"/>
                    <w:adjustRightInd w:val="0"/>
                    <w:snapToGrid w:val="0"/>
                    <w:rPr>
                      <w:sz w:val="18"/>
                      <w:szCs w:val="18"/>
                    </w:rPr>
                  </w:pPr>
                  <w:r>
                    <w:rPr>
                      <w:sz w:val="18"/>
                      <w:szCs w:val="18"/>
                    </w:rPr>
                    <w:t>Ⅲ</w:t>
                  </w:r>
                </w:p>
              </w:tc>
              <w:tc>
                <w:tcPr>
                  <w:tcW w:w="753" w:type="pct"/>
                  <w:vAlign w:val="center"/>
                </w:tcPr>
                <w:p>
                  <w:pPr>
                    <w:pStyle w:val="19"/>
                    <w:adjustRightInd w:val="0"/>
                    <w:snapToGrid w:val="0"/>
                    <w:rPr>
                      <w:sz w:val="18"/>
                      <w:szCs w:val="18"/>
                    </w:rPr>
                  </w:pPr>
                  <w:r>
                    <w:rPr>
                      <w:sz w:val="18"/>
                      <w:szCs w:val="18"/>
                    </w:rPr>
                    <w:t>Ⅱ</w:t>
                  </w:r>
                </w:p>
              </w:tc>
              <w:tc>
                <w:tcPr>
                  <w:tcW w:w="462" w:type="pct"/>
                  <w:vAlign w:val="center"/>
                </w:tcPr>
                <w:p>
                  <w:pPr>
                    <w:adjustRightInd w:val="0"/>
                    <w:snapToGrid w:val="0"/>
                    <w:jc w:val="center"/>
                    <w:rPr>
                      <w:sz w:val="18"/>
                      <w:szCs w:val="18"/>
                    </w:rPr>
                  </w:pPr>
                  <w:r>
                    <w:rPr>
                      <w:sz w:val="18"/>
                      <w:szCs w:val="18"/>
                    </w:rPr>
                    <w:t>→</w:t>
                  </w:r>
                </w:p>
              </w:tc>
              <w:tc>
                <w:tcPr>
                  <w:tcW w:w="462" w:type="pct"/>
                  <w:vAlign w:val="center"/>
                </w:tcPr>
                <w:p>
                  <w:pPr>
                    <w:adjustRightInd w:val="0"/>
                    <w:snapToGrid w:val="0"/>
                    <w:jc w:val="center"/>
                    <w:rPr>
                      <w:sz w:val="18"/>
                      <w:szCs w:val="18"/>
                    </w:rPr>
                  </w:pPr>
                  <w:r>
                    <w:rPr>
                      <w:sz w:val="18"/>
                      <w:szCs w:val="18"/>
                    </w:rPr>
                    <w:t>↓</w:t>
                  </w:r>
                </w:p>
              </w:tc>
            </w:tr>
          </w:tbl>
          <w:p>
            <w:pPr>
              <w:pStyle w:val="3"/>
              <w:adjustRightInd w:val="0"/>
              <w:snapToGrid w:val="0"/>
              <w:spacing w:line="360" w:lineRule="auto"/>
              <w:rPr>
                <w:rFonts w:ascii="Times New Roman" w:hAnsi="Times New Roman" w:cs="Times New Roman"/>
                <w:lang w:val="en-US"/>
              </w:rPr>
            </w:pPr>
            <w:r>
              <w:rPr>
                <w:rFonts w:ascii="Times New Roman" w:hAnsi="Times New Roman" w:cs="Times New Roman"/>
                <w:sz w:val="21"/>
                <w:lang w:val="en-US"/>
              </w:rPr>
              <w:t>注：“→”水质类别没有变化，“↓”水质有所下降。</w:t>
            </w:r>
          </w:p>
          <w:p>
            <w:pPr>
              <w:adjustRightInd w:val="0"/>
              <w:snapToGrid w:val="0"/>
              <w:spacing w:line="360" w:lineRule="auto"/>
              <w:ind w:firstLine="420" w:firstLineChars="200"/>
              <w:rPr>
                <w:kern w:val="0"/>
              </w:rPr>
            </w:pPr>
            <w:r>
              <w:rPr>
                <w:kern w:val="0"/>
              </w:rPr>
              <w:t>三、声环境质量现状</w:t>
            </w:r>
          </w:p>
          <w:p>
            <w:pPr>
              <w:adjustRightInd w:val="0"/>
              <w:snapToGrid w:val="0"/>
              <w:spacing w:line="360" w:lineRule="auto"/>
              <w:ind w:firstLine="420" w:firstLineChars="200"/>
              <w:rPr>
                <w:kern w:val="0"/>
              </w:rPr>
            </w:pPr>
            <w:r>
              <w:rPr>
                <w:kern w:val="0"/>
              </w:rPr>
              <w:t>（1）监测点位布设</w:t>
            </w:r>
          </w:p>
          <w:p>
            <w:pPr>
              <w:adjustRightInd w:val="0"/>
              <w:snapToGrid w:val="0"/>
              <w:spacing w:line="360" w:lineRule="auto"/>
              <w:ind w:firstLine="420" w:firstLineChars="200"/>
              <w:rPr>
                <w:kern w:val="0"/>
              </w:rPr>
            </w:pPr>
            <w:r>
              <w:rPr>
                <w:kern w:val="0"/>
              </w:rPr>
              <w:t>根据项目所在地周围环境现状，本次噪声监测在厂界四周分别布设1处监测点，具体位置详见下表及附图6。</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表3-6  声环境监测点位布设一览表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08"/>
              <w:gridCol w:w="3457"/>
              <w:gridCol w:w="38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7" w:type="pct"/>
                  <w:vAlign w:val="center"/>
                </w:tcPr>
                <w:p>
                  <w:pPr>
                    <w:adjustRightInd w:val="0"/>
                    <w:snapToGrid w:val="0"/>
                    <w:jc w:val="center"/>
                    <w:rPr>
                      <w:sz w:val="18"/>
                      <w:szCs w:val="18"/>
                    </w:rPr>
                  </w:pPr>
                  <w:r>
                    <w:rPr>
                      <w:sz w:val="18"/>
                      <w:szCs w:val="18"/>
                    </w:rPr>
                    <w:t>编号</w:t>
                  </w:r>
                </w:p>
              </w:tc>
              <w:tc>
                <w:tcPr>
                  <w:tcW w:w="2081" w:type="pct"/>
                  <w:vAlign w:val="center"/>
                </w:tcPr>
                <w:p>
                  <w:pPr>
                    <w:adjustRightInd w:val="0"/>
                    <w:snapToGrid w:val="0"/>
                    <w:jc w:val="center"/>
                    <w:rPr>
                      <w:sz w:val="18"/>
                      <w:szCs w:val="18"/>
                    </w:rPr>
                  </w:pPr>
                  <w:r>
                    <w:rPr>
                      <w:sz w:val="18"/>
                      <w:szCs w:val="18"/>
                    </w:rPr>
                    <w:t>监测位置描述</w:t>
                  </w:r>
                </w:p>
              </w:tc>
              <w:tc>
                <w:tcPr>
                  <w:tcW w:w="2312" w:type="pct"/>
                  <w:vAlign w:val="center"/>
                </w:tcPr>
                <w:p>
                  <w:pPr>
                    <w:adjustRightInd w:val="0"/>
                    <w:snapToGrid w:val="0"/>
                    <w:jc w:val="center"/>
                    <w:rPr>
                      <w:sz w:val="18"/>
                      <w:szCs w:val="18"/>
                    </w:rPr>
                  </w:pPr>
                  <w:r>
                    <w:rPr>
                      <w:sz w:val="18"/>
                      <w:szCs w:val="18"/>
                    </w:rPr>
                    <w:t>布点目的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7" w:type="pct"/>
                  <w:vAlign w:val="center"/>
                </w:tcPr>
                <w:p>
                  <w:pPr>
                    <w:adjustRightInd w:val="0"/>
                    <w:snapToGrid w:val="0"/>
                    <w:jc w:val="center"/>
                    <w:rPr>
                      <w:sz w:val="18"/>
                      <w:szCs w:val="18"/>
                    </w:rPr>
                  </w:pPr>
                  <w:r>
                    <w:rPr>
                      <w:sz w:val="18"/>
                      <w:szCs w:val="18"/>
                    </w:rPr>
                    <w:t>N1</w:t>
                  </w:r>
                </w:p>
              </w:tc>
              <w:tc>
                <w:tcPr>
                  <w:tcW w:w="2081" w:type="pct"/>
                  <w:vAlign w:val="center"/>
                </w:tcPr>
                <w:p>
                  <w:pPr>
                    <w:adjustRightInd w:val="0"/>
                    <w:snapToGrid w:val="0"/>
                    <w:jc w:val="center"/>
                    <w:rPr>
                      <w:sz w:val="18"/>
                      <w:szCs w:val="18"/>
                    </w:rPr>
                  </w:pPr>
                  <w:r>
                    <w:rPr>
                      <w:sz w:val="18"/>
                      <w:szCs w:val="18"/>
                    </w:rPr>
                    <w:t>项目东侧厂界外1m处</w:t>
                  </w:r>
                </w:p>
              </w:tc>
              <w:tc>
                <w:tcPr>
                  <w:tcW w:w="2312" w:type="pct"/>
                  <w:vMerge w:val="restart"/>
                  <w:vAlign w:val="center"/>
                </w:tcPr>
                <w:p>
                  <w:pPr>
                    <w:adjustRightInd w:val="0"/>
                    <w:snapToGrid w:val="0"/>
                    <w:jc w:val="center"/>
                    <w:rPr>
                      <w:sz w:val="18"/>
                      <w:szCs w:val="18"/>
                    </w:rPr>
                  </w:pPr>
                  <w:r>
                    <w:rPr>
                      <w:sz w:val="18"/>
                      <w:szCs w:val="18"/>
                    </w:rPr>
                    <w:t>了解项目周围声环境现状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7" w:type="pct"/>
                  <w:vAlign w:val="center"/>
                </w:tcPr>
                <w:p>
                  <w:pPr>
                    <w:adjustRightInd w:val="0"/>
                    <w:snapToGrid w:val="0"/>
                    <w:jc w:val="center"/>
                    <w:rPr>
                      <w:sz w:val="18"/>
                      <w:szCs w:val="18"/>
                    </w:rPr>
                  </w:pPr>
                  <w:r>
                    <w:rPr>
                      <w:sz w:val="18"/>
                      <w:szCs w:val="18"/>
                    </w:rPr>
                    <w:t>N2</w:t>
                  </w:r>
                </w:p>
              </w:tc>
              <w:tc>
                <w:tcPr>
                  <w:tcW w:w="2081" w:type="pct"/>
                  <w:vAlign w:val="center"/>
                </w:tcPr>
                <w:p>
                  <w:pPr>
                    <w:adjustRightInd w:val="0"/>
                    <w:snapToGrid w:val="0"/>
                    <w:jc w:val="center"/>
                    <w:rPr>
                      <w:sz w:val="18"/>
                      <w:szCs w:val="18"/>
                    </w:rPr>
                  </w:pPr>
                  <w:r>
                    <w:rPr>
                      <w:sz w:val="18"/>
                      <w:szCs w:val="18"/>
                    </w:rPr>
                    <w:t>项目南侧厂界外1m处</w:t>
                  </w:r>
                </w:p>
              </w:tc>
              <w:tc>
                <w:tcPr>
                  <w:tcW w:w="2312" w:type="pct"/>
                  <w:vMerge w:val="continue"/>
                  <w:vAlign w:val="center"/>
                </w:tcPr>
                <w:p>
                  <w:pPr>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7" w:type="pct"/>
                  <w:vAlign w:val="center"/>
                </w:tcPr>
                <w:p>
                  <w:pPr>
                    <w:adjustRightInd w:val="0"/>
                    <w:snapToGrid w:val="0"/>
                    <w:jc w:val="center"/>
                    <w:rPr>
                      <w:sz w:val="18"/>
                      <w:szCs w:val="18"/>
                    </w:rPr>
                  </w:pPr>
                  <w:r>
                    <w:rPr>
                      <w:sz w:val="18"/>
                      <w:szCs w:val="18"/>
                    </w:rPr>
                    <w:t>N3</w:t>
                  </w:r>
                </w:p>
              </w:tc>
              <w:tc>
                <w:tcPr>
                  <w:tcW w:w="2081" w:type="pct"/>
                  <w:vAlign w:val="center"/>
                </w:tcPr>
                <w:p>
                  <w:pPr>
                    <w:adjustRightInd w:val="0"/>
                    <w:snapToGrid w:val="0"/>
                    <w:jc w:val="center"/>
                    <w:rPr>
                      <w:sz w:val="18"/>
                      <w:szCs w:val="18"/>
                    </w:rPr>
                  </w:pPr>
                  <w:r>
                    <w:rPr>
                      <w:sz w:val="18"/>
                      <w:szCs w:val="18"/>
                    </w:rPr>
                    <w:t>项目西侧厂界外1m处</w:t>
                  </w:r>
                </w:p>
              </w:tc>
              <w:tc>
                <w:tcPr>
                  <w:tcW w:w="2312" w:type="pct"/>
                  <w:vMerge w:val="continue"/>
                  <w:vAlign w:val="center"/>
                </w:tcPr>
                <w:p>
                  <w:pPr>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07" w:type="pct"/>
                  <w:vAlign w:val="center"/>
                </w:tcPr>
                <w:p>
                  <w:pPr>
                    <w:adjustRightInd w:val="0"/>
                    <w:snapToGrid w:val="0"/>
                    <w:jc w:val="center"/>
                    <w:rPr>
                      <w:sz w:val="18"/>
                      <w:szCs w:val="18"/>
                    </w:rPr>
                  </w:pPr>
                  <w:r>
                    <w:rPr>
                      <w:sz w:val="18"/>
                      <w:szCs w:val="18"/>
                    </w:rPr>
                    <w:t>N4</w:t>
                  </w:r>
                </w:p>
              </w:tc>
              <w:tc>
                <w:tcPr>
                  <w:tcW w:w="2081" w:type="pct"/>
                  <w:vAlign w:val="center"/>
                </w:tcPr>
                <w:p>
                  <w:pPr>
                    <w:adjustRightInd w:val="0"/>
                    <w:snapToGrid w:val="0"/>
                    <w:jc w:val="center"/>
                    <w:rPr>
                      <w:sz w:val="18"/>
                      <w:szCs w:val="18"/>
                    </w:rPr>
                  </w:pPr>
                  <w:r>
                    <w:rPr>
                      <w:sz w:val="18"/>
                      <w:szCs w:val="18"/>
                    </w:rPr>
                    <w:t>项目北侧厂界外1m处</w:t>
                  </w:r>
                </w:p>
              </w:tc>
              <w:tc>
                <w:tcPr>
                  <w:tcW w:w="2312" w:type="pct"/>
                  <w:vMerge w:val="continue"/>
                  <w:vAlign w:val="center"/>
                </w:tcPr>
                <w:p>
                  <w:pPr>
                    <w:adjustRightInd w:val="0"/>
                    <w:snapToGrid w:val="0"/>
                    <w:jc w:val="center"/>
                    <w:rPr>
                      <w:sz w:val="18"/>
                      <w:szCs w:val="18"/>
                    </w:rPr>
                  </w:pPr>
                </w:p>
              </w:tc>
            </w:tr>
          </w:tbl>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（2）监测单位及监测时间</w:t>
            </w:r>
          </w:p>
          <w:p>
            <w:pPr>
              <w:adjustRightInd w:val="0"/>
              <w:snapToGrid w:val="0"/>
              <w:spacing w:line="360" w:lineRule="auto"/>
              <w:ind w:firstLine="420" w:firstLineChars="200"/>
              <w:rPr>
                <w:kern w:val="0"/>
              </w:rPr>
            </w:pPr>
            <w:r>
              <w:rPr>
                <w:kern w:val="0"/>
              </w:rPr>
              <w:t>吉林省赢帮环境检测有限公司于2021年5月16日</w:t>
            </w:r>
            <w:r>
              <w:rPr>
                <w:rFonts w:hint="eastAsia"/>
                <w:kern w:val="0"/>
              </w:rPr>
              <w:t>-</w:t>
            </w:r>
            <w:r>
              <w:rPr>
                <w:kern w:val="0"/>
              </w:rPr>
              <w:t>17</w:t>
            </w:r>
            <w:r>
              <w:rPr>
                <w:rFonts w:hint="eastAsia"/>
                <w:kern w:val="0"/>
              </w:rPr>
              <w:t>日</w:t>
            </w:r>
            <w:r>
              <w:rPr>
                <w:kern w:val="0"/>
              </w:rPr>
              <w:t>进行监测。</w:t>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（3）监测结果统计</w:t>
            </w:r>
          </w:p>
          <w:p>
            <w:pPr>
              <w:pStyle w:val="3"/>
              <w:adjustRightInd w:val="0"/>
              <w:snapToGrid w:val="0"/>
              <w:spacing w:line="360" w:lineRule="auto"/>
              <w:ind w:firstLine="420" w:firstLineChars="200"/>
              <w:rPr>
                <w:rFonts w:ascii="Times New Roman" w:hAnsi="Times New Roman" w:cs="Times New Roman"/>
                <w:sz w:val="21"/>
                <w:lang w:val="en-US"/>
              </w:rPr>
            </w:pPr>
            <w:r>
              <w:rPr>
                <w:rFonts w:ascii="Times New Roman" w:hAnsi="Times New Roman" w:cs="Times New Roman"/>
                <w:sz w:val="21"/>
                <w:lang w:val="en-US"/>
              </w:rPr>
              <w:t>项目厂界噪声监测统计结果详见表3-7。</w:t>
            </w:r>
          </w:p>
          <w:p>
            <w:pPr>
              <w:pStyle w:val="3"/>
              <w:adjustRightInd w:val="0"/>
              <w:snapToGrid w:val="0"/>
              <w:spacing w:line="360" w:lineRule="auto"/>
              <w:jc w:val="center"/>
              <w:rPr>
                <w:rFonts w:ascii="Times New Roman" w:hAnsi="Times New Roman" w:cs="Times New Roman"/>
                <w:sz w:val="21"/>
                <w:lang w:val="en-US"/>
              </w:rPr>
            </w:pPr>
            <w:r>
              <w:rPr>
                <w:rFonts w:ascii="Times New Roman" w:hAnsi="Times New Roman" w:cs="Times New Roman"/>
                <w:sz w:val="21"/>
                <w:lang w:val="en-US"/>
              </w:rPr>
              <w:t>表3-7  噪声监测结果统计表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605"/>
              <w:gridCol w:w="2075"/>
              <w:gridCol w:w="882"/>
              <w:gridCol w:w="884"/>
              <w:gridCol w:w="788"/>
              <w:gridCol w:w="789"/>
              <w:gridCol w:w="605"/>
              <w:gridCol w:w="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监测日期</w:t>
                  </w:r>
                </w:p>
              </w:tc>
              <w:tc>
                <w:tcPr>
                  <w:tcW w:w="364"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序号</w:t>
                  </w:r>
                </w:p>
              </w:tc>
              <w:tc>
                <w:tcPr>
                  <w:tcW w:w="1249" w:type="pct"/>
                  <w:vMerge w:val="restar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监测点名称</w:t>
                  </w:r>
                </w:p>
              </w:tc>
              <w:tc>
                <w:tcPr>
                  <w:tcW w:w="1063"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监测结果dB（A）</w:t>
                  </w:r>
                </w:p>
              </w:tc>
              <w:tc>
                <w:tcPr>
                  <w:tcW w:w="949"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标准值dB（A）</w:t>
                  </w:r>
                </w:p>
              </w:tc>
              <w:tc>
                <w:tcPr>
                  <w:tcW w:w="727" w:type="pct"/>
                  <w:gridSpan w:val="2"/>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pStyle w:val="20"/>
                    <w:adjustRightInd w:val="0"/>
                    <w:snapToGrid w:val="0"/>
                    <w:spacing w:line="240" w:lineRule="auto"/>
                    <w:rPr>
                      <w:rFonts w:ascii="Times New Roman" w:hAnsi="Times New Roman"/>
                      <w:sz w:val="18"/>
                      <w:szCs w:val="18"/>
                    </w:rPr>
                  </w:pPr>
                </w:p>
              </w:tc>
              <w:tc>
                <w:tcPr>
                  <w:tcW w:w="364" w:type="pct"/>
                  <w:vMerge w:val="continue"/>
                  <w:vAlign w:val="center"/>
                </w:tcPr>
                <w:p>
                  <w:pPr>
                    <w:pStyle w:val="20"/>
                    <w:adjustRightInd w:val="0"/>
                    <w:snapToGrid w:val="0"/>
                    <w:spacing w:line="240" w:lineRule="auto"/>
                    <w:rPr>
                      <w:rFonts w:ascii="Times New Roman" w:hAnsi="Times New Roman"/>
                      <w:sz w:val="18"/>
                      <w:szCs w:val="18"/>
                    </w:rPr>
                  </w:pPr>
                </w:p>
              </w:tc>
              <w:tc>
                <w:tcPr>
                  <w:tcW w:w="1249" w:type="pct"/>
                  <w:vMerge w:val="continue"/>
                  <w:vAlign w:val="center"/>
                </w:tcPr>
                <w:p>
                  <w:pPr>
                    <w:pStyle w:val="20"/>
                    <w:adjustRightInd w:val="0"/>
                    <w:snapToGrid w:val="0"/>
                    <w:spacing w:line="240" w:lineRule="auto"/>
                    <w:rPr>
                      <w:rFonts w:ascii="Times New Roman" w:hAnsi="Times New Roman"/>
                      <w:sz w:val="18"/>
                      <w:szCs w:val="18"/>
                    </w:rPr>
                  </w:pPr>
                </w:p>
              </w:tc>
              <w:tc>
                <w:tcPr>
                  <w:tcW w:w="531"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532"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昼间</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adjustRightInd w:val="0"/>
                    <w:snapToGrid w:val="0"/>
                    <w:jc w:val="center"/>
                    <w:rPr>
                      <w:sz w:val="18"/>
                      <w:szCs w:val="18"/>
                    </w:rPr>
                  </w:pPr>
                  <w:r>
                    <w:rPr>
                      <w:sz w:val="18"/>
                      <w:szCs w:val="18"/>
                    </w:rPr>
                    <w:t>2021.05.16</w:t>
                  </w:r>
                </w:p>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N1</w:t>
                  </w:r>
                </w:p>
              </w:tc>
              <w:tc>
                <w:tcPr>
                  <w:tcW w:w="1249" w:type="pct"/>
                  <w:vAlign w:val="center"/>
                </w:tcPr>
                <w:p>
                  <w:pPr>
                    <w:adjustRightInd w:val="0"/>
                    <w:snapToGrid w:val="0"/>
                    <w:jc w:val="center"/>
                    <w:rPr>
                      <w:sz w:val="18"/>
                      <w:szCs w:val="18"/>
                    </w:rPr>
                  </w:pPr>
                  <w:r>
                    <w:rPr>
                      <w:sz w:val="18"/>
                      <w:szCs w:val="18"/>
                    </w:rPr>
                    <w:t>项目东侧厂界外1m处</w:t>
                  </w:r>
                </w:p>
              </w:tc>
              <w:tc>
                <w:tcPr>
                  <w:tcW w:w="531" w:type="pct"/>
                  <w:vAlign w:val="center"/>
                </w:tcPr>
                <w:p>
                  <w:pPr>
                    <w:adjustRightInd w:val="0"/>
                    <w:snapToGrid w:val="0"/>
                    <w:jc w:val="center"/>
                    <w:rPr>
                      <w:sz w:val="18"/>
                      <w:szCs w:val="18"/>
                    </w:rPr>
                  </w:pPr>
                  <w:r>
                    <w:rPr>
                      <w:sz w:val="18"/>
                      <w:szCs w:val="18"/>
                    </w:rPr>
                    <w:t>51</w:t>
                  </w:r>
                </w:p>
              </w:tc>
              <w:tc>
                <w:tcPr>
                  <w:tcW w:w="532" w:type="pct"/>
                  <w:vAlign w:val="center"/>
                </w:tcPr>
                <w:p>
                  <w:pPr>
                    <w:adjustRightInd w:val="0"/>
                    <w:snapToGrid w:val="0"/>
                    <w:jc w:val="center"/>
                    <w:rPr>
                      <w:sz w:val="18"/>
                      <w:szCs w:val="18"/>
                    </w:rPr>
                  </w:pPr>
                  <w:r>
                    <w:rPr>
                      <w:sz w:val="18"/>
                      <w:szCs w:val="18"/>
                    </w:rPr>
                    <w:t>40</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N2</w:t>
                  </w:r>
                </w:p>
              </w:tc>
              <w:tc>
                <w:tcPr>
                  <w:tcW w:w="1249" w:type="pct"/>
                  <w:vAlign w:val="center"/>
                </w:tcPr>
                <w:p>
                  <w:pPr>
                    <w:adjustRightInd w:val="0"/>
                    <w:snapToGrid w:val="0"/>
                    <w:jc w:val="center"/>
                    <w:rPr>
                      <w:sz w:val="18"/>
                      <w:szCs w:val="18"/>
                    </w:rPr>
                  </w:pPr>
                  <w:r>
                    <w:rPr>
                      <w:sz w:val="18"/>
                      <w:szCs w:val="18"/>
                    </w:rPr>
                    <w:t>项目南侧厂界外1m处</w:t>
                  </w:r>
                </w:p>
              </w:tc>
              <w:tc>
                <w:tcPr>
                  <w:tcW w:w="531" w:type="pct"/>
                  <w:vAlign w:val="center"/>
                </w:tcPr>
                <w:p>
                  <w:pPr>
                    <w:adjustRightInd w:val="0"/>
                    <w:snapToGrid w:val="0"/>
                    <w:jc w:val="center"/>
                    <w:rPr>
                      <w:sz w:val="18"/>
                      <w:szCs w:val="18"/>
                    </w:rPr>
                  </w:pPr>
                  <w:r>
                    <w:rPr>
                      <w:sz w:val="18"/>
                      <w:szCs w:val="18"/>
                    </w:rPr>
                    <w:t>54</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b/>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N3</w:t>
                  </w:r>
                </w:p>
              </w:tc>
              <w:tc>
                <w:tcPr>
                  <w:tcW w:w="1249" w:type="pct"/>
                  <w:vAlign w:val="center"/>
                </w:tcPr>
                <w:p>
                  <w:pPr>
                    <w:adjustRightInd w:val="0"/>
                    <w:snapToGrid w:val="0"/>
                    <w:jc w:val="center"/>
                    <w:rPr>
                      <w:sz w:val="18"/>
                      <w:szCs w:val="18"/>
                    </w:rPr>
                  </w:pPr>
                  <w:r>
                    <w:rPr>
                      <w:sz w:val="18"/>
                      <w:szCs w:val="18"/>
                    </w:rPr>
                    <w:t>项目西侧厂界外1m处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42</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N4</w:t>
                  </w:r>
                </w:p>
              </w:tc>
              <w:tc>
                <w:tcPr>
                  <w:tcW w:w="1249" w:type="pct"/>
                  <w:vAlign w:val="center"/>
                </w:tcPr>
                <w:p>
                  <w:pPr>
                    <w:adjustRightInd w:val="0"/>
                    <w:snapToGrid w:val="0"/>
                    <w:jc w:val="center"/>
                    <w:rPr>
                      <w:sz w:val="18"/>
                      <w:szCs w:val="18"/>
                    </w:rPr>
                  </w:pPr>
                  <w:r>
                    <w:rPr>
                      <w:sz w:val="18"/>
                      <w:szCs w:val="18"/>
                    </w:rPr>
                    <w:t>项目北侧厂界外1m处</w:t>
                  </w:r>
                </w:p>
              </w:tc>
              <w:tc>
                <w:tcPr>
                  <w:tcW w:w="531" w:type="pct"/>
                  <w:vAlign w:val="center"/>
                </w:tcPr>
                <w:p>
                  <w:pPr>
                    <w:adjustRightInd w:val="0"/>
                    <w:snapToGrid w:val="0"/>
                    <w:jc w:val="center"/>
                    <w:rPr>
                      <w:sz w:val="18"/>
                      <w:szCs w:val="18"/>
                    </w:rPr>
                  </w:pPr>
                  <w:r>
                    <w:rPr>
                      <w:sz w:val="18"/>
                      <w:szCs w:val="18"/>
                    </w:rPr>
                    <w:t>52</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restart"/>
                  <w:vAlign w:val="center"/>
                </w:tcPr>
                <w:p>
                  <w:pPr>
                    <w:adjustRightInd w:val="0"/>
                    <w:snapToGrid w:val="0"/>
                    <w:jc w:val="center"/>
                    <w:rPr>
                      <w:sz w:val="18"/>
                      <w:szCs w:val="18"/>
                    </w:rPr>
                  </w:pPr>
                  <w:r>
                    <w:rPr>
                      <w:sz w:val="18"/>
                      <w:szCs w:val="18"/>
                    </w:rPr>
                    <w:t>2021.05.17</w:t>
                  </w:r>
                </w:p>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N1</w:t>
                  </w:r>
                </w:p>
              </w:tc>
              <w:tc>
                <w:tcPr>
                  <w:tcW w:w="1249" w:type="pct"/>
                  <w:vAlign w:val="center"/>
                </w:tcPr>
                <w:p>
                  <w:pPr>
                    <w:adjustRightInd w:val="0"/>
                    <w:snapToGrid w:val="0"/>
                    <w:jc w:val="center"/>
                    <w:rPr>
                      <w:sz w:val="18"/>
                      <w:szCs w:val="18"/>
                    </w:rPr>
                  </w:pPr>
                  <w:r>
                    <w:rPr>
                      <w:sz w:val="18"/>
                      <w:szCs w:val="18"/>
                    </w:rPr>
                    <w:t>项目东侧厂界外1m处</w:t>
                  </w:r>
                </w:p>
              </w:tc>
              <w:tc>
                <w:tcPr>
                  <w:tcW w:w="531" w:type="pct"/>
                  <w:vAlign w:val="center"/>
                </w:tcPr>
                <w:p>
                  <w:pPr>
                    <w:adjustRightInd w:val="0"/>
                    <w:snapToGrid w:val="0"/>
                    <w:jc w:val="center"/>
                    <w:rPr>
                      <w:sz w:val="18"/>
                      <w:szCs w:val="18"/>
                    </w:rPr>
                  </w:pPr>
                  <w:r>
                    <w:rPr>
                      <w:sz w:val="18"/>
                      <w:szCs w:val="18"/>
                    </w:rPr>
                    <w:t>50</w:t>
                  </w:r>
                </w:p>
              </w:tc>
              <w:tc>
                <w:tcPr>
                  <w:tcW w:w="532" w:type="pct"/>
                  <w:vAlign w:val="center"/>
                </w:tcPr>
                <w:p>
                  <w:pPr>
                    <w:adjustRightInd w:val="0"/>
                    <w:snapToGrid w:val="0"/>
                    <w:jc w:val="center"/>
                    <w:rPr>
                      <w:sz w:val="18"/>
                      <w:szCs w:val="18"/>
                    </w:rPr>
                  </w:pPr>
                  <w:r>
                    <w:rPr>
                      <w:sz w:val="18"/>
                      <w:szCs w:val="18"/>
                    </w:rPr>
                    <w:t>41</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N2</w:t>
                  </w:r>
                </w:p>
              </w:tc>
              <w:tc>
                <w:tcPr>
                  <w:tcW w:w="1249" w:type="pct"/>
                  <w:vAlign w:val="center"/>
                </w:tcPr>
                <w:p>
                  <w:pPr>
                    <w:adjustRightInd w:val="0"/>
                    <w:snapToGrid w:val="0"/>
                    <w:jc w:val="center"/>
                    <w:rPr>
                      <w:sz w:val="18"/>
                      <w:szCs w:val="18"/>
                    </w:rPr>
                  </w:pPr>
                  <w:r>
                    <w:rPr>
                      <w:sz w:val="18"/>
                      <w:szCs w:val="18"/>
                    </w:rPr>
                    <w:t>项目南侧厂界外1m处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44</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N3</w:t>
                  </w:r>
                </w:p>
              </w:tc>
              <w:tc>
                <w:tcPr>
                  <w:tcW w:w="1249" w:type="pct"/>
                  <w:vAlign w:val="center"/>
                </w:tcPr>
                <w:p>
                  <w:pPr>
                    <w:adjustRightInd w:val="0"/>
                    <w:snapToGrid w:val="0"/>
                    <w:jc w:val="center"/>
                    <w:rPr>
                      <w:sz w:val="18"/>
                      <w:szCs w:val="18"/>
                    </w:rPr>
                  </w:pPr>
                  <w:r>
                    <w:rPr>
                      <w:sz w:val="18"/>
                      <w:szCs w:val="18"/>
                    </w:rPr>
                    <w:t>项目西侧厂界外1m处</w:t>
                  </w:r>
                </w:p>
              </w:tc>
              <w:tc>
                <w:tcPr>
                  <w:tcW w:w="531" w:type="pct"/>
                  <w:vAlign w:val="center"/>
                </w:tcPr>
                <w:p>
                  <w:pPr>
                    <w:adjustRightInd w:val="0"/>
                    <w:snapToGrid w:val="0"/>
                    <w:jc w:val="center"/>
                    <w:rPr>
                      <w:sz w:val="18"/>
                      <w:szCs w:val="18"/>
                    </w:rPr>
                  </w:pPr>
                  <w:r>
                    <w:rPr>
                      <w:sz w:val="18"/>
                      <w:szCs w:val="18"/>
                    </w:rPr>
                    <w:t>52</w:t>
                  </w:r>
                </w:p>
              </w:tc>
              <w:tc>
                <w:tcPr>
                  <w:tcW w:w="532" w:type="pct"/>
                  <w:vAlign w:val="center"/>
                </w:tcPr>
                <w:p>
                  <w:pPr>
                    <w:adjustRightInd w:val="0"/>
                    <w:snapToGrid w:val="0"/>
                    <w:jc w:val="center"/>
                    <w:rPr>
                      <w:sz w:val="18"/>
                      <w:szCs w:val="18"/>
                    </w:rPr>
                  </w:pPr>
                  <w:r>
                    <w:rPr>
                      <w:sz w:val="18"/>
                      <w:szCs w:val="18"/>
                    </w:rPr>
                    <w:t>43</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647" w:type="pct"/>
                  <w:vMerge w:val="continue"/>
                  <w:vAlign w:val="center"/>
                </w:tcPr>
                <w:p>
                  <w:pPr>
                    <w:adjustRightInd w:val="0"/>
                    <w:snapToGrid w:val="0"/>
                    <w:jc w:val="center"/>
                    <w:rPr>
                      <w:sz w:val="18"/>
                      <w:szCs w:val="18"/>
                    </w:rPr>
                  </w:pPr>
                </w:p>
              </w:tc>
              <w:tc>
                <w:tcPr>
                  <w:tcW w:w="364" w:type="pct"/>
                  <w:vAlign w:val="center"/>
                </w:tcPr>
                <w:p>
                  <w:pPr>
                    <w:adjustRightInd w:val="0"/>
                    <w:snapToGrid w:val="0"/>
                    <w:jc w:val="center"/>
                    <w:rPr>
                      <w:sz w:val="18"/>
                      <w:szCs w:val="18"/>
                    </w:rPr>
                  </w:pPr>
                  <w:r>
                    <w:rPr>
                      <w:sz w:val="18"/>
                      <w:szCs w:val="18"/>
                    </w:rPr>
                    <w:t>N4</w:t>
                  </w:r>
                </w:p>
              </w:tc>
              <w:tc>
                <w:tcPr>
                  <w:tcW w:w="1249" w:type="pct"/>
                  <w:vAlign w:val="center"/>
                </w:tcPr>
                <w:p>
                  <w:pPr>
                    <w:adjustRightInd w:val="0"/>
                    <w:snapToGrid w:val="0"/>
                    <w:jc w:val="center"/>
                    <w:rPr>
                      <w:sz w:val="18"/>
                      <w:szCs w:val="18"/>
                    </w:rPr>
                  </w:pPr>
                  <w:r>
                    <w:rPr>
                      <w:sz w:val="18"/>
                      <w:szCs w:val="18"/>
                    </w:rPr>
                    <w:t>项目北侧厂界外1m处</w:t>
                  </w:r>
                </w:p>
              </w:tc>
              <w:tc>
                <w:tcPr>
                  <w:tcW w:w="531" w:type="pct"/>
                  <w:vAlign w:val="center"/>
                </w:tcPr>
                <w:p>
                  <w:pPr>
                    <w:adjustRightInd w:val="0"/>
                    <w:snapToGrid w:val="0"/>
                    <w:jc w:val="center"/>
                    <w:rPr>
                      <w:sz w:val="18"/>
                      <w:szCs w:val="18"/>
                    </w:rPr>
                  </w:pPr>
                  <w:r>
                    <w:rPr>
                      <w:sz w:val="18"/>
                      <w:szCs w:val="18"/>
                    </w:rPr>
                    <w:t>53</w:t>
                  </w:r>
                </w:p>
              </w:tc>
              <w:tc>
                <w:tcPr>
                  <w:tcW w:w="532" w:type="pct"/>
                  <w:vAlign w:val="center"/>
                </w:tcPr>
                <w:p>
                  <w:pPr>
                    <w:adjustRightInd w:val="0"/>
                    <w:snapToGrid w:val="0"/>
                    <w:jc w:val="center"/>
                    <w:rPr>
                      <w:sz w:val="18"/>
                      <w:szCs w:val="18"/>
                    </w:rPr>
                  </w:pPr>
                  <w:r>
                    <w:rPr>
                      <w:sz w:val="18"/>
                      <w:szCs w:val="18"/>
                    </w:rPr>
                    <w:t>42</w:t>
                  </w:r>
                </w:p>
              </w:tc>
              <w:tc>
                <w:tcPr>
                  <w:tcW w:w="47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55</w:t>
                  </w:r>
                </w:p>
              </w:tc>
              <w:tc>
                <w:tcPr>
                  <w:tcW w:w="475"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45</w:t>
                  </w:r>
                </w:p>
              </w:tc>
              <w:tc>
                <w:tcPr>
                  <w:tcW w:w="364"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c>
                <w:tcPr>
                  <w:tcW w:w="363" w:type="pct"/>
                  <w:vAlign w:val="center"/>
                </w:tcPr>
                <w:p>
                  <w:pPr>
                    <w:pStyle w:val="20"/>
                    <w:adjustRightInd w:val="0"/>
                    <w:snapToGrid w:val="0"/>
                    <w:spacing w:line="240" w:lineRule="auto"/>
                    <w:rPr>
                      <w:rFonts w:ascii="Times New Roman" w:hAnsi="Times New Roman"/>
                      <w:sz w:val="18"/>
                      <w:szCs w:val="18"/>
                    </w:rPr>
                  </w:pPr>
                  <w:r>
                    <w:rPr>
                      <w:rFonts w:ascii="Times New Roman" w:hAnsi="Times New Roman"/>
                      <w:sz w:val="18"/>
                      <w:szCs w:val="18"/>
                    </w:rPr>
                    <w:t>达标</w:t>
                  </w:r>
                </w:p>
              </w:tc>
            </w:tr>
          </w:tbl>
          <w:p>
            <w:pPr>
              <w:pStyle w:val="3"/>
              <w:adjustRightInd w:val="0"/>
              <w:snapToGrid w:val="0"/>
              <w:spacing w:line="360" w:lineRule="auto"/>
              <w:ind w:firstLine="420" w:firstLineChars="200"/>
              <w:rPr>
                <w:rFonts w:ascii="Times New Roman" w:hAnsi="Times New Roman" w:cs="Times New Roman"/>
                <w:color w:val="0000FF"/>
                <w:sz w:val="21"/>
                <w:lang w:val="en-US"/>
              </w:rPr>
            </w:pPr>
            <w:r>
              <w:rPr>
                <w:rFonts w:ascii="Times New Roman" w:hAnsi="Times New Roman" w:cs="Times New Roman"/>
                <w:sz w:val="21"/>
                <w:lang w:val="en-US"/>
              </w:rPr>
              <w:t>项目所在地位于1类声环境功能区内，按《声环境质量标准》（GB3096-2008）中1类标准衡量，由表中监测数据可知，本次监测噪声值均符合标准要求，声环境质量较好。</w:t>
            </w:r>
          </w:p>
          <w:p>
            <w:pPr>
              <w:adjustRightInd w:val="0"/>
              <w:snapToGrid w:val="0"/>
              <w:spacing w:line="360" w:lineRule="auto"/>
              <w:ind w:firstLine="420" w:firstLineChars="200"/>
              <w:rPr>
                <w:kern w:val="0"/>
              </w:rPr>
            </w:pPr>
            <w:r>
              <w:rPr>
                <w:kern w:val="0"/>
              </w:rPr>
              <w:t>四、地下水环境质量现状</w:t>
            </w:r>
          </w:p>
          <w:p>
            <w:pPr>
              <w:adjustRightInd w:val="0"/>
              <w:snapToGrid w:val="0"/>
              <w:spacing w:line="360" w:lineRule="auto"/>
              <w:ind w:firstLine="420" w:firstLineChars="200"/>
              <w:rPr>
                <w:kern w:val="0"/>
              </w:rPr>
            </w:pPr>
            <w:r>
              <w:rPr>
                <w:kern w:val="0"/>
              </w:rPr>
              <w:t>根据《环境影响评价技术导则 地下水环境》（HJ610-2016）规定，依据建设项目行业分类本项目属于“J 非金属矿采选及制品制造——69、石墨及其他非金属矿物制品——其他”，为Ⅳ类建设项目，根据导则要求Ⅳ类建设项目不开展地下水环境影响评价。</w:t>
            </w:r>
          </w:p>
          <w:p>
            <w:pPr>
              <w:adjustRightInd w:val="0"/>
              <w:snapToGrid w:val="0"/>
              <w:spacing w:line="360" w:lineRule="auto"/>
              <w:ind w:firstLine="420" w:firstLineChars="200"/>
              <w:rPr>
                <w:kern w:val="0"/>
              </w:rPr>
            </w:pPr>
            <w:r>
              <w:rPr>
                <w:kern w:val="0"/>
              </w:rPr>
              <w:t>五、土壤环境质量现状</w:t>
            </w:r>
          </w:p>
          <w:p>
            <w:pPr>
              <w:adjustRightInd w:val="0"/>
              <w:snapToGrid w:val="0"/>
              <w:spacing w:line="360" w:lineRule="auto"/>
              <w:ind w:firstLine="420" w:firstLineChars="200"/>
              <w:rPr>
                <w:kern w:val="0"/>
              </w:rPr>
            </w:pPr>
            <w:r>
              <w:rPr>
                <w:kern w:val="0"/>
              </w:rPr>
              <w:t>根据《环境影响评价技术导则 土壤环境（试行）》（HJ964-2018）规定，依据土壤环境影响评价项目类别，本项目属于 “制造业—金属冶炼和压延加工及非金属矿物制品—其他”，为Ⅲ类建设项目，工程占地1.4 hm</w:t>
            </w:r>
            <w:r>
              <w:rPr>
                <w:kern w:val="0"/>
                <w:vertAlign w:val="superscript"/>
              </w:rPr>
              <w:t>2</w:t>
            </w:r>
            <w:r>
              <w:rPr>
                <w:kern w:val="0"/>
              </w:rPr>
              <w:t>，为小型规模，因项目周边存在居住区，土壤环境敏感程度为敏感，根据导则要求土壤环境影响评价等级为三级。</w:t>
            </w:r>
          </w:p>
          <w:p>
            <w:pPr>
              <w:adjustRightInd w:val="0"/>
              <w:snapToGrid w:val="0"/>
              <w:spacing w:line="360" w:lineRule="auto"/>
              <w:ind w:firstLine="420" w:firstLineChars="200"/>
              <w:rPr>
                <w:kern w:val="0"/>
              </w:rPr>
            </w:pPr>
            <w:r>
              <w:rPr>
                <w:kern w:val="0"/>
              </w:rPr>
              <w:t>Ⅰ.现状监测</w:t>
            </w:r>
          </w:p>
          <w:p>
            <w:pPr>
              <w:adjustRightInd w:val="0"/>
              <w:snapToGrid w:val="0"/>
              <w:spacing w:line="360" w:lineRule="auto"/>
              <w:ind w:firstLine="420" w:firstLineChars="200"/>
              <w:rPr>
                <w:kern w:val="0"/>
              </w:rPr>
            </w:pPr>
            <w:r>
              <w:rPr>
                <w:kern w:val="0"/>
              </w:rPr>
              <w:t>1、采样点及监测项目布设</w:t>
            </w:r>
          </w:p>
          <w:p>
            <w:pPr>
              <w:adjustRightInd w:val="0"/>
              <w:snapToGrid w:val="0"/>
              <w:spacing w:line="360" w:lineRule="auto"/>
              <w:ind w:firstLine="420" w:firstLineChars="200"/>
              <w:rPr>
                <w:kern w:val="0"/>
              </w:rPr>
            </w:pPr>
            <w:r>
              <w:rPr>
                <w:kern w:val="0"/>
              </w:rPr>
              <w:t>土壤采样点布设详见下表及附图6。</w:t>
            </w:r>
          </w:p>
          <w:p>
            <w:pPr>
              <w:tabs>
                <w:tab w:val="left" w:pos="397"/>
              </w:tabs>
              <w:adjustRightInd w:val="0"/>
              <w:snapToGrid w:val="0"/>
              <w:spacing w:line="360" w:lineRule="auto"/>
              <w:jc w:val="center"/>
              <w:rPr>
                <w:bCs/>
                <w:lang w:val="zh-CN"/>
              </w:rPr>
            </w:pPr>
            <w:r>
              <w:rPr>
                <w:bCs/>
                <w:lang w:val="zh-CN"/>
              </w:rPr>
              <w:t>表</w:t>
            </w:r>
            <w:r>
              <w:rPr>
                <w:bCs/>
              </w:rPr>
              <w:t xml:space="preserve">3-8  </w:t>
            </w:r>
            <w:r>
              <w:rPr>
                <w:bCs/>
                <w:lang w:val="zh-CN"/>
              </w:rPr>
              <w:t>土壤监测点布设情况</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433"/>
              <w:gridCol w:w="844"/>
              <w:gridCol w:w="932"/>
              <w:gridCol w:w="5611"/>
              <w:gridCol w:w="475"/>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61" w:type="pct"/>
                  <w:tcBorders>
                    <w:top w:val="single" w:color="auto" w:sz="12" w:space="0"/>
                    <w:left w:val="nil"/>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序号</w:t>
                  </w:r>
                </w:p>
              </w:tc>
              <w:tc>
                <w:tcPr>
                  <w:tcW w:w="509" w:type="pct"/>
                  <w:tcBorders>
                    <w:top w:val="single" w:color="auto" w:sz="12"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监测点</w:t>
                  </w:r>
                </w:p>
              </w:tc>
              <w:tc>
                <w:tcPr>
                  <w:tcW w:w="562" w:type="pct"/>
                  <w:tcBorders>
                    <w:top w:val="single" w:color="auto" w:sz="12" w:space="0"/>
                    <w:bottom w:val="single" w:color="auto" w:sz="2" w:space="0"/>
                    <w:right w:val="single" w:color="auto" w:sz="4" w:space="0"/>
                  </w:tcBorders>
                  <w:vAlign w:val="center"/>
                </w:tcPr>
                <w:p>
                  <w:pPr>
                    <w:widowControl/>
                    <w:adjustRightInd w:val="0"/>
                    <w:snapToGrid w:val="0"/>
                    <w:jc w:val="center"/>
                    <w:rPr>
                      <w:bCs/>
                      <w:color w:val="000000"/>
                      <w:kern w:val="0"/>
                      <w:sz w:val="18"/>
                      <w:szCs w:val="18"/>
                    </w:rPr>
                  </w:pPr>
                  <w:r>
                    <w:rPr>
                      <w:bCs/>
                      <w:color w:val="000000"/>
                      <w:kern w:val="0"/>
                      <w:sz w:val="18"/>
                      <w:szCs w:val="18"/>
                    </w:rPr>
                    <w:t>采样点</w:t>
                  </w:r>
                </w:p>
              </w:tc>
              <w:tc>
                <w:tcPr>
                  <w:tcW w:w="3382" w:type="pct"/>
                  <w:tcBorders>
                    <w:top w:val="single" w:color="auto" w:sz="12" w:space="0"/>
                    <w:left w:val="single" w:color="auto" w:sz="4"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监测因子</w:t>
                  </w:r>
                </w:p>
              </w:tc>
              <w:tc>
                <w:tcPr>
                  <w:tcW w:w="287" w:type="pct"/>
                  <w:tcBorders>
                    <w:top w:val="single" w:color="auto" w:sz="12" w:space="0"/>
                    <w:left w:val="single" w:color="auto" w:sz="4" w:space="0"/>
                    <w:bottom w:val="single" w:color="auto" w:sz="2" w:space="0"/>
                    <w:right w:val="nil"/>
                  </w:tcBorders>
                  <w:vAlign w:val="center"/>
                </w:tcPr>
                <w:p>
                  <w:pPr>
                    <w:widowControl/>
                    <w:adjustRightInd w:val="0"/>
                    <w:snapToGrid w:val="0"/>
                    <w:jc w:val="center"/>
                    <w:rPr>
                      <w:bCs/>
                      <w:color w:val="000000"/>
                      <w:kern w:val="0"/>
                      <w:sz w:val="18"/>
                      <w:szCs w:val="18"/>
                    </w:rPr>
                  </w:pPr>
                  <w:r>
                    <w:rPr>
                      <w:bCs/>
                      <w:color w:val="000000"/>
                      <w:kern w:val="0"/>
                      <w:sz w:val="18"/>
                      <w:szCs w:val="18"/>
                    </w:rPr>
                    <w:t>土壤类型</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098" w:hRule="atLeast"/>
                <w:jc w:val="center"/>
              </w:trPr>
              <w:tc>
                <w:tcPr>
                  <w:tcW w:w="261" w:type="pct"/>
                  <w:tcBorders>
                    <w:top w:val="single" w:color="auto" w:sz="2" w:space="0"/>
                    <w:left w:val="nil"/>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S1</w:t>
                  </w:r>
                </w:p>
              </w:tc>
              <w:tc>
                <w:tcPr>
                  <w:tcW w:w="509" w:type="pct"/>
                  <w:tcBorders>
                    <w:top w:val="single" w:color="auto" w:sz="2"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厂区内东侧</w:t>
                  </w:r>
                </w:p>
              </w:tc>
              <w:tc>
                <w:tcPr>
                  <w:tcW w:w="562" w:type="pct"/>
                  <w:tcBorders>
                    <w:top w:val="single" w:color="auto" w:sz="2" w:space="0"/>
                    <w:bottom w:val="single" w:color="auto" w:sz="2" w:space="0"/>
                    <w:right w:val="single" w:color="auto" w:sz="4" w:space="0"/>
                  </w:tcBorders>
                  <w:vAlign w:val="center"/>
                </w:tcPr>
                <w:p>
                  <w:pPr>
                    <w:widowControl/>
                    <w:adjustRightInd w:val="0"/>
                    <w:snapToGrid w:val="0"/>
                    <w:jc w:val="center"/>
                    <w:rPr>
                      <w:bCs/>
                      <w:color w:val="000000"/>
                      <w:kern w:val="0"/>
                      <w:sz w:val="18"/>
                      <w:szCs w:val="18"/>
                    </w:rPr>
                  </w:pPr>
                  <w:r>
                    <w:rPr>
                      <w:bCs/>
                      <w:color w:val="000000"/>
                      <w:kern w:val="0"/>
                      <w:sz w:val="18"/>
                      <w:szCs w:val="18"/>
                    </w:rPr>
                    <w:t>表层样，在0-0.2m取样</w:t>
                  </w:r>
                </w:p>
              </w:tc>
              <w:tc>
                <w:tcPr>
                  <w:tcW w:w="3382" w:type="pct"/>
                  <w:tcBorders>
                    <w:top w:val="single" w:color="auto" w:sz="2" w:space="0"/>
                    <w:left w:val="single" w:color="auto" w:sz="4"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c>
                <w:tcPr>
                  <w:tcW w:w="287" w:type="pct"/>
                  <w:vMerge w:val="restart"/>
                  <w:tcBorders>
                    <w:top w:val="single" w:color="auto" w:sz="2" w:space="0"/>
                    <w:left w:val="single" w:color="auto" w:sz="4" w:space="0"/>
                    <w:bottom w:val="single" w:color="auto" w:sz="2" w:space="0"/>
                    <w:right w:val="nil"/>
                  </w:tcBorders>
                  <w:vAlign w:val="center"/>
                </w:tcPr>
                <w:p>
                  <w:pPr>
                    <w:widowControl/>
                    <w:adjustRightInd w:val="0"/>
                    <w:snapToGrid w:val="0"/>
                    <w:jc w:val="center"/>
                    <w:rPr>
                      <w:rFonts w:hint="eastAsia" w:eastAsia="宋体"/>
                      <w:bCs/>
                      <w:color w:val="000000"/>
                      <w:kern w:val="0"/>
                      <w:sz w:val="18"/>
                      <w:szCs w:val="18"/>
                      <w:lang w:eastAsia="zh-CN"/>
                    </w:rPr>
                  </w:pPr>
                  <w:r>
                    <w:rPr>
                      <w:rFonts w:hint="eastAsia"/>
                      <w:bCs/>
                      <w:color w:val="000000"/>
                      <w:kern w:val="0"/>
                      <w:sz w:val="18"/>
                      <w:szCs w:val="18"/>
                      <w:lang w:val="en-US" w:eastAsia="zh-CN"/>
                    </w:rPr>
                    <w:t>草甸土</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28" w:hRule="atLeast"/>
                <w:jc w:val="center"/>
              </w:trPr>
              <w:tc>
                <w:tcPr>
                  <w:tcW w:w="261" w:type="pct"/>
                  <w:tcBorders>
                    <w:top w:val="single" w:color="auto" w:sz="2" w:space="0"/>
                    <w:left w:val="nil"/>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S2</w:t>
                  </w:r>
                </w:p>
              </w:tc>
              <w:tc>
                <w:tcPr>
                  <w:tcW w:w="509" w:type="pct"/>
                  <w:tcBorders>
                    <w:top w:val="single" w:color="auto" w:sz="2"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厂区内西侧</w:t>
                  </w:r>
                </w:p>
              </w:tc>
              <w:tc>
                <w:tcPr>
                  <w:tcW w:w="562" w:type="pct"/>
                  <w:tcBorders>
                    <w:top w:val="single" w:color="auto" w:sz="2" w:space="0"/>
                    <w:bottom w:val="single" w:color="auto" w:sz="2" w:space="0"/>
                    <w:right w:val="single" w:color="auto" w:sz="4" w:space="0"/>
                  </w:tcBorders>
                  <w:vAlign w:val="center"/>
                </w:tcPr>
                <w:p>
                  <w:pPr>
                    <w:widowControl/>
                    <w:adjustRightInd w:val="0"/>
                    <w:snapToGrid w:val="0"/>
                    <w:jc w:val="center"/>
                    <w:rPr>
                      <w:bCs/>
                      <w:color w:val="000000"/>
                      <w:kern w:val="0"/>
                      <w:sz w:val="18"/>
                      <w:szCs w:val="18"/>
                    </w:rPr>
                  </w:pPr>
                  <w:r>
                    <w:rPr>
                      <w:bCs/>
                      <w:color w:val="000000"/>
                      <w:kern w:val="0"/>
                      <w:sz w:val="18"/>
                      <w:szCs w:val="18"/>
                    </w:rPr>
                    <w:t>表层样，在0-0.2m取样</w:t>
                  </w:r>
                </w:p>
              </w:tc>
              <w:tc>
                <w:tcPr>
                  <w:tcW w:w="3382" w:type="pct"/>
                  <w:tcBorders>
                    <w:top w:val="single" w:color="auto" w:sz="2" w:space="0"/>
                    <w:left w:val="single" w:color="auto" w:sz="4" w:space="0"/>
                    <w:bottom w:val="single" w:color="auto" w:sz="2" w:space="0"/>
                  </w:tcBorders>
                  <w:vAlign w:val="center"/>
                </w:tcPr>
                <w:p>
                  <w:pPr>
                    <w:widowControl/>
                    <w:adjustRightInd w:val="0"/>
                    <w:snapToGrid w:val="0"/>
                    <w:jc w:val="center"/>
                    <w:rPr>
                      <w:bCs/>
                      <w:color w:val="000000"/>
                      <w:kern w:val="0"/>
                      <w:sz w:val="18"/>
                      <w:szCs w:val="18"/>
                    </w:rPr>
                  </w:pPr>
                  <w:r>
                    <w:rPr>
                      <w:bCs/>
                      <w:color w:val="000000"/>
                      <w:kern w:val="0"/>
                      <w:sz w:val="18"/>
                      <w:szCs w:val="18"/>
                    </w:rPr>
                    <w:t>pH、汞、镉、砷、铬（六价）、铅</w:t>
                  </w:r>
                </w:p>
              </w:tc>
              <w:tc>
                <w:tcPr>
                  <w:tcW w:w="287" w:type="pct"/>
                  <w:vMerge w:val="continue"/>
                  <w:tcBorders>
                    <w:top w:val="single" w:color="auto" w:sz="2" w:space="0"/>
                    <w:left w:val="single" w:color="auto" w:sz="4" w:space="0"/>
                    <w:bottom w:val="single" w:color="auto" w:sz="2" w:space="0"/>
                    <w:right w:val="nil"/>
                  </w:tcBorders>
                  <w:vAlign w:val="center"/>
                </w:tcPr>
                <w:p>
                  <w:pPr>
                    <w:widowControl/>
                    <w:adjustRightInd w:val="0"/>
                    <w:snapToGrid w:val="0"/>
                    <w:jc w:val="center"/>
                    <w:rPr>
                      <w:bCs/>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61" w:type="pct"/>
                  <w:tcBorders>
                    <w:top w:val="single" w:color="auto" w:sz="2" w:space="0"/>
                    <w:left w:val="nil"/>
                    <w:bottom w:val="single" w:color="auto" w:sz="12" w:space="0"/>
                  </w:tcBorders>
                  <w:vAlign w:val="center"/>
                </w:tcPr>
                <w:p>
                  <w:pPr>
                    <w:widowControl/>
                    <w:adjustRightInd w:val="0"/>
                    <w:snapToGrid w:val="0"/>
                    <w:jc w:val="center"/>
                    <w:rPr>
                      <w:bCs/>
                      <w:color w:val="000000"/>
                      <w:kern w:val="0"/>
                      <w:sz w:val="18"/>
                      <w:szCs w:val="18"/>
                    </w:rPr>
                  </w:pPr>
                  <w:r>
                    <w:rPr>
                      <w:bCs/>
                      <w:color w:val="000000"/>
                      <w:kern w:val="0"/>
                      <w:sz w:val="18"/>
                      <w:szCs w:val="18"/>
                    </w:rPr>
                    <w:t>S3</w:t>
                  </w:r>
                </w:p>
              </w:tc>
              <w:tc>
                <w:tcPr>
                  <w:tcW w:w="509" w:type="pct"/>
                  <w:tcBorders>
                    <w:top w:val="single" w:color="auto" w:sz="2" w:space="0"/>
                    <w:bottom w:val="single" w:color="auto" w:sz="12" w:space="0"/>
                  </w:tcBorders>
                  <w:vAlign w:val="center"/>
                </w:tcPr>
                <w:p>
                  <w:pPr>
                    <w:widowControl/>
                    <w:adjustRightInd w:val="0"/>
                    <w:snapToGrid w:val="0"/>
                    <w:jc w:val="center"/>
                    <w:rPr>
                      <w:bCs/>
                      <w:color w:val="000000"/>
                      <w:kern w:val="0"/>
                      <w:sz w:val="18"/>
                      <w:szCs w:val="18"/>
                    </w:rPr>
                  </w:pPr>
                  <w:r>
                    <w:rPr>
                      <w:bCs/>
                      <w:color w:val="000000"/>
                      <w:kern w:val="0"/>
                      <w:sz w:val="18"/>
                      <w:szCs w:val="18"/>
                    </w:rPr>
                    <w:t>厂区内南侧</w:t>
                  </w:r>
                </w:p>
              </w:tc>
              <w:tc>
                <w:tcPr>
                  <w:tcW w:w="562" w:type="pct"/>
                  <w:tcBorders>
                    <w:top w:val="single" w:color="auto" w:sz="2" w:space="0"/>
                    <w:bottom w:val="single" w:color="auto" w:sz="12" w:space="0"/>
                    <w:right w:val="single" w:color="auto" w:sz="4" w:space="0"/>
                  </w:tcBorders>
                  <w:vAlign w:val="center"/>
                </w:tcPr>
                <w:p>
                  <w:pPr>
                    <w:widowControl/>
                    <w:adjustRightInd w:val="0"/>
                    <w:snapToGrid w:val="0"/>
                    <w:jc w:val="center"/>
                    <w:rPr>
                      <w:bCs/>
                      <w:color w:val="000000"/>
                      <w:kern w:val="0"/>
                      <w:sz w:val="18"/>
                      <w:szCs w:val="18"/>
                    </w:rPr>
                  </w:pPr>
                  <w:r>
                    <w:rPr>
                      <w:bCs/>
                      <w:color w:val="000000"/>
                      <w:kern w:val="0"/>
                      <w:sz w:val="18"/>
                      <w:szCs w:val="18"/>
                    </w:rPr>
                    <w:t>表层样，在0-0.2m取样</w:t>
                  </w:r>
                </w:p>
              </w:tc>
              <w:tc>
                <w:tcPr>
                  <w:tcW w:w="3382" w:type="pct"/>
                  <w:tcBorders>
                    <w:top w:val="single" w:color="auto" w:sz="2" w:space="0"/>
                    <w:left w:val="single" w:color="auto" w:sz="4" w:space="0"/>
                    <w:bottom w:val="single" w:color="auto" w:sz="12" w:space="0"/>
                  </w:tcBorders>
                  <w:vAlign w:val="center"/>
                </w:tcPr>
                <w:p>
                  <w:pPr>
                    <w:widowControl/>
                    <w:adjustRightInd w:val="0"/>
                    <w:snapToGrid w:val="0"/>
                    <w:jc w:val="center"/>
                    <w:rPr>
                      <w:bCs/>
                      <w:color w:val="000000"/>
                      <w:kern w:val="0"/>
                      <w:sz w:val="18"/>
                      <w:szCs w:val="18"/>
                    </w:rPr>
                  </w:pPr>
                  <w:r>
                    <w:rPr>
                      <w:bCs/>
                      <w:color w:val="000000"/>
                      <w:kern w:val="0"/>
                      <w:sz w:val="18"/>
                      <w:szCs w:val="18"/>
                    </w:rPr>
                    <w:t>pH、汞、镉、砷、铬（六价）、铅</w:t>
                  </w:r>
                </w:p>
              </w:tc>
              <w:tc>
                <w:tcPr>
                  <w:tcW w:w="287" w:type="pct"/>
                  <w:vMerge w:val="continue"/>
                  <w:tcBorders>
                    <w:top w:val="single" w:color="auto" w:sz="2" w:space="0"/>
                    <w:left w:val="single" w:color="auto" w:sz="4" w:space="0"/>
                    <w:bottom w:val="single" w:color="auto" w:sz="12" w:space="0"/>
                    <w:right w:val="nil"/>
                  </w:tcBorders>
                  <w:vAlign w:val="center"/>
                </w:tcPr>
                <w:p>
                  <w:pPr>
                    <w:widowControl/>
                    <w:adjustRightInd w:val="0"/>
                    <w:snapToGrid w:val="0"/>
                    <w:jc w:val="center"/>
                    <w:rPr>
                      <w:bCs/>
                      <w:color w:val="000000"/>
                      <w:kern w:val="0"/>
                      <w:sz w:val="18"/>
                      <w:szCs w:val="18"/>
                    </w:rPr>
                  </w:pPr>
                </w:p>
              </w:tc>
            </w:tr>
          </w:tbl>
          <w:p>
            <w:pPr>
              <w:adjustRightInd w:val="0"/>
              <w:snapToGrid w:val="0"/>
              <w:spacing w:line="360" w:lineRule="auto"/>
              <w:ind w:firstLine="420" w:firstLineChars="200"/>
              <w:rPr>
                <w:kern w:val="0"/>
              </w:rPr>
            </w:pPr>
            <w:r>
              <w:rPr>
                <w:kern w:val="0"/>
              </w:rPr>
              <w:t>2、监测时间、单位</w:t>
            </w:r>
          </w:p>
          <w:p>
            <w:pPr>
              <w:adjustRightInd w:val="0"/>
              <w:snapToGrid w:val="0"/>
              <w:spacing w:line="360" w:lineRule="auto"/>
              <w:ind w:firstLine="420" w:firstLineChars="200"/>
              <w:rPr>
                <w:kern w:val="0"/>
              </w:rPr>
            </w:pPr>
            <w:r>
              <w:rPr>
                <w:kern w:val="0"/>
              </w:rPr>
              <w:t>吉林省赢帮环境检测有限公司于2021年5月16日进行监测。</w:t>
            </w:r>
          </w:p>
          <w:p>
            <w:pPr>
              <w:adjustRightInd w:val="0"/>
              <w:snapToGrid w:val="0"/>
              <w:spacing w:line="360" w:lineRule="auto"/>
              <w:ind w:firstLine="420" w:firstLineChars="200"/>
              <w:rPr>
                <w:kern w:val="0"/>
              </w:rPr>
            </w:pPr>
            <w:r>
              <w:rPr>
                <w:kern w:val="0"/>
              </w:rPr>
              <w:t>3、评价标准</w:t>
            </w:r>
          </w:p>
          <w:p>
            <w:pPr>
              <w:adjustRightInd w:val="0"/>
              <w:snapToGrid w:val="0"/>
              <w:spacing w:line="360" w:lineRule="auto"/>
              <w:ind w:firstLine="420" w:firstLineChars="200"/>
              <w:rPr>
                <w:kern w:val="0"/>
              </w:rPr>
            </w:pPr>
            <w:r>
              <w:rPr>
                <w:kern w:val="0"/>
              </w:rPr>
              <w:t>占地范围内土壤现状评价执行《土壤环境质量 建设用地土壤污染风险管控标准（试行）》（GB36600-2018）中的相应限值。</w:t>
            </w:r>
          </w:p>
          <w:p>
            <w:pPr>
              <w:adjustRightInd w:val="0"/>
              <w:snapToGrid w:val="0"/>
              <w:spacing w:line="360" w:lineRule="auto"/>
              <w:ind w:firstLine="420" w:firstLineChars="200"/>
              <w:rPr>
                <w:kern w:val="0"/>
              </w:rPr>
            </w:pPr>
            <w:r>
              <w:rPr>
                <w:kern w:val="0"/>
              </w:rPr>
              <w:t>4、监测结果</w:t>
            </w:r>
          </w:p>
          <w:p>
            <w:pPr>
              <w:adjustRightInd w:val="0"/>
              <w:snapToGrid w:val="0"/>
              <w:spacing w:line="360" w:lineRule="auto"/>
              <w:ind w:firstLine="420" w:firstLineChars="200"/>
              <w:rPr>
                <w:kern w:val="0"/>
              </w:rPr>
            </w:pPr>
            <w:r>
              <w:rPr>
                <w:kern w:val="0"/>
              </w:rPr>
              <w:t>监测与评价结果见下表。</w:t>
            </w:r>
          </w:p>
          <w:p>
            <w:pPr>
              <w:tabs>
                <w:tab w:val="left" w:pos="397"/>
              </w:tabs>
              <w:adjustRightInd w:val="0"/>
              <w:snapToGrid w:val="0"/>
              <w:spacing w:line="360" w:lineRule="auto"/>
              <w:jc w:val="center"/>
              <w:rPr>
                <w:bCs/>
                <w:lang w:val="zh-CN"/>
              </w:rPr>
            </w:pPr>
            <w:r>
              <w:rPr>
                <w:bCs/>
                <w:lang w:val="zh-CN"/>
              </w:rPr>
              <w:t>表</w:t>
            </w:r>
            <w:r>
              <w:rPr>
                <w:bCs/>
              </w:rPr>
              <w:t xml:space="preserve">3-9  </w:t>
            </w:r>
            <w:r>
              <w:rPr>
                <w:bCs/>
                <w:lang w:val="zh-CN"/>
              </w:rPr>
              <w:t>本项目土壤监测分析结果  单位：mg/kg</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206"/>
              <w:gridCol w:w="1088"/>
              <w:gridCol w:w="1983"/>
              <w:gridCol w:w="1206"/>
              <w:gridCol w:w="10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Merge w:val="restart"/>
                  <w:vAlign w:val="center"/>
                </w:tcPr>
                <w:p>
                  <w:pPr>
                    <w:adjustRightInd w:val="0"/>
                    <w:snapToGrid w:val="0"/>
                    <w:jc w:val="center"/>
                    <w:rPr>
                      <w:kern w:val="0"/>
                      <w:sz w:val="18"/>
                      <w:szCs w:val="18"/>
                    </w:rPr>
                  </w:pPr>
                  <w:r>
                    <w:rPr>
                      <w:kern w:val="0"/>
                      <w:sz w:val="18"/>
                      <w:szCs w:val="18"/>
                    </w:rPr>
                    <w:t>监测项目</w:t>
                  </w:r>
                </w:p>
              </w:tc>
              <w:tc>
                <w:tcPr>
                  <w:tcW w:w="3956" w:type="pct"/>
                  <w:gridSpan w:val="5"/>
                  <w:vAlign w:val="center"/>
                </w:tcPr>
                <w:p>
                  <w:pPr>
                    <w:adjustRightInd w:val="0"/>
                    <w:snapToGrid w:val="0"/>
                    <w:jc w:val="center"/>
                    <w:rPr>
                      <w:kern w:val="0"/>
                      <w:sz w:val="18"/>
                      <w:szCs w:val="18"/>
                    </w:rPr>
                  </w:pPr>
                  <w:r>
                    <w:rPr>
                      <w:kern w:val="0"/>
                      <w:sz w:val="18"/>
                      <w:szCs w:val="18"/>
                    </w:rPr>
                    <w:t>S1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Merge w:val="continue"/>
                  <w:vAlign w:val="center"/>
                </w:tcPr>
                <w:p>
                  <w:pPr>
                    <w:adjustRightInd w:val="0"/>
                    <w:snapToGrid w:val="0"/>
                    <w:jc w:val="center"/>
                    <w:rPr>
                      <w:kern w:val="0"/>
                      <w:sz w:val="18"/>
                      <w:szCs w:val="18"/>
                    </w:rPr>
                  </w:pPr>
                </w:p>
              </w:tc>
              <w:tc>
                <w:tcPr>
                  <w:tcW w:w="726" w:type="pct"/>
                  <w:vAlign w:val="center"/>
                </w:tcPr>
                <w:p>
                  <w:pPr>
                    <w:adjustRightInd w:val="0"/>
                    <w:snapToGrid w:val="0"/>
                    <w:jc w:val="center"/>
                    <w:rPr>
                      <w:kern w:val="0"/>
                      <w:sz w:val="18"/>
                      <w:szCs w:val="18"/>
                    </w:rPr>
                  </w:pPr>
                  <w:r>
                    <w:rPr>
                      <w:kern w:val="0"/>
                      <w:sz w:val="18"/>
                      <w:szCs w:val="18"/>
                    </w:rPr>
                    <w:t>监测结果</w:t>
                  </w:r>
                </w:p>
                <w:p>
                  <w:pPr>
                    <w:adjustRightInd w:val="0"/>
                    <w:snapToGrid w:val="0"/>
                    <w:jc w:val="center"/>
                    <w:rPr>
                      <w:kern w:val="0"/>
                      <w:sz w:val="18"/>
                      <w:szCs w:val="18"/>
                    </w:rPr>
                  </w:pPr>
                  <w:r>
                    <w:rPr>
                      <w:kern w:val="0"/>
                      <w:sz w:val="18"/>
                      <w:szCs w:val="18"/>
                    </w:rPr>
                    <w:t>（mg/kg）</w:t>
                  </w:r>
                </w:p>
              </w:tc>
              <w:tc>
                <w:tcPr>
                  <w:tcW w:w="655" w:type="pct"/>
                  <w:vAlign w:val="center"/>
                </w:tcPr>
                <w:p>
                  <w:pPr>
                    <w:adjustRightInd w:val="0"/>
                    <w:snapToGrid w:val="0"/>
                    <w:jc w:val="center"/>
                    <w:rPr>
                      <w:kern w:val="0"/>
                      <w:sz w:val="18"/>
                      <w:szCs w:val="18"/>
                    </w:rPr>
                  </w:pPr>
                  <w:r>
                    <w:rPr>
                      <w:kern w:val="0"/>
                      <w:sz w:val="18"/>
                      <w:szCs w:val="18"/>
                    </w:rPr>
                    <w:t>标准指数</w:t>
                  </w:r>
                </w:p>
              </w:tc>
              <w:tc>
                <w:tcPr>
                  <w:tcW w:w="1194" w:type="pct"/>
                  <w:vAlign w:val="center"/>
                </w:tcPr>
                <w:p>
                  <w:pPr>
                    <w:adjustRightInd w:val="0"/>
                    <w:snapToGrid w:val="0"/>
                    <w:jc w:val="center"/>
                    <w:rPr>
                      <w:kern w:val="0"/>
                      <w:sz w:val="18"/>
                      <w:szCs w:val="18"/>
                    </w:rPr>
                  </w:pPr>
                  <w:r>
                    <w:rPr>
                      <w:kern w:val="0"/>
                      <w:sz w:val="18"/>
                      <w:szCs w:val="18"/>
                    </w:rPr>
                    <w:t>监测项目</w:t>
                  </w:r>
                </w:p>
              </w:tc>
              <w:tc>
                <w:tcPr>
                  <w:tcW w:w="726" w:type="pct"/>
                  <w:vAlign w:val="center"/>
                </w:tcPr>
                <w:p>
                  <w:pPr>
                    <w:adjustRightInd w:val="0"/>
                    <w:snapToGrid w:val="0"/>
                    <w:jc w:val="center"/>
                    <w:rPr>
                      <w:kern w:val="0"/>
                      <w:sz w:val="18"/>
                      <w:szCs w:val="18"/>
                    </w:rPr>
                  </w:pPr>
                  <w:r>
                    <w:rPr>
                      <w:kern w:val="0"/>
                      <w:sz w:val="18"/>
                      <w:szCs w:val="18"/>
                    </w:rPr>
                    <w:t>监测结果</w:t>
                  </w:r>
                </w:p>
                <w:p>
                  <w:pPr>
                    <w:adjustRightInd w:val="0"/>
                    <w:snapToGrid w:val="0"/>
                    <w:jc w:val="center"/>
                    <w:rPr>
                      <w:kern w:val="0"/>
                      <w:sz w:val="18"/>
                      <w:szCs w:val="18"/>
                    </w:rPr>
                  </w:pPr>
                  <w:r>
                    <w:rPr>
                      <w:kern w:val="0"/>
                      <w:sz w:val="18"/>
                      <w:szCs w:val="18"/>
                    </w:rPr>
                    <w:t>（mg/kg）</w:t>
                  </w:r>
                </w:p>
              </w:tc>
              <w:tc>
                <w:tcPr>
                  <w:tcW w:w="655" w:type="pct"/>
                  <w:vAlign w:val="center"/>
                </w:tcPr>
                <w:p>
                  <w:pPr>
                    <w:adjustRightInd w:val="0"/>
                    <w:snapToGrid w:val="0"/>
                    <w:jc w:val="center"/>
                    <w:rPr>
                      <w:kern w:val="0"/>
                      <w:sz w:val="18"/>
                      <w:szCs w:val="18"/>
                    </w:rPr>
                  </w:pPr>
                  <w:r>
                    <w:rPr>
                      <w:kern w:val="0"/>
                      <w:sz w:val="18"/>
                      <w:szCs w:val="18"/>
                    </w:rPr>
                    <w:t>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砷</w:t>
                  </w:r>
                </w:p>
              </w:tc>
              <w:tc>
                <w:tcPr>
                  <w:tcW w:w="726" w:type="pct"/>
                  <w:vAlign w:val="center"/>
                </w:tcPr>
                <w:p>
                  <w:pPr>
                    <w:adjustRightInd w:val="0"/>
                    <w:snapToGrid w:val="0"/>
                    <w:jc w:val="center"/>
                    <w:rPr>
                      <w:kern w:val="0"/>
                      <w:sz w:val="18"/>
                      <w:szCs w:val="18"/>
                    </w:rPr>
                  </w:pPr>
                  <w:r>
                    <w:rPr>
                      <w:color w:val="000000"/>
                      <w:kern w:val="0"/>
                      <w:sz w:val="18"/>
                      <w:szCs w:val="18"/>
                    </w:rPr>
                    <w:t xml:space="preserve">10.3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.172</w:t>
                  </w:r>
                </w:p>
              </w:tc>
              <w:tc>
                <w:tcPr>
                  <w:tcW w:w="1194" w:type="pct"/>
                  <w:vAlign w:val="center"/>
                </w:tcPr>
                <w:p>
                  <w:pPr>
                    <w:adjustRightInd w:val="0"/>
                    <w:snapToGrid w:val="0"/>
                    <w:jc w:val="center"/>
                    <w:rPr>
                      <w:kern w:val="0"/>
                      <w:sz w:val="18"/>
                      <w:szCs w:val="18"/>
                    </w:rPr>
                  </w:pPr>
                  <w:r>
                    <w:rPr>
                      <w:kern w:val="0"/>
                      <w:sz w:val="18"/>
                      <w:szCs w:val="18"/>
                    </w:rPr>
                    <w:t>1,2,3-三氯丙烷</w:t>
                  </w:r>
                </w:p>
              </w:tc>
              <w:tc>
                <w:tcPr>
                  <w:tcW w:w="726" w:type="pct"/>
                  <w:vAlign w:val="center"/>
                </w:tcPr>
                <w:p>
                  <w:pPr>
                    <w:adjustRightInd w:val="0"/>
                    <w:snapToGrid w:val="0"/>
                    <w:jc w:val="center"/>
                    <w:rPr>
                      <w:kern w:val="0"/>
                      <w:sz w:val="18"/>
                      <w:szCs w:val="18"/>
                    </w:rPr>
                  </w:pPr>
                  <w:r>
                    <w:rPr>
                      <w:kern w:val="0"/>
                      <w:sz w:val="18"/>
                      <w:szCs w:val="18"/>
                    </w:rPr>
                    <w:t>0.001L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镉</w:t>
                  </w:r>
                </w:p>
              </w:tc>
              <w:tc>
                <w:tcPr>
                  <w:tcW w:w="726" w:type="pct"/>
                  <w:vAlign w:val="center"/>
                </w:tcPr>
                <w:p>
                  <w:pPr>
                    <w:adjustRightInd w:val="0"/>
                    <w:snapToGrid w:val="0"/>
                    <w:jc w:val="center"/>
                    <w:rPr>
                      <w:kern w:val="0"/>
                      <w:sz w:val="18"/>
                      <w:szCs w:val="18"/>
                    </w:rPr>
                  </w:pPr>
                  <w:r>
                    <w:rPr>
                      <w:color w:val="000000"/>
                      <w:kern w:val="0"/>
                      <w:sz w:val="18"/>
                      <w:szCs w:val="18"/>
                    </w:rPr>
                    <w:t xml:space="preserve">0.201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.003</w:t>
                  </w:r>
                </w:p>
              </w:tc>
              <w:tc>
                <w:tcPr>
                  <w:tcW w:w="1194" w:type="pct"/>
                  <w:vAlign w:val="center"/>
                </w:tcPr>
                <w:p>
                  <w:pPr>
                    <w:adjustRightInd w:val="0"/>
                    <w:snapToGrid w:val="0"/>
                    <w:jc w:val="center"/>
                    <w:rPr>
                      <w:kern w:val="0"/>
                      <w:sz w:val="18"/>
                      <w:szCs w:val="18"/>
                    </w:rPr>
                  </w:pPr>
                  <w:r>
                    <w:rPr>
                      <w:kern w:val="0"/>
                      <w:sz w:val="18"/>
                      <w:szCs w:val="18"/>
                    </w:rPr>
                    <w:t>氯乙烯</w:t>
                  </w:r>
                </w:p>
              </w:tc>
              <w:tc>
                <w:tcPr>
                  <w:tcW w:w="726" w:type="pct"/>
                  <w:vAlign w:val="center"/>
                </w:tcPr>
                <w:p>
                  <w:pPr>
                    <w:adjustRightInd w:val="0"/>
                    <w:snapToGrid w:val="0"/>
                    <w:jc w:val="center"/>
                    <w:rPr>
                      <w:kern w:val="0"/>
                      <w:sz w:val="18"/>
                      <w:szCs w:val="18"/>
                    </w:rPr>
                  </w:pPr>
                  <w:r>
                    <w:rPr>
                      <w:kern w:val="0"/>
                      <w:sz w:val="18"/>
                      <w:szCs w:val="18"/>
                    </w:rPr>
                    <w:t>0.0015L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六价铬</w:t>
                  </w:r>
                </w:p>
              </w:tc>
              <w:tc>
                <w:tcPr>
                  <w:tcW w:w="726" w:type="pct"/>
                  <w:vAlign w:val="center"/>
                </w:tcPr>
                <w:p>
                  <w:pPr>
                    <w:adjustRightInd w:val="0"/>
                    <w:snapToGrid w:val="0"/>
                    <w:jc w:val="center"/>
                    <w:rPr>
                      <w:kern w:val="0"/>
                      <w:sz w:val="18"/>
                      <w:szCs w:val="18"/>
                    </w:rPr>
                  </w:pPr>
                  <w:r>
                    <w:rPr>
                      <w:kern w:val="0"/>
                      <w:sz w:val="18"/>
                      <w:szCs w:val="18"/>
                    </w:rPr>
                    <w:t>2L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w:t>
                  </w:r>
                </w:p>
              </w:tc>
              <w:tc>
                <w:tcPr>
                  <w:tcW w:w="726" w:type="pct"/>
                  <w:vAlign w:val="center"/>
                </w:tcPr>
                <w:p>
                  <w:pPr>
                    <w:adjustRightInd w:val="0"/>
                    <w:snapToGrid w:val="0"/>
                    <w:jc w:val="center"/>
                    <w:rPr>
                      <w:kern w:val="0"/>
                      <w:sz w:val="18"/>
                      <w:szCs w:val="18"/>
                    </w:rPr>
                  </w:pPr>
                  <w:r>
                    <w:rPr>
                      <w:kern w:val="0"/>
                      <w:sz w:val="18"/>
                      <w:szCs w:val="18"/>
                    </w:rPr>
                    <w:t>0.0016L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铜</w:t>
                  </w:r>
                </w:p>
              </w:tc>
              <w:tc>
                <w:tcPr>
                  <w:tcW w:w="726" w:type="pct"/>
                  <w:vAlign w:val="center"/>
                </w:tcPr>
                <w:p>
                  <w:pPr>
                    <w:adjustRightInd w:val="0"/>
                    <w:snapToGrid w:val="0"/>
                    <w:jc w:val="center"/>
                    <w:rPr>
                      <w:kern w:val="0"/>
                      <w:sz w:val="18"/>
                      <w:szCs w:val="18"/>
                    </w:rPr>
                  </w:pPr>
                  <w:r>
                    <w:rPr>
                      <w:color w:val="000000"/>
                      <w:kern w:val="0"/>
                      <w:sz w:val="18"/>
                      <w:szCs w:val="18"/>
                    </w:rPr>
                    <w:t xml:space="preserve">13.1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.0007</w:t>
                  </w:r>
                </w:p>
              </w:tc>
              <w:tc>
                <w:tcPr>
                  <w:tcW w:w="1194" w:type="pct"/>
                  <w:vAlign w:val="center"/>
                </w:tcPr>
                <w:p>
                  <w:pPr>
                    <w:adjustRightInd w:val="0"/>
                    <w:snapToGrid w:val="0"/>
                    <w:jc w:val="center"/>
                    <w:rPr>
                      <w:kern w:val="0"/>
                      <w:sz w:val="18"/>
                      <w:szCs w:val="18"/>
                    </w:rPr>
                  </w:pPr>
                  <w:r>
                    <w:rPr>
                      <w:kern w:val="0"/>
                      <w:sz w:val="18"/>
                      <w:szCs w:val="18"/>
                    </w:rPr>
                    <w:t>氯苯</w:t>
                  </w:r>
                </w:p>
              </w:tc>
              <w:tc>
                <w:tcPr>
                  <w:tcW w:w="726" w:type="pct"/>
                  <w:vAlign w:val="center"/>
                </w:tcPr>
                <w:p>
                  <w:pPr>
                    <w:adjustRightInd w:val="0"/>
                    <w:snapToGrid w:val="0"/>
                    <w:jc w:val="center"/>
                    <w:rPr>
                      <w:kern w:val="0"/>
                      <w:sz w:val="18"/>
                      <w:szCs w:val="18"/>
                    </w:rPr>
                  </w:pPr>
                  <w:r>
                    <w:rPr>
                      <w:kern w:val="0"/>
                      <w:sz w:val="18"/>
                      <w:szCs w:val="18"/>
                    </w:rPr>
                    <w:t>0.0011L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铅</w:t>
                  </w:r>
                </w:p>
              </w:tc>
              <w:tc>
                <w:tcPr>
                  <w:tcW w:w="726" w:type="pct"/>
                  <w:vAlign w:val="center"/>
                </w:tcPr>
                <w:p>
                  <w:pPr>
                    <w:adjustRightInd w:val="0"/>
                    <w:snapToGrid w:val="0"/>
                    <w:jc w:val="center"/>
                    <w:rPr>
                      <w:kern w:val="0"/>
                      <w:sz w:val="18"/>
                      <w:szCs w:val="18"/>
                    </w:rPr>
                  </w:pPr>
                  <w:r>
                    <w:rPr>
                      <w:color w:val="000000"/>
                      <w:kern w:val="0"/>
                      <w:sz w:val="18"/>
                      <w:szCs w:val="18"/>
                    </w:rPr>
                    <w:t xml:space="preserve">12.4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.016</w:t>
                  </w:r>
                </w:p>
              </w:tc>
              <w:tc>
                <w:tcPr>
                  <w:tcW w:w="1194" w:type="pct"/>
                  <w:vAlign w:val="center"/>
                </w:tcPr>
                <w:p>
                  <w:pPr>
                    <w:adjustRightInd w:val="0"/>
                    <w:snapToGrid w:val="0"/>
                    <w:jc w:val="center"/>
                    <w:rPr>
                      <w:kern w:val="0"/>
                      <w:sz w:val="18"/>
                      <w:szCs w:val="18"/>
                    </w:rPr>
                  </w:pPr>
                  <w:r>
                    <w:rPr>
                      <w:kern w:val="0"/>
                      <w:sz w:val="18"/>
                      <w:szCs w:val="18"/>
                    </w:rPr>
                    <w:t>1,2-二氯苯</w:t>
                  </w:r>
                </w:p>
              </w:tc>
              <w:tc>
                <w:tcPr>
                  <w:tcW w:w="726" w:type="pct"/>
                  <w:vAlign w:val="center"/>
                </w:tcPr>
                <w:p>
                  <w:pPr>
                    <w:adjustRightInd w:val="0"/>
                    <w:snapToGrid w:val="0"/>
                    <w:jc w:val="center"/>
                    <w:rPr>
                      <w:kern w:val="0"/>
                      <w:sz w:val="18"/>
                      <w:szCs w:val="18"/>
                    </w:rPr>
                  </w:pPr>
                  <w:r>
                    <w:rPr>
                      <w:kern w:val="0"/>
                      <w:sz w:val="18"/>
                      <w:szCs w:val="18"/>
                    </w:rPr>
                    <w:t>0.001L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汞</w:t>
                  </w:r>
                </w:p>
              </w:tc>
              <w:tc>
                <w:tcPr>
                  <w:tcW w:w="726" w:type="pct"/>
                  <w:vAlign w:val="center"/>
                </w:tcPr>
                <w:p>
                  <w:pPr>
                    <w:adjustRightInd w:val="0"/>
                    <w:snapToGrid w:val="0"/>
                    <w:jc w:val="center"/>
                    <w:rPr>
                      <w:kern w:val="0"/>
                      <w:sz w:val="18"/>
                      <w:szCs w:val="18"/>
                    </w:rPr>
                  </w:pPr>
                  <w:r>
                    <w:rPr>
                      <w:color w:val="000000"/>
                      <w:kern w:val="0"/>
                      <w:sz w:val="18"/>
                      <w:szCs w:val="18"/>
                    </w:rPr>
                    <w:t xml:space="preserve">0.126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.003</w:t>
                  </w:r>
                </w:p>
              </w:tc>
              <w:tc>
                <w:tcPr>
                  <w:tcW w:w="1194" w:type="pct"/>
                  <w:vAlign w:val="center"/>
                </w:tcPr>
                <w:p>
                  <w:pPr>
                    <w:adjustRightInd w:val="0"/>
                    <w:snapToGrid w:val="0"/>
                    <w:jc w:val="center"/>
                    <w:rPr>
                      <w:kern w:val="0"/>
                      <w:sz w:val="18"/>
                      <w:szCs w:val="18"/>
                    </w:rPr>
                  </w:pPr>
                  <w:r>
                    <w:rPr>
                      <w:kern w:val="0"/>
                      <w:sz w:val="18"/>
                      <w:szCs w:val="18"/>
                    </w:rPr>
                    <w:t>1,4-二氯苯</w:t>
                  </w:r>
                </w:p>
              </w:tc>
              <w:tc>
                <w:tcPr>
                  <w:tcW w:w="726" w:type="pct"/>
                  <w:vAlign w:val="center"/>
                </w:tcPr>
                <w:p>
                  <w:pPr>
                    <w:adjustRightInd w:val="0"/>
                    <w:snapToGrid w:val="0"/>
                    <w:jc w:val="center"/>
                    <w:rPr>
                      <w:kern w:val="0"/>
                      <w:sz w:val="18"/>
                      <w:szCs w:val="18"/>
                    </w:rPr>
                  </w:pPr>
                  <w:r>
                    <w:rPr>
                      <w:kern w:val="0"/>
                      <w:sz w:val="18"/>
                      <w:szCs w:val="18"/>
                    </w:rPr>
                    <w:t>0.0012L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镍</w:t>
                  </w:r>
                </w:p>
              </w:tc>
              <w:tc>
                <w:tcPr>
                  <w:tcW w:w="726" w:type="pct"/>
                  <w:vAlign w:val="center"/>
                </w:tcPr>
                <w:p>
                  <w:pPr>
                    <w:adjustRightInd w:val="0"/>
                    <w:snapToGrid w:val="0"/>
                    <w:jc w:val="center"/>
                    <w:rPr>
                      <w:kern w:val="0"/>
                      <w:sz w:val="18"/>
                      <w:szCs w:val="18"/>
                    </w:rPr>
                  </w:pPr>
                  <w:r>
                    <w:rPr>
                      <w:color w:val="000000"/>
                      <w:kern w:val="0"/>
                      <w:sz w:val="18"/>
                      <w:szCs w:val="18"/>
                    </w:rPr>
                    <w:t xml:space="preserve">11.0 </w:t>
                  </w:r>
                </w:p>
              </w:tc>
              <w:tc>
                <w:tcPr>
                  <w:tcW w:w="65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.012</w:t>
                  </w:r>
                </w:p>
              </w:tc>
              <w:tc>
                <w:tcPr>
                  <w:tcW w:w="1194" w:type="pct"/>
                  <w:vAlign w:val="center"/>
                </w:tcPr>
                <w:p>
                  <w:pPr>
                    <w:adjustRightInd w:val="0"/>
                    <w:snapToGrid w:val="0"/>
                    <w:jc w:val="center"/>
                    <w:rPr>
                      <w:kern w:val="0"/>
                      <w:sz w:val="18"/>
                      <w:szCs w:val="18"/>
                    </w:rPr>
                  </w:pPr>
                  <w:r>
                    <w:rPr>
                      <w:kern w:val="0"/>
                      <w:sz w:val="18"/>
                      <w:szCs w:val="18"/>
                    </w:rPr>
                    <w:t>乙苯</w:t>
                  </w:r>
                </w:p>
              </w:tc>
              <w:tc>
                <w:tcPr>
                  <w:tcW w:w="726" w:type="pct"/>
                  <w:vAlign w:val="center"/>
                </w:tcPr>
                <w:p>
                  <w:pPr>
                    <w:adjustRightInd w:val="0"/>
                    <w:snapToGrid w:val="0"/>
                    <w:jc w:val="center"/>
                    <w:rPr>
                      <w:kern w:val="0"/>
                      <w:sz w:val="18"/>
                      <w:szCs w:val="18"/>
                    </w:rPr>
                  </w:pPr>
                  <w:r>
                    <w:rPr>
                      <w:kern w:val="0"/>
                      <w:sz w:val="18"/>
                      <w:szCs w:val="18"/>
                    </w:rPr>
                    <w:t>0.0012L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四氯化碳</w:t>
                  </w:r>
                </w:p>
              </w:tc>
              <w:tc>
                <w:tcPr>
                  <w:tcW w:w="726" w:type="pct"/>
                  <w:vAlign w:val="center"/>
                </w:tcPr>
                <w:p>
                  <w:pPr>
                    <w:adjustRightInd w:val="0"/>
                    <w:snapToGrid w:val="0"/>
                    <w:jc w:val="center"/>
                    <w:rPr>
                      <w:kern w:val="0"/>
                      <w:sz w:val="18"/>
                      <w:szCs w:val="18"/>
                    </w:rPr>
                  </w:pPr>
                  <w:r>
                    <w:rPr>
                      <w:kern w:val="0"/>
                      <w:sz w:val="18"/>
                      <w:szCs w:val="18"/>
                    </w:rPr>
                    <w:t>0.0021L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苯乙烯</w:t>
                  </w:r>
                </w:p>
              </w:tc>
              <w:tc>
                <w:tcPr>
                  <w:tcW w:w="726" w:type="pct"/>
                  <w:vAlign w:val="center"/>
                </w:tcPr>
                <w:p>
                  <w:pPr>
                    <w:adjustRightInd w:val="0"/>
                    <w:snapToGrid w:val="0"/>
                    <w:jc w:val="center"/>
                    <w:rPr>
                      <w:kern w:val="0"/>
                      <w:sz w:val="18"/>
                      <w:szCs w:val="18"/>
                    </w:rPr>
                  </w:pPr>
                  <w:r>
                    <w:rPr>
                      <w:kern w:val="0"/>
                      <w:sz w:val="18"/>
                      <w:szCs w:val="18"/>
                    </w:rPr>
                    <w:t>0.0016L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氯仿</w:t>
                  </w:r>
                </w:p>
              </w:tc>
              <w:tc>
                <w:tcPr>
                  <w:tcW w:w="726" w:type="pct"/>
                  <w:vAlign w:val="center"/>
                </w:tcPr>
                <w:p>
                  <w:pPr>
                    <w:adjustRightInd w:val="0"/>
                    <w:snapToGrid w:val="0"/>
                    <w:jc w:val="center"/>
                    <w:rPr>
                      <w:kern w:val="0"/>
                      <w:sz w:val="18"/>
                      <w:szCs w:val="18"/>
                    </w:rPr>
                  </w:pPr>
                  <w:r>
                    <w:rPr>
                      <w:kern w:val="0"/>
                      <w:sz w:val="18"/>
                      <w:szCs w:val="18"/>
                    </w:rPr>
                    <w:t>0.0015L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甲苯</w:t>
                  </w:r>
                </w:p>
              </w:tc>
              <w:tc>
                <w:tcPr>
                  <w:tcW w:w="726" w:type="pct"/>
                  <w:vAlign w:val="center"/>
                </w:tcPr>
                <w:p>
                  <w:pPr>
                    <w:adjustRightInd w:val="0"/>
                    <w:snapToGrid w:val="0"/>
                    <w:jc w:val="center"/>
                    <w:rPr>
                      <w:kern w:val="0"/>
                      <w:sz w:val="18"/>
                      <w:szCs w:val="18"/>
                    </w:rPr>
                  </w:pPr>
                  <w:r>
                    <w:rPr>
                      <w:kern w:val="0"/>
                      <w:sz w:val="18"/>
                      <w:szCs w:val="18"/>
                    </w:rPr>
                    <w:t>0.002L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氯甲烷</w:t>
                  </w:r>
                </w:p>
              </w:tc>
              <w:tc>
                <w:tcPr>
                  <w:tcW w:w="726" w:type="pct"/>
                  <w:vAlign w:val="center"/>
                </w:tcPr>
                <w:p>
                  <w:pPr>
                    <w:adjustRightInd w:val="0"/>
                    <w:snapToGrid w:val="0"/>
                    <w:jc w:val="center"/>
                    <w:rPr>
                      <w:kern w:val="0"/>
                      <w:sz w:val="18"/>
                      <w:szCs w:val="18"/>
                    </w:rPr>
                  </w:pPr>
                  <w:r>
                    <w:rPr>
                      <w:kern w:val="0"/>
                      <w:sz w:val="18"/>
                      <w:szCs w:val="18"/>
                    </w:rPr>
                    <w:t>0.003L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间,对-二甲苯</w:t>
                  </w:r>
                </w:p>
              </w:tc>
              <w:tc>
                <w:tcPr>
                  <w:tcW w:w="726" w:type="pct"/>
                  <w:vAlign w:val="center"/>
                </w:tcPr>
                <w:p>
                  <w:pPr>
                    <w:adjustRightInd w:val="0"/>
                    <w:snapToGrid w:val="0"/>
                    <w:jc w:val="center"/>
                    <w:rPr>
                      <w:kern w:val="0"/>
                      <w:sz w:val="18"/>
                      <w:szCs w:val="18"/>
                    </w:rPr>
                  </w:pPr>
                  <w:r>
                    <w:rPr>
                      <w:kern w:val="0"/>
                      <w:sz w:val="18"/>
                      <w:szCs w:val="18"/>
                    </w:rPr>
                    <w:t>0.0036L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1,1-二氯乙烷</w:t>
                  </w:r>
                </w:p>
              </w:tc>
              <w:tc>
                <w:tcPr>
                  <w:tcW w:w="726" w:type="pct"/>
                  <w:vAlign w:val="center"/>
                </w:tcPr>
                <w:p>
                  <w:pPr>
                    <w:adjustRightInd w:val="0"/>
                    <w:snapToGrid w:val="0"/>
                    <w:jc w:val="center"/>
                    <w:rPr>
                      <w:kern w:val="0"/>
                      <w:sz w:val="18"/>
                      <w:szCs w:val="18"/>
                    </w:rPr>
                  </w:pPr>
                  <w:r>
                    <w:rPr>
                      <w:kern w:val="0"/>
                      <w:sz w:val="18"/>
                      <w:szCs w:val="18"/>
                    </w:rPr>
                    <w:t>0.0016L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邻-二甲苯</w:t>
                  </w:r>
                </w:p>
              </w:tc>
              <w:tc>
                <w:tcPr>
                  <w:tcW w:w="726" w:type="pct"/>
                  <w:vAlign w:val="center"/>
                </w:tcPr>
                <w:p>
                  <w:pPr>
                    <w:adjustRightInd w:val="0"/>
                    <w:snapToGrid w:val="0"/>
                    <w:jc w:val="center"/>
                    <w:rPr>
                      <w:kern w:val="0"/>
                      <w:sz w:val="18"/>
                      <w:szCs w:val="18"/>
                    </w:rPr>
                  </w:pPr>
                  <w:r>
                    <w:rPr>
                      <w:kern w:val="0"/>
                      <w:sz w:val="18"/>
                      <w:szCs w:val="18"/>
                    </w:rPr>
                    <w:t>0.0013L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1,2-二氯乙烷</w:t>
                  </w:r>
                </w:p>
              </w:tc>
              <w:tc>
                <w:tcPr>
                  <w:tcW w:w="726" w:type="pct"/>
                  <w:vAlign w:val="center"/>
                </w:tcPr>
                <w:p>
                  <w:pPr>
                    <w:adjustRightInd w:val="0"/>
                    <w:snapToGrid w:val="0"/>
                    <w:jc w:val="center"/>
                    <w:rPr>
                      <w:kern w:val="0"/>
                      <w:sz w:val="18"/>
                      <w:szCs w:val="18"/>
                    </w:rPr>
                  </w:pPr>
                  <w:r>
                    <w:rPr>
                      <w:kern w:val="0"/>
                      <w:sz w:val="18"/>
                      <w:szCs w:val="18"/>
                    </w:rPr>
                    <w:t>0.0013L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硝基苯</w:t>
                  </w:r>
                </w:p>
              </w:tc>
              <w:tc>
                <w:tcPr>
                  <w:tcW w:w="726" w:type="pct"/>
                  <w:vAlign w:val="center"/>
                </w:tcPr>
                <w:p>
                  <w:pPr>
                    <w:adjustRightInd w:val="0"/>
                    <w:snapToGrid w:val="0"/>
                    <w:jc w:val="center"/>
                    <w:rPr>
                      <w:kern w:val="0"/>
                      <w:sz w:val="18"/>
                      <w:szCs w:val="18"/>
                    </w:rPr>
                  </w:pPr>
                  <w:r>
                    <w:rPr>
                      <w:kern w:val="0"/>
                      <w:sz w:val="18"/>
                      <w:szCs w:val="18"/>
                    </w:rPr>
                    <w:t>0.09L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1,1二氯乙烯</w:t>
                  </w:r>
                </w:p>
              </w:tc>
              <w:tc>
                <w:tcPr>
                  <w:tcW w:w="726" w:type="pct"/>
                  <w:vAlign w:val="center"/>
                </w:tcPr>
                <w:p>
                  <w:pPr>
                    <w:adjustRightInd w:val="0"/>
                    <w:snapToGrid w:val="0"/>
                    <w:jc w:val="center"/>
                    <w:rPr>
                      <w:kern w:val="0"/>
                      <w:sz w:val="18"/>
                      <w:szCs w:val="18"/>
                    </w:rPr>
                  </w:pPr>
                  <w:r>
                    <w:rPr>
                      <w:kern w:val="0"/>
                      <w:sz w:val="18"/>
                      <w:szCs w:val="18"/>
                    </w:rPr>
                    <w:t>0.0008L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苯胺</w:t>
                  </w:r>
                </w:p>
              </w:tc>
              <w:tc>
                <w:tcPr>
                  <w:tcW w:w="726" w:type="pct"/>
                  <w:vAlign w:val="center"/>
                </w:tcPr>
                <w:p>
                  <w:pPr>
                    <w:adjustRightInd w:val="0"/>
                    <w:snapToGrid w:val="0"/>
                    <w:jc w:val="center"/>
                    <w:rPr>
                      <w:kern w:val="0"/>
                      <w:sz w:val="18"/>
                      <w:szCs w:val="18"/>
                    </w:rPr>
                  </w:pPr>
                  <w:r>
                    <w:rPr>
                      <w:kern w:val="0"/>
                      <w:sz w:val="18"/>
                      <w:szCs w:val="18"/>
                    </w:rPr>
                    <w:t>0.1L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顺-1,2-二氯乙烯</w:t>
                  </w:r>
                </w:p>
              </w:tc>
              <w:tc>
                <w:tcPr>
                  <w:tcW w:w="726" w:type="pct"/>
                  <w:vAlign w:val="center"/>
                </w:tcPr>
                <w:p>
                  <w:pPr>
                    <w:adjustRightInd w:val="0"/>
                    <w:snapToGrid w:val="0"/>
                    <w:jc w:val="center"/>
                    <w:rPr>
                      <w:kern w:val="0"/>
                      <w:sz w:val="18"/>
                      <w:szCs w:val="18"/>
                    </w:rPr>
                  </w:pPr>
                  <w:r>
                    <w:rPr>
                      <w:kern w:val="0"/>
                      <w:sz w:val="18"/>
                      <w:szCs w:val="18"/>
                    </w:rPr>
                    <w:t>0.0009L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2-氯酚</w:t>
                  </w:r>
                </w:p>
              </w:tc>
              <w:tc>
                <w:tcPr>
                  <w:tcW w:w="726" w:type="pct"/>
                  <w:vAlign w:val="center"/>
                </w:tcPr>
                <w:p>
                  <w:pPr>
                    <w:adjustRightInd w:val="0"/>
                    <w:snapToGrid w:val="0"/>
                    <w:jc w:val="center"/>
                    <w:rPr>
                      <w:kern w:val="0"/>
                      <w:sz w:val="18"/>
                      <w:szCs w:val="18"/>
                    </w:rPr>
                  </w:pPr>
                  <w:r>
                    <w:rPr>
                      <w:kern w:val="0"/>
                      <w:sz w:val="18"/>
                      <w:szCs w:val="18"/>
                    </w:rPr>
                    <w:t>0.06L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反-1,2-二氯乙烯</w:t>
                  </w:r>
                </w:p>
              </w:tc>
              <w:tc>
                <w:tcPr>
                  <w:tcW w:w="726" w:type="pct"/>
                  <w:vAlign w:val="center"/>
                </w:tcPr>
                <w:p>
                  <w:pPr>
                    <w:adjustRightInd w:val="0"/>
                    <w:snapToGrid w:val="0"/>
                    <w:jc w:val="center"/>
                    <w:rPr>
                      <w:kern w:val="0"/>
                      <w:sz w:val="18"/>
                      <w:szCs w:val="18"/>
                    </w:rPr>
                  </w:pPr>
                  <w:r>
                    <w:rPr>
                      <w:kern w:val="0"/>
                      <w:sz w:val="18"/>
                      <w:szCs w:val="18"/>
                    </w:rPr>
                    <w:t>0.0009L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苯并（a）蒽</w:t>
                  </w:r>
                </w:p>
              </w:tc>
              <w:tc>
                <w:tcPr>
                  <w:tcW w:w="726" w:type="pct"/>
                  <w:vAlign w:val="center"/>
                </w:tcPr>
                <w:p>
                  <w:pPr>
                    <w:adjustRightInd w:val="0"/>
                    <w:snapToGrid w:val="0"/>
                    <w:jc w:val="center"/>
                    <w:rPr>
                      <w:kern w:val="0"/>
                      <w:sz w:val="18"/>
                      <w:szCs w:val="18"/>
                    </w:rPr>
                  </w:pPr>
                  <w:r>
                    <w:rPr>
                      <w:kern w:val="0"/>
                      <w:sz w:val="18"/>
                      <w:szCs w:val="18"/>
                    </w:rPr>
                    <w:t>0.003L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二氯甲烷</w:t>
                  </w:r>
                </w:p>
              </w:tc>
              <w:tc>
                <w:tcPr>
                  <w:tcW w:w="726" w:type="pct"/>
                  <w:vAlign w:val="center"/>
                </w:tcPr>
                <w:p>
                  <w:pPr>
                    <w:adjustRightInd w:val="0"/>
                    <w:snapToGrid w:val="0"/>
                    <w:jc w:val="center"/>
                    <w:rPr>
                      <w:kern w:val="0"/>
                      <w:sz w:val="18"/>
                      <w:szCs w:val="18"/>
                    </w:rPr>
                  </w:pPr>
                  <w:r>
                    <w:rPr>
                      <w:kern w:val="0"/>
                      <w:sz w:val="18"/>
                      <w:szCs w:val="18"/>
                    </w:rPr>
                    <w:t>0.0026L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苯并（a）芘</w:t>
                  </w:r>
                </w:p>
              </w:tc>
              <w:tc>
                <w:tcPr>
                  <w:tcW w:w="726" w:type="pct"/>
                  <w:vAlign w:val="center"/>
                </w:tcPr>
                <w:p>
                  <w:pPr>
                    <w:adjustRightInd w:val="0"/>
                    <w:snapToGrid w:val="0"/>
                    <w:jc w:val="center"/>
                    <w:rPr>
                      <w:kern w:val="0"/>
                      <w:sz w:val="18"/>
                      <w:szCs w:val="18"/>
                    </w:rPr>
                  </w:pPr>
                  <w:r>
                    <w:rPr>
                      <w:kern w:val="0"/>
                      <w:sz w:val="18"/>
                      <w:szCs w:val="18"/>
                    </w:rPr>
                    <w:t>0.005L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1,2-二氯丙烷</w:t>
                  </w:r>
                </w:p>
              </w:tc>
              <w:tc>
                <w:tcPr>
                  <w:tcW w:w="726" w:type="pct"/>
                  <w:vAlign w:val="center"/>
                </w:tcPr>
                <w:p>
                  <w:pPr>
                    <w:adjustRightInd w:val="0"/>
                    <w:snapToGrid w:val="0"/>
                    <w:jc w:val="center"/>
                    <w:rPr>
                      <w:kern w:val="0"/>
                      <w:sz w:val="18"/>
                      <w:szCs w:val="18"/>
                    </w:rPr>
                  </w:pPr>
                  <w:r>
                    <w:rPr>
                      <w:kern w:val="0"/>
                      <w:sz w:val="18"/>
                      <w:szCs w:val="18"/>
                    </w:rPr>
                    <w:t>0.0019L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苯并（b）荧蒽</w:t>
                  </w:r>
                </w:p>
              </w:tc>
              <w:tc>
                <w:tcPr>
                  <w:tcW w:w="726" w:type="pct"/>
                  <w:vAlign w:val="center"/>
                </w:tcPr>
                <w:p>
                  <w:pPr>
                    <w:adjustRightInd w:val="0"/>
                    <w:snapToGrid w:val="0"/>
                    <w:jc w:val="center"/>
                    <w:rPr>
                      <w:kern w:val="0"/>
                      <w:sz w:val="18"/>
                      <w:szCs w:val="18"/>
                    </w:rPr>
                  </w:pPr>
                  <w:r>
                    <w:rPr>
                      <w:kern w:val="0"/>
                      <w:sz w:val="18"/>
                      <w:szCs w:val="18"/>
                    </w:rPr>
                    <w:t>0.005L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1,1,1,2-四氯乙烷</w:t>
                  </w:r>
                </w:p>
              </w:tc>
              <w:tc>
                <w:tcPr>
                  <w:tcW w:w="726" w:type="pct"/>
                  <w:vAlign w:val="center"/>
                </w:tcPr>
                <w:p>
                  <w:pPr>
                    <w:adjustRightInd w:val="0"/>
                    <w:snapToGrid w:val="0"/>
                    <w:jc w:val="center"/>
                    <w:rPr>
                      <w:kern w:val="0"/>
                      <w:sz w:val="18"/>
                      <w:szCs w:val="18"/>
                    </w:rPr>
                  </w:pPr>
                  <w:r>
                    <w:rPr>
                      <w:kern w:val="0"/>
                      <w:sz w:val="18"/>
                      <w:szCs w:val="18"/>
                    </w:rPr>
                    <w:t>0.001L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苯并（k）荧蒽</w:t>
                  </w:r>
                </w:p>
              </w:tc>
              <w:tc>
                <w:tcPr>
                  <w:tcW w:w="726" w:type="pct"/>
                  <w:vAlign w:val="center"/>
                </w:tcPr>
                <w:p>
                  <w:pPr>
                    <w:adjustRightInd w:val="0"/>
                    <w:snapToGrid w:val="0"/>
                    <w:jc w:val="center"/>
                    <w:rPr>
                      <w:kern w:val="0"/>
                      <w:sz w:val="18"/>
                      <w:szCs w:val="18"/>
                    </w:rPr>
                  </w:pPr>
                  <w:r>
                    <w:rPr>
                      <w:kern w:val="0"/>
                      <w:sz w:val="18"/>
                      <w:szCs w:val="18"/>
                    </w:rPr>
                    <w:t>0.005L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1,1,2,2-四氯乙烷</w:t>
                  </w:r>
                </w:p>
              </w:tc>
              <w:tc>
                <w:tcPr>
                  <w:tcW w:w="726" w:type="pct"/>
                  <w:vAlign w:val="center"/>
                </w:tcPr>
                <w:p>
                  <w:pPr>
                    <w:adjustRightInd w:val="0"/>
                    <w:snapToGrid w:val="0"/>
                    <w:jc w:val="center"/>
                    <w:rPr>
                      <w:kern w:val="0"/>
                      <w:sz w:val="18"/>
                      <w:szCs w:val="18"/>
                    </w:rPr>
                  </w:pPr>
                  <w:r>
                    <w:rPr>
                      <w:kern w:val="0"/>
                      <w:sz w:val="18"/>
                      <w:szCs w:val="18"/>
                    </w:rPr>
                    <w:t>0.001L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䓛</w:t>
                  </w:r>
                </w:p>
              </w:tc>
              <w:tc>
                <w:tcPr>
                  <w:tcW w:w="726" w:type="pct"/>
                  <w:vAlign w:val="center"/>
                </w:tcPr>
                <w:p>
                  <w:pPr>
                    <w:adjustRightInd w:val="0"/>
                    <w:snapToGrid w:val="0"/>
                    <w:jc w:val="center"/>
                    <w:rPr>
                      <w:kern w:val="0"/>
                      <w:sz w:val="18"/>
                      <w:szCs w:val="18"/>
                    </w:rPr>
                  </w:pPr>
                  <w:r>
                    <w:rPr>
                      <w:kern w:val="0"/>
                      <w:sz w:val="18"/>
                      <w:szCs w:val="18"/>
                    </w:rPr>
                    <w:t>0.003L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四氯乙烯</w:t>
                  </w:r>
                </w:p>
              </w:tc>
              <w:tc>
                <w:tcPr>
                  <w:tcW w:w="726" w:type="pct"/>
                  <w:vAlign w:val="center"/>
                </w:tcPr>
                <w:p>
                  <w:pPr>
                    <w:adjustRightInd w:val="0"/>
                    <w:snapToGrid w:val="0"/>
                    <w:jc w:val="center"/>
                    <w:rPr>
                      <w:kern w:val="0"/>
                      <w:sz w:val="18"/>
                      <w:szCs w:val="18"/>
                    </w:rPr>
                  </w:pPr>
                  <w:r>
                    <w:rPr>
                      <w:kern w:val="0"/>
                      <w:sz w:val="18"/>
                      <w:szCs w:val="18"/>
                    </w:rPr>
                    <w:t>0.0008L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二苯并（a,h）蒽</w:t>
                  </w:r>
                </w:p>
              </w:tc>
              <w:tc>
                <w:tcPr>
                  <w:tcW w:w="726" w:type="pct"/>
                  <w:vAlign w:val="center"/>
                </w:tcPr>
                <w:p>
                  <w:pPr>
                    <w:adjustRightInd w:val="0"/>
                    <w:snapToGrid w:val="0"/>
                    <w:jc w:val="center"/>
                    <w:rPr>
                      <w:kern w:val="0"/>
                      <w:sz w:val="18"/>
                      <w:szCs w:val="18"/>
                    </w:rPr>
                  </w:pPr>
                  <w:r>
                    <w:rPr>
                      <w:kern w:val="0"/>
                      <w:sz w:val="18"/>
                      <w:szCs w:val="18"/>
                    </w:rPr>
                    <w:t>0.005L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1,1,1-三氯乙烷</w:t>
                  </w:r>
                </w:p>
              </w:tc>
              <w:tc>
                <w:tcPr>
                  <w:tcW w:w="726" w:type="pct"/>
                  <w:vAlign w:val="center"/>
                </w:tcPr>
                <w:p>
                  <w:pPr>
                    <w:adjustRightInd w:val="0"/>
                    <w:snapToGrid w:val="0"/>
                    <w:jc w:val="center"/>
                    <w:rPr>
                      <w:kern w:val="0"/>
                      <w:sz w:val="18"/>
                      <w:szCs w:val="18"/>
                    </w:rPr>
                  </w:pPr>
                  <w:r>
                    <w:rPr>
                      <w:kern w:val="0"/>
                      <w:sz w:val="18"/>
                      <w:szCs w:val="18"/>
                    </w:rPr>
                    <w:t>0.0011L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茚并（1,2,3-cd）芘</w:t>
                  </w:r>
                </w:p>
              </w:tc>
              <w:tc>
                <w:tcPr>
                  <w:tcW w:w="726" w:type="pct"/>
                  <w:vAlign w:val="center"/>
                </w:tcPr>
                <w:p>
                  <w:pPr>
                    <w:adjustRightInd w:val="0"/>
                    <w:snapToGrid w:val="0"/>
                    <w:jc w:val="center"/>
                    <w:rPr>
                      <w:kern w:val="0"/>
                      <w:sz w:val="18"/>
                      <w:szCs w:val="18"/>
                    </w:rPr>
                  </w:pPr>
                  <w:r>
                    <w:rPr>
                      <w:kern w:val="0"/>
                      <w:sz w:val="18"/>
                      <w:szCs w:val="18"/>
                    </w:rPr>
                    <w:t>0.004L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1,1,2-三氯乙烷</w:t>
                  </w:r>
                </w:p>
              </w:tc>
              <w:tc>
                <w:tcPr>
                  <w:tcW w:w="726" w:type="pct"/>
                  <w:vAlign w:val="center"/>
                </w:tcPr>
                <w:p>
                  <w:pPr>
                    <w:adjustRightInd w:val="0"/>
                    <w:snapToGrid w:val="0"/>
                    <w:jc w:val="center"/>
                    <w:rPr>
                      <w:kern w:val="0"/>
                      <w:sz w:val="18"/>
                      <w:szCs w:val="18"/>
                    </w:rPr>
                  </w:pPr>
                  <w:r>
                    <w:rPr>
                      <w:kern w:val="0"/>
                      <w:sz w:val="18"/>
                      <w:szCs w:val="18"/>
                    </w:rPr>
                    <w:t>0.0014L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r>
                    <w:rPr>
                      <w:kern w:val="0"/>
                      <w:sz w:val="18"/>
                      <w:szCs w:val="18"/>
                    </w:rPr>
                    <w:t>萘</w:t>
                  </w:r>
                </w:p>
              </w:tc>
              <w:tc>
                <w:tcPr>
                  <w:tcW w:w="726" w:type="pct"/>
                  <w:vAlign w:val="center"/>
                </w:tcPr>
                <w:p>
                  <w:pPr>
                    <w:adjustRightInd w:val="0"/>
                    <w:snapToGrid w:val="0"/>
                    <w:jc w:val="center"/>
                    <w:rPr>
                      <w:kern w:val="0"/>
                      <w:sz w:val="18"/>
                      <w:szCs w:val="18"/>
                    </w:rPr>
                  </w:pPr>
                  <w:r>
                    <w:rPr>
                      <w:kern w:val="0"/>
                      <w:sz w:val="18"/>
                      <w:szCs w:val="18"/>
                    </w:rPr>
                    <w:t>0.003L</w:t>
                  </w:r>
                </w:p>
              </w:tc>
              <w:tc>
                <w:tcPr>
                  <w:tcW w:w="65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44" w:type="pct"/>
                  <w:vAlign w:val="center"/>
                </w:tcPr>
                <w:p>
                  <w:pPr>
                    <w:adjustRightInd w:val="0"/>
                    <w:snapToGrid w:val="0"/>
                    <w:jc w:val="center"/>
                    <w:rPr>
                      <w:kern w:val="0"/>
                      <w:sz w:val="18"/>
                      <w:szCs w:val="18"/>
                    </w:rPr>
                  </w:pPr>
                  <w:r>
                    <w:rPr>
                      <w:kern w:val="0"/>
                      <w:sz w:val="18"/>
                      <w:szCs w:val="18"/>
                    </w:rPr>
                    <w:t>三氯乙烯</w:t>
                  </w:r>
                </w:p>
              </w:tc>
              <w:tc>
                <w:tcPr>
                  <w:tcW w:w="726" w:type="pct"/>
                  <w:vAlign w:val="center"/>
                </w:tcPr>
                <w:p>
                  <w:pPr>
                    <w:adjustRightInd w:val="0"/>
                    <w:snapToGrid w:val="0"/>
                    <w:jc w:val="center"/>
                    <w:rPr>
                      <w:kern w:val="0"/>
                      <w:sz w:val="18"/>
                      <w:szCs w:val="18"/>
                    </w:rPr>
                  </w:pPr>
                  <w:r>
                    <w:rPr>
                      <w:kern w:val="0"/>
                      <w:sz w:val="18"/>
                      <w:szCs w:val="18"/>
                    </w:rPr>
                    <w:t>0.0009L</w:t>
                  </w:r>
                </w:p>
              </w:tc>
              <w:tc>
                <w:tcPr>
                  <w:tcW w:w="655" w:type="pct"/>
                  <w:vAlign w:val="center"/>
                </w:tcPr>
                <w:p>
                  <w:pPr>
                    <w:adjustRightInd w:val="0"/>
                    <w:snapToGrid w:val="0"/>
                    <w:jc w:val="center"/>
                    <w:rPr>
                      <w:kern w:val="0"/>
                      <w:sz w:val="18"/>
                      <w:szCs w:val="18"/>
                    </w:rPr>
                  </w:pPr>
                  <w:r>
                    <w:rPr>
                      <w:kern w:val="0"/>
                      <w:sz w:val="18"/>
                      <w:szCs w:val="18"/>
                    </w:rPr>
                    <w:t>/</w:t>
                  </w:r>
                </w:p>
              </w:tc>
              <w:tc>
                <w:tcPr>
                  <w:tcW w:w="1194" w:type="pct"/>
                  <w:vAlign w:val="center"/>
                </w:tcPr>
                <w:p>
                  <w:pPr>
                    <w:adjustRightInd w:val="0"/>
                    <w:snapToGrid w:val="0"/>
                    <w:jc w:val="center"/>
                    <w:rPr>
                      <w:kern w:val="0"/>
                      <w:sz w:val="18"/>
                      <w:szCs w:val="18"/>
                    </w:rPr>
                  </w:pPr>
                </w:p>
              </w:tc>
              <w:tc>
                <w:tcPr>
                  <w:tcW w:w="726" w:type="pct"/>
                  <w:vAlign w:val="center"/>
                </w:tcPr>
                <w:p>
                  <w:pPr>
                    <w:adjustRightInd w:val="0"/>
                    <w:snapToGrid w:val="0"/>
                    <w:jc w:val="center"/>
                    <w:rPr>
                      <w:kern w:val="0"/>
                      <w:sz w:val="18"/>
                      <w:szCs w:val="18"/>
                    </w:rPr>
                  </w:pPr>
                </w:p>
              </w:tc>
              <w:tc>
                <w:tcPr>
                  <w:tcW w:w="655" w:type="pct"/>
                  <w:vAlign w:val="center"/>
                </w:tcPr>
                <w:p>
                  <w:pPr>
                    <w:adjustRightInd w:val="0"/>
                    <w:snapToGrid w:val="0"/>
                    <w:jc w:val="center"/>
                    <w:rPr>
                      <w:kern w:val="0"/>
                      <w:sz w:val="18"/>
                      <w:szCs w:val="18"/>
                    </w:rPr>
                  </w:pPr>
                </w:p>
              </w:tc>
            </w:tr>
          </w:tbl>
          <w:p>
            <w:pPr>
              <w:tabs>
                <w:tab w:val="left" w:pos="397"/>
              </w:tabs>
              <w:adjustRightInd w:val="0"/>
              <w:snapToGrid w:val="0"/>
              <w:spacing w:before="156" w:beforeLines="50" w:line="360" w:lineRule="auto"/>
              <w:jc w:val="center"/>
              <w:rPr>
                <w:bCs/>
                <w:lang w:val="zh-CN"/>
              </w:rPr>
            </w:pPr>
            <w:r>
              <w:rPr>
                <w:bCs/>
                <w:lang w:val="zh-CN"/>
              </w:rPr>
              <w:t>表</w:t>
            </w:r>
            <w:r>
              <w:rPr>
                <w:bCs/>
              </w:rPr>
              <w:t xml:space="preserve">3-9（续）  </w:t>
            </w:r>
            <w:r>
              <w:rPr>
                <w:bCs/>
                <w:lang w:val="zh-CN"/>
              </w:rPr>
              <w:t>本项目土壤监测分析结果  单位：mg/kg</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9"/>
              <w:gridCol w:w="1654"/>
              <w:gridCol w:w="1654"/>
              <w:gridCol w:w="1654"/>
              <w:gridCol w:w="16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Merge w:val="restart"/>
                  <w:vAlign w:val="center"/>
                </w:tcPr>
                <w:p>
                  <w:pPr>
                    <w:adjustRightInd w:val="0"/>
                    <w:snapToGrid w:val="0"/>
                    <w:jc w:val="center"/>
                    <w:rPr>
                      <w:kern w:val="0"/>
                      <w:sz w:val="18"/>
                      <w:szCs w:val="18"/>
                    </w:rPr>
                  </w:pPr>
                  <w:r>
                    <w:rPr>
                      <w:kern w:val="0"/>
                      <w:sz w:val="18"/>
                      <w:szCs w:val="18"/>
                    </w:rPr>
                    <w:t>监测项目</w:t>
                  </w:r>
                </w:p>
              </w:tc>
              <w:tc>
                <w:tcPr>
                  <w:tcW w:w="1992" w:type="pct"/>
                  <w:gridSpan w:val="2"/>
                  <w:vAlign w:val="center"/>
                </w:tcPr>
                <w:p>
                  <w:pPr>
                    <w:adjustRightInd w:val="0"/>
                    <w:snapToGrid w:val="0"/>
                    <w:jc w:val="center"/>
                    <w:rPr>
                      <w:kern w:val="0"/>
                      <w:sz w:val="18"/>
                      <w:szCs w:val="18"/>
                    </w:rPr>
                  </w:pPr>
                  <w:r>
                    <w:rPr>
                      <w:kern w:val="0"/>
                      <w:sz w:val="18"/>
                      <w:szCs w:val="18"/>
                    </w:rPr>
                    <w:t>S2</w:t>
                  </w:r>
                </w:p>
              </w:tc>
              <w:tc>
                <w:tcPr>
                  <w:tcW w:w="1991" w:type="pct"/>
                  <w:gridSpan w:val="2"/>
                  <w:vAlign w:val="center"/>
                </w:tcPr>
                <w:p>
                  <w:pPr>
                    <w:adjustRightInd w:val="0"/>
                    <w:snapToGrid w:val="0"/>
                    <w:jc w:val="center"/>
                    <w:rPr>
                      <w:kern w:val="0"/>
                      <w:sz w:val="18"/>
                      <w:szCs w:val="18"/>
                    </w:rPr>
                  </w:pPr>
                  <w:r>
                    <w:rPr>
                      <w:kern w:val="0"/>
                      <w:sz w:val="18"/>
                      <w:szCs w:val="18"/>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Merge w:val="continue"/>
                  <w:vAlign w:val="center"/>
                </w:tcPr>
                <w:p>
                  <w:pPr>
                    <w:adjustRightInd w:val="0"/>
                    <w:snapToGrid w:val="0"/>
                    <w:jc w:val="center"/>
                    <w:rPr>
                      <w:kern w:val="0"/>
                      <w:sz w:val="18"/>
                      <w:szCs w:val="18"/>
                    </w:rPr>
                  </w:pPr>
                </w:p>
              </w:tc>
              <w:tc>
                <w:tcPr>
                  <w:tcW w:w="996" w:type="pct"/>
                  <w:vAlign w:val="center"/>
                </w:tcPr>
                <w:p>
                  <w:pPr>
                    <w:adjustRightInd w:val="0"/>
                    <w:snapToGrid w:val="0"/>
                    <w:jc w:val="center"/>
                    <w:rPr>
                      <w:kern w:val="0"/>
                      <w:sz w:val="18"/>
                      <w:szCs w:val="18"/>
                    </w:rPr>
                  </w:pPr>
                  <w:r>
                    <w:rPr>
                      <w:kern w:val="0"/>
                      <w:sz w:val="18"/>
                      <w:szCs w:val="18"/>
                    </w:rPr>
                    <w:t>监测结果</w:t>
                  </w:r>
                </w:p>
              </w:tc>
              <w:tc>
                <w:tcPr>
                  <w:tcW w:w="996" w:type="pct"/>
                  <w:vAlign w:val="center"/>
                </w:tcPr>
                <w:p>
                  <w:pPr>
                    <w:adjustRightInd w:val="0"/>
                    <w:snapToGrid w:val="0"/>
                    <w:jc w:val="center"/>
                    <w:rPr>
                      <w:kern w:val="0"/>
                      <w:sz w:val="18"/>
                      <w:szCs w:val="18"/>
                    </w:rPr>
                  </w:pPr>
                  <w:r>
                    <w:rPr>
                      <w:kern w:val="0"/>
                      <w:sz w:val="18"/>
                      <w:szCs w:val="18"/>
                    </w:rPr>
                    <w:t>标准指数</w:t>
                  </w:r>
                </w:p>
              </w:tc>
              <w:tc>
                <w:tcPr>
                  <w:tcW w:w="996" w:type="pct"/>
                  <w:vAlign w:val="center"/>
                </w:tcPr>
                <w:p>
                  <w:pPr>
                    <w:adjustRightInd w:val="0"/>
                    <w:snapToGrid w:val="0"/>
                    <w:jc w:val="center"/>
                    <w:rPr>
                      <w:kern w:val="0"/>
                      <w:sz w:val="18"/>
                      <w:szCs w:val="18"/>
                    </w:rPr>
                  </w:pPr>
                  <w:r>
                    <w:rPr>
                      <w:kern w:val="0"/>
                      <w:sz w:val="18"/>
                      <w:szCs w:val="18"/>
                    </w:rPr>
                    <w:t>监测结果</w:t>
                  </w:r>
                </w:p>
              </w:tc>
              <w:tc>
                <w:tcPr>
                  <w:tcW w:w="995" w:type="pct"/>
                  <w:vAlign w:val="center"/>
                </w:tcPr>
                <w:p>
                  <w:pPr>
                    <w:adjustRightInd w:val="0"/>
                    <w:snapToGrid w:val="0"/>
                    <w:jc w:val="center"/>
                    <w:rPr>
                      <w:kern w:val="0"/>
                      <w:sz w:val="18"/>
                      <w:szCs w:val="18"/>
                    </w:rPr>
                  </w:pPr>
                  <w:r>
                    <w:rPr>
                      <w:kern w:val="0"/>
                      <w:sz w:val="18"/>
                      <w:szCs w:val="18"/>
                    </w:rPr>
                    <w:t>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lang w:val="pt-PT"/>
                    </w:rPr>
                  </w:pPr>
                  <w:r>
                    <w:rPr>
                      <w:kern w:val="0"/>
                      <w:sz w:val="18"/>
                      <w:szCs w:val="18"/>
                    </w:rPr>
                    <w:t>砷</w:t>
                  </w:r>
                </w:p>
              </w:tc>
              <w:tc>
                <w:tcPr>
                  <w:tcW w:w="996" w:type="pct"/>
                  <w:vAlign w:val="center"/>
                </w:tcPr>
                <w:p>
                  <w:pPr>
                    <w:adjustRightInd w:val="0"/>
                    <w:snapToGrid w:val="0"/>
                    <w:jc w:val="center"/>
                    <w:rPr>
                      <w:kern w:val="0"/>
                      <w:sz w:val="18"/>
                      <w:szCs w:val="18"/>
                    </w:rPr>
                  </w:pPr>
                  <w:r>
                    <w:rPr>
                      <w:rFonts w:hint="eastAsia"/>
                      <w:kern w:val="0"/>
                      <w:sz w:val="18"/>
                      <w:szCs w:val="18"/>
                    </w:rPr>
                    <w:t>1</w:t>
                  </w:r>
                  <w:r>
                    <w:rPr>
                      <w:kern w:val="0"/>
                      <w:sz w:val="18"/>
                      <w:szCs w:val="18"/>
                    </w:rPr>
                    <w:t>1.5</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.192</w:t>
                  </w:r>
                </w:p>
              </w:tc>
              <w:tc>
                <w:tcPr>
                  <w:tcW w:w="996" w:type="pct"/>
                  <w:vAlign w:val="center"/>
                </w:tcPr>
                <w:p>
                  <w:pPr>
                    <w:adjustRightInd w:val="0"/>
                    <w:snapToGrid w:val="0"/>
                    <w:jc w:val="center"/>
                    <w:rPr>
                      <w:kern w:val="0"/>
                      <w:sz w:val="18"/>
                      <w:szCs w:val="18"/>
                    </w:rPr>
                  </w:pPr>
                  <w:r>
                    <w:rPr>
                      <w:rFonts w:hint="eastAsia"/>
                      <w:kern w:val="0"/>
                      <w:sz w:val="18"/>
                      <w:szCs w:val="18"/>
                    </w:rPr>
                    <w:t>1</w:t>
                  </w:r>
                  <w:r>
                    <w:rPr>
                      <w:kern w:val="0"/>
                      <w:sz w:val="18"/>
                      <w:szCs w:val="18"/>
                    </w:rPr>
                    <w:t>3.7</w:t>
                  </w:r>
                </w:p>
              </w:tc>
              <w:tc>
                <w:tcPr>
                  <w:tcW w:w="99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rPr>
                  </w:pPr>
                  <w:r>
                    <w:rPr>
                      <w:kern w:val="0"/>
                      <w:sz w:val="18"/>
                      <w:szCs w:val="18"/>
                    </w:rPr>
                    <w:t>镉</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.116</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.002</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.107</w:t>
                  </w:r>
                </w:p>
              </w:tc>
              <w:tc>
                <w:tcPr>
                  <w:tcW w:w="99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rPr>
                  </w:pPr>
                  <w:r>
                    <w:rPr>
                      <w:kern w:val="0"/>
                      <w:sz w:val="18"/>
                      <w:szCs w:val="18"/>
                    </w:rPr>
                    <w:t>铅</w:t>
                  </w:r>
                </w:p>
              </w:tc>
              <w:tc>
                <w:tcPr>
                  <w:tcW w:w="996" w:type="pct"/>
                  <w:vAlign w:val="center"/>
                </w:tcPr>
                <w:p>
                  <w:pPr>
                    <w:adjustRightInd w:val="0"/>
                    <w:snapToGrid w:val="0"/>
                    <w:jc w:val="center"/>
                    <w:rPr>
                      <w:kern w:val="0"/>
                      <w:sz w:val="18"/>
                      <w:szCs w:val="18"/>
                    </w:rPr>
                  </w:pPr>
                  <w:r>
                    <w:rPr>
                      <w:rFonts w:hint="eastAsia"/>
                      <w:kern w:val="0"/>
                      <w:sz w:val="18"/>
                      <w:szCs w:val="18"/>
                    </w:rPr>
                    <w:t>1</w:t>
                  </w:r>
                  <w:r>
                    <w:rPr>
                      <w:kern w:val="0"/>
                      <w:sz w:val="18"/>
                      <w:szCs w:val="18"/>
                    </w:rPr>
                    <w:t>3.7</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.017</w:t>
                  </w:r>
                </w:p>
              </w:tc>
              <w:tc>
                <w:tcPr>
                  <w:tcW w:w="996" w:type="pct"/>
                  <w:vAlign w:val="center"/>
                </w:tcPr>
                <w:p>
                  <w:pPr>
                    <w:adjustRightInd w:val="0"/>
                    <w:snapToGrid w:val="0"/>
                    <w:jc w:val="center"/>
                    <w:rPr>
                      <w:kern w:val="0"/>
                      <w:sz w:val="18"/>
                      <w:szCs w:val="18"/>
                    </w:rPr>
                  </w:pPr>
                  <w:r>
                    <w:rPr>
                      <w:rFonts w:hint="eastAsia"/>
                      <w:kern w:val="0"/>
                      <w:sz w:val="18"/>
                      <w:szCs w:val="18"/>
                    </w:rPr>
                    <w:t>1</w:t>
                  </w:r>
                  <w:r>
                    <w:rPr>
                      <w:kern w:val="0"/>
                      <w:sz w:val="18"/>
                      <w:szCs w:val="18"/>
                    </w:rPr>
                    <w:t>2.5</w:t>
                  </w:r>
                </w:p>
              </w:tc>
              <w:tc>
                <w:tcPr>
                  <w:tcW w:w="99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lang w:val="pt-PT"/>
                    </w:rPr>
                  </w:pPr>
                  <w:r>
                    <w:rPr>
                      <w:color w:val="000000"/>
                      <w:kern w:val="0"/>
                      <w:sz w:val="18"/>
                      <w:szCs w:val="18"/>
                    </w:rPr>
                    <w:t>汞</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.105</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.003</w:t>
                  </w:r>
                </w:p>
              </w:tc>
              <w:tc>
                <w:tcPr>
                  <w:tcW w:w="996"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.116</w:t>
                  </w:r>
                </w:p>
              </w:tc>
              <w:tc>
                <w:tcPr>
                  <w:tcW w:w="995" w:type="pct"/>
                  <w:vAlign w:val="center"/>
                </w:tcPr>
                <w:p>
                  <w:pPr>
                    <w:adjustRightInd w:val="0"/>
                    <w:snapToGrid w:val="0"/>
                    <w:jc w:val="center"/>
                    <w:rPr>
                      <w:kern w:val="0"/>
                      <w:sz w:val="18"/>
                      <w:szCs w:val="18"/>
                    </w:rPr>
                  </w:pPr>
                  <w:r>
                    <w:rPr>
                      <w:rFonts w:hint="eastAsia"/>
                      <w:kern w:val="0"/>
                      <w:sz w:val="18"/>
                      <w:szCs w:val="18"/>
                    </w:rPr>
                    <w:t>0</w:t>
                  </w:r>
                  <w:r>
                    <w:rPr>
                      <w:kern w:val="0"/>
                      <w:sz w:val="18"/>
                      <w:szCs w:val="18"/>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lang w:val="pt-PT"/>
                    </w:rPr>
                  </w:pPr>
                  <w:r>
                    <w:rPr>
                      <w:sz w:val="18"/>
                      <w:szCs w:val="18"/>
                    </w:rPr>
                    <w:t>六价铬</w:t>
                  </w:r>
                </w:p>
              </w:tc>
              <w:tc>
                <w:tcPr>
                  <w:tcW w:w="996" w:type="pct"/>
                  <w:vAlign w:val="center"/>
                </w:tcPr>
                <w:p>
                  <w:pPr>
                    <w:adjustRightInd w:val="0"/>
                    <w:snapToGrid w:val="0"/>
                    <w:jc w:val="center"/>
                    <w:rPr>
                      <w:kern w:val="0"/>
                      <w:sz w:val="18"/>
                      <w:szCs w:val="18"/>
                    </w:rPr>
                  </w:pPr>
                  <w:r>
                    <w:rPr>
                      <w:sz w:val="18"/>
                      <w:szCs w:val="18"/>
                    </w:rPr>
                    <w:t>2L</w:t>
                  </w:r>
                </w:p>
              </w:tc>
              <w:tc>
                <w:tcPr>
                  <w:tcW w:w="996" w:type="pct"/>
                  <w:vAlign w:val="center"/>
                </w:tcPr>
                <w:p>
                  <w:pPr>
                    <w:adjustRightInd w:val="0"/>
                    <w:snapToGrid w:val="0"/>
                    <w:jc w:val="center"/>
                    <w:rPr>
                      <w:kern w:val="0"/>
                      <w:sz w:val="18"/>
                      <w:szCs w:val="18"/>
                    </w:rPr>
                  </w:pPr>
                  <w:r>
                    <w:rPr>
                      <w:kern w:val="0"/>
                      <w:sz w:val="18"/>
                      <w:szCs w:val="18"/>
                    </w:rPr>
                    <w:t>/</w:t>
                  </w:r>
                </w:p>
              </w:tc>
              <w:tc>
                <w:tcPr>
                  <w:tcW w:w="996" w:type="pct"/>
                  <w:vAlign w:val="center"/>
                </w:tcPr>
                <w:p>
                  <w:pPr>
                    <w:adjustRightInd w:val="0"/>
                    <w:snapToGrid w:val="0"/>
                    <w:jc w:val="center"/>
                    <w:rPr>
                      <w:kern w:val="0"/>
                      <w:sz w:val="18"/>
                      <w:szCs w:val="18"/>
                    </w:rPr>
                  </w:pPr>
                  <w:r>
                    <w:rPr>
                      <w:sz w:val="18"/>
                      <w:szCs w:val="18"/>
                    </w:rPr>
                    <w:t>2L</w:t>
                  </w:r>
                </w:p>
              </w:tc>
              <w:tc>
                <w:tcPr>
                  <w:tcW w:w="995" w:type="pct"/>
                  <w:vAlign w:val="center"/>
                </w:tcPr>
                <w:p>
                  <w:pPr>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17" w:type="pct"/>
                  <w:vAlign w:val="center"/>
                </w:tcPr>
                <w:p>
                  <w:pPr>
                    <w:adjustRightInd w:val="0"/>
                    <w:snapToGrid w:val="0"/>
                    <w:jc w:val="center"/>
                    <w:rPr>
                      <w:kern w:val="0"/>
                      <w:sz w:val="18"/>
                      <w:szCs w:val="18"/>
                      <w:lang w:val="pt-PT"/>
                    </w:rPr>
                  </w:pPr>
                  <w:r>
                    <w:rPr>
                      <w:sz w:val="18"/>
                      <w:szCs w:val="18"/>
                    </w:rPr>
                    <w:t>pH（无量纲）</w:t>
                  </w:r>
                </w:p>
              </w:tc>
              <w:tc>
                <w:tcPr>
                  <w:tcW w:w="996" w:type="pct"/>
                  <w:vAlign w:val="center"/>
                </w:tcPr>
                <w:p>
                  <w:pPr>
                    <w:adjustRightInd w:val="0"/>
                    <w:snapToGrid w:val="0"/>
                    <w:jc w:val="center"/>
                    <w:rPr>
                      <w:kern w:val="0"/>
                      <w:sz w:val="18"/>
                      <w:szCs w:val="18"/>
                    </w:rPr>
                  </w:pPr>
                  <w:r>
                    <w:rPr>
                      <w:sz w:val="18"/>
                      <w:szCs w:val="18"/>
                    </w:rPr>
                    <w:t>7.34</w:t>
                  </w:r>
                </w:p>
              </w:tc>
              <w:tc>
                <w:tcPr>
                  <w:tcW w:w="996" w:type="pct"/>
                  <w:vAlign w:val="center"/>
                </w:tcPr>
                <w:p>
                  <w:pPr>
                    <w:adjustRightInd w:val="0"/>
                    <w:snapToGrid w:val="0"/>
                    <w:jc w:val="center"/>
                    <w:rPr>
                      <w:kern w:val="0"/>
                      <w:sz w:val="18"/>
                      <w:szCs w:val="18"/>
                    </w:rPr>
                  </w:pPr>
                  <w:r>
                    <w:rPr>
                      <w:kern w:val="0"/>
                      <w:sz w:val="18"/>
                      <w:szCs w:val="18"/>
                    </w:rPr>
                    <w:t>/</w:t>
                  </w:r>
                </w:p>
              </w:tc>
              <w:tc>
                <w:tcPr>
                  <w:tcW w:w="996" w:type="pct"/>
                  <w:vAlign w:val="center"/>
                </w:tcPr>
                <w:p>
                  <w:pPr>
                    <w:adjustRightInd w:val="0"/>
                    <w:snapToGrid w:val="0"/>
                    <w:jc w:val="center"/>
                    <w:rPr>
                      <w:kern w:val="0"/>
                      <w:sz w:val="18"/>
                      <w:szCs w:val="18"/>
                    </w:rPr>
                  </w:pPr>
                  <w:r>
                    <w:rPr>
                      <w:sz w:val="18"/>
                      <w:szCs w:val="18"/>
                    </w:rPr>
                    <w:t>7.16</w:t>
                  </w:r>
                </w:p>
              </w:tc>
              <w:tc>
                <w:tcPr>
                  <w:tcW w:w="995" w:type="pct"/>
                  <w:vAlign w:val="center"/>
                </w:tcPr>
                <w:p>
                  <w:pPr>
                    <w:adjustRightInd w:val="0"/>
                    <w:snapToGrid w:val="0"/>
                    <w:jc w:val="center"/>
                    <w:rPr>
                      <w:kern w:val="0"/>
                      <w:sz w:val="18"/>
                      <w:szCs w:val="18"/>
                    </w:rPr>
                  </w:pPr>
                  <w:r>
                    <w:rPr>
                      <w:kern w:val="0"/>
                      <w:sz w:val="18"/>
                      <w:szCs w:val="18"/>
                    </w:rPr>
                    <w:t>/</w:t>
                  </w:r>
                </w:p>
              </w:tc>
            </w:tr>
          </w:tbl>
          <w:p>
            <w:pPr>
              <w:adjustRightInd w:val="0"/>
              <w:snapToGrid w:val="0"/>
              <w:spacing w:line="360" w:lineRule="auto"/>
              <w:ind w:firstLine="420" w:firstLineChars="200"/>
              <w:rPr>
                <w:kern w:val="0"/>
              </w:rPr>
            </w:pPr>
            <w:r>
              <w:rPr>
                <w:kern w:val="0"/>
              </w:rPr>
              <w:t>由上述评价结果中可以看出，S1-S3各监测点土壤各项指标均满足《土壤环境质量 建设用地土壤污染风险管控标准（试行）》（GB36600-2018）第二类用地的筛选值要求。</w:t>
            </w:r>
          </w:p>
          <w:p>
            <w:pPr>
              <w:adjustRightInd w:val="0"/>
              <w:snapToGrid w:val="0"/>
              <w:spacing w:line="360" w:lineRule="auto"/>
              <w:ind w:firstLine="420" w:firstLineChars="200"/>
              <w:rPr>
                <w:kern w:val="0"/>
              </w:rPr>
            </w:pPr>
          </w:p>
          <w:p>
            <w:pPr>
              <w:adjustRightInd w:val="0"/>
              <w:snapToGrid w:val="0"/>
              <w:jc w:val="left"/>
              <w:rPr>
                <w:rFonts w:ascii="宋体" w:hAnsi="宋体" w:cs="宋体"/>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302" w:type="pc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rFonts w:ascii="宋体" w:hAnsi="宋体" w:cs="宋体"/>
                <w:kern w:val="0"/>
              </w:rPr>
            </w:pPr>
            <w:r>
              <w:rPr>
                <w:rFonts w:hint="eastAsia" w:ascii="宋体" w:hAnsi="宋体" w:cs="宋体"/>
                <w:kern w:val="0"/>
                <w:lang w:bidi="ar"/>
              </w:rPr>
              <w:t>环境</w:t>
            </w:r>
          </w:p>
          <w:p>
            <w:pPr>
              <w:adjustRightInd w:val="0"/>
              <w:snapToGrid w:val="0"/>
              <w:jc w:val="center"/>
              <w:rPr>
                <w:rFonts w:ascii="宋体" w:hAnsi="宋体" w:cs="宋体"/>
                <w:kern w:val="0"/>
              </w:rPr>
            </w:pPr>
            <w:r>
              <w:rPr>
                <w:rFonts w:hint="eastAsia" w:ascii="宋体" w:hAnsi="宋体" w:cs="宋体"/>
                <w:kern w:val="0"/>
                <w:lang w:bidi="ar"/>
              </w:rPr>
              <w:t>保护</w:t>
            </w:r>
          </w:p>
          <w:p>
            <w:pPr>
              <w:adjustRightInd w:val="0"/>
              <w:snapToGrid w:val="0"/>
              <w:jc w:val="center"/>
              <w:rPr>
                <w:rFonts w:ascii="宋体" w:hAnsi="宋体" w:cs="宋体"/>
                <w:kern w:val="0"/>
              </w:rPr>
            </w:pPr>
            <w:r>
              <w:rPr>
                <w:rFonts w:hint="eastAsia" w:ascii="宋体" w:hAnsi="宋体" w:cs="宋体"/>
                <w:kern w:val="0"/>
                <w:lang w:bidi="ar"/>
              </w:rPr>
              <w:t>目标</w:t>
            </w:r>
          </w:p>
        </w:tc>
        <w:tc>
          <w:tcPr>
            <w:tcW w:w="4698" w:type="pct"/>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rPr>
                <w:bCs/>
              </w:rPr>
            </w:pPr>
            <w:r>
              <w:rPr>
                <w:kern w:val="0"/>
              </w:rPr>
              <w:t>本项目位于</w:t>
            </w:r>
            <w:r>
              <w:rPr>
                <w:rFonts w:hint="eastAsia"/>
              </w:rPr>
              <w:t>白山市石人镇小河口村</w:t>
            </w:r>
            <w:r>
              <w:rPr>
                <w:lang w:bidi="ar"/>
              </w:rPr>
              <w:t>，</w:t>
            </w:r>
            <w:r>
              <w:rPr>
                <w:bCs/>
              </w:rPr>
              <w:t>厂区中心坐标为E 126°32′19.52″，N 41°57′28.97″，项目四周均为林地。</w:t>
            </w:r>
            <w:r>
              <w:rPr>
                <w:rFonts w:hint="eastAsia"/>
                <w:bCs/>
              </w:rPr>
              <w:t>东南侧距厂界3</w:t>
            </w:r>
            <w:r>
              <w:rPr>
                <w:bCs/>
              </w:rPr>
              <w:t>05m</w:t>
            </w:r>
            <w:r>
              <w:rPr>
                <w:rFonts w:hint="eastAsia"/>
                <w:bCs/>
              </w:rPr>
              <w:t>处为小河口村居民，距厂界3</w:t>
            </w:r>
            <w:r>
              <w:rPr>
                <w:bCs/>
              </w:rPr>
              <w:t>75m</w:t>
            </w:r>
            <w:r>
              <w:rPr>
                <w:rFonts w:hint="eastAsia"/>
                <w:bCs/>
              </w:rPr>
              <w:t>处为石人河。</w:t>
            </w:r>
          </w:p>
          <w:p>
            <w:pPr>
              <w:adjustRightInd w:val="0"/>
              <w:snapToGrid w:val="0"/>
              <w:spacing w:line="360" w:lineRule="auto"/>
              <w:ind w:firstLine="420" w:firstLineChars="200"/>
              <w:rPr>
                <w:kern w:val="0"/>
              </w:rPr>
            </w:pPr>
            <w:r>
              <w:rPr>
                <w:kern w:val="0"/>
              </w:rPr>
              <w:t>根据《建设项目环境影响评价分类管理名录》中关于敏感因素的界定原则，经调查本地区不属于特殊保护地区、社会关注地区、生态脆弱区和特殊地貌景区。经实地踏勘，评价区内无风景名胜、文物保护区、自然保护区等特殊环境敏感因素。</w:t>
            </w:r>
          </w:p>
          <w:p>
            <w:pPr>
              <w:adjustRightInd w:val="0"/>
              <w:snapToGrid w:val="0"/>
              <w:spacing w:line="360" w:lineRule="auto"/>
              <w:ind w:firstLine="420" w:firstLineChars="200"/>
              <w:rPr>
                <w:kern w:val="0"/>
              </w:rPr>
            </w:pPr>
            <w:r>
              <w:rPr>
                <w:kern w:val="0"/>
              </w:rPr>
              <w:t>结合工程特点，确定评价主要保护目标为附近居民，具体保护目标详见下表。</w:t>
            </w:r>
          </w:p>
          <w:p>
            <w:pPr>
              <w:adjustRightInd w:val="0"/>
              <w:snapToGrid w:val="0"/>
              <w:spacing w:line="360" w:lineRule="auto"/>
              <w:jc w:val="center"/>
              <w:rPr>
                <w:kern w:val="0"/>
              </w:rPr>
            </w:pPr>
            <w:r>
              <w:rPr>
                <w:kern w:val="0"/>
              </w:rPr>
              <w:t>表3-10  项目周边敏感点分布情况</w:t>
            </w:r>
          </w:p>
          <w:tbl>
            <w:tblPr>
              <w:tblStyle w:val="10"/>
              <w:tblW w:w="5000" w:type="pct"/>
              <w:jc w:val="center"/>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Layout w:type="autofit"/>
              <w:tblCellMar>
                <w:top w:w="0" w:type="dxa"/>
                <w:left w:w="108" w:type="dxa"/>
                <w:bottom w:w="0" w:type="dxa"/>
                <w:right w:w="108" w:type="dxa"/>
              </w:tblCellMar>
            </w:tblPr>
            <w:tblGrid>
              <w:gridCol w:w="1021"/>
              <w:gridCol w:w="992"/>
              <w:gridCol w:w="1417"/>
              <w:gridCol w:w="1561"/>
              <w:gridCol w:w="3314"/>
            </w:tblGrid>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7" w:hRule="atLeast"/>
                <w:jc w:val="center"/>
              </w:trPr>
              <w:tc>
                <w:tcPr>
                  <w:tcW w:w="615" w:type="pct"/>
                  <w:tcBorders>
                    <w:top w:val="single" w:color="auto" w:sz="12" w:space="0"/>
                    <w:left w:val="nil"/>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环境要素</w:t>
                  </w:r>
                </w:p>
              </w:tc>
              <w:tc>
                <w:tcPr>
                  <w:tcW w:w="597" w:type="pct"/>
                  <w:tcBorders>
                    <w:top w:val="single" w:color="auto" w:sz="1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敏感目标</w:t>
                  </w:r>
                </w:p>
              </w:tc>
              <w:tc>
                <w:tcPr>
                  <w:tcW w:w="853" w:type="pct"/>
                  <w:tcBorders>
                    <w:top w:val="single" w:color="auto" w:sz="1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方位距离（km）</w:t>
                  </w:r>
                </w:p>
              </w:tc>
              <w:tc>
                <w:tcPr>
                  <w:tcW w:w="940" w:type="pct"/>
                  <w:tcBorders>
                    <w:top w:val="single" w:color="auto" w:sz="1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户数（户）</w:t>
                  </w:r>
                </w:p>
              </w:tc>
              <w:tc>
                <w:tcPr>
                  <w:tcW w:w="1995" w:type="pct"/>
                  <w:tcBorders>
                    <w:top w:val="single" w:color="auto" w:sz="12" w:space="0"/>
                    <w:left w:val="single" w:color="auto" w:sz="2" w:space="0"/>
                    <w:bottom w:val="single" w:color="auto" w:sz="2" w:space="0"/>
                    <w:right w:val="nil"/>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保护要求</w:t>
                  </w: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restart"/>
                  <w:tcBorders>
                    <w:top w:val="single" w:color="auto" w:sz="2" w:space="0"/>
                    <w:left w:val="nil"/>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环境空气</w:t>
                  </w: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ascii="Times New Roman" w:hAnsi="Times New Roman"/>
                      <w:bCs/>
                      <w:iCs/>
                      <w:sz w:val="18"/>
                      <w:szCs w:val="18"/>
                    </w:rPr>
                    <w:t>小河口村</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ascii="Times New Roman" w:hAnsi="Times New Roman"/>
                      <w:bCs/>
                      <w:iCs/>
                      <w:sz w:val="18"/>
                      <w:szCs w:val="18"/>
                    </w:rPr>
                    <w:t>东南0</w:t>
                  </w:r>
                  <w:r>
                    <w:rPr>
                      <w:rFonts w:hint="default" w:ascii="Times New Roman" w:hAnsi="Times New Roman"/>
                      <w:bCs/>
                      <w:iCs/>
                      <w:sz w:val="18"/>
                      <w:szCs w:val="18"/>
                    </w:rPr>
                    <w:t>.305</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30</w:t>
                  </w:r>
                </w:p>
              </w:tc>
              <w:tc>
                <w:tcPr>
                  <w:tcW w:w="1995" w:type="pct"/>
                  <w:vMerge w:val="restart"/>
                  <w:tcBorders>
                    <w:top w:val="single" w:color="auto" w:sz="2" w:space="0"/>
                    <w:left w:val="single" w:color="auto" w:sz="2" w:space="0"/>
                    <w:bottom w:val="single" w:color="auto" w:sz="2" w:space="0"/>
                    <w:right w:val="nil"/>
                  </w:tcBorders>
                  <w:vAlign w:val="center"/>
                </w:tcPr>
                <w:p>
                  <w:pPr>
                    <w:pStyle w:val="8"/>
                    <w:widowControl w:val="0"/>
                    <w:adjustRightInd w:val="0"/>
                    <w:snapToGrid w:val="0"/>
                    <w:jc w:val="center"/>
                    <w:rPr>
                      <w:rFonts w:hint="default" w:ascii="Times New Roman" w:hAnsi="Times New Roman"/>
                      <w:bCs/>
                      <w:iCs/>
                      <w:sz w:val="18"/>
                      <w:szCs w:val="18"/>
                    </w:rPr>
                  </w:pPr>
                  <w:r>
                    <w:rPr>
                      <w:rFonts w:hint="default" w:ascii="Times New Roman" w:hAnsi="Times New Roman"/>
                      <w:bCs/>
                      <w:iCs/>
                      <w:kern w:val="2"/>
                      <w:sz w:val="18"/>
                      <w:szCs w:val="18"/>
                      <w:lang w:bidi="ar"/>
                    </w:rPr>
                    <w:t>《环境空气质量标准》（GB3095-2012）二级标准</w:t>
                  </w: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安乐屯</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西南0</w:t>
                  </w:r>
                  <w:r>
                    <w:rPr>
                      <w:rFonts w:hint="default" w:ascii="Times New Roman" w:hAnsi="Times New Roman"/>
                      <w:iCs/>
                      <w:sz w:val="18"/>
                      <w:szCs w:val="18"/>
                    </w:rPr>
                    <w:t>.748</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20</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石人镇</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东2</w:t>
                  </w:r>
                  <w:r>
                    <w:rPr>
                      <w:rFonts w:hint="default" w:ascii="Times New Roman" w:hAnsi="Times New Roman"/>
                      <w:iCs/>
                      <w:sz w:val="18"/>
                      <w:szCs w:val="18"/>
                    </w:rPr>
                    <w:t>.0</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700</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牛奶房子</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东南2</w:t>
                  </w:r>
                  <w:r>
                    <w:rPr>
                      <w:rFonts w:hint="default" w:ascii="Times New Roman" w:hAnsi="Times New Roman"/>
                      <w:iCs/>
                      <w:sz w:val="18"/>
                      <w:szCs w:val="18"/>
                    </w:rPr>
                    <w:t>.19</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30</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光环村</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东南2</w:t>
                  </w:r>
                  <w:r>
                    <w:rPr>
                      <w:rFonts w:hint="default" w:ascii="Times New Roman" w:hAnsi="Times New Roman"/>
                      <w:iCs/>
                      <w:sz w:val="18"/>
                      <w:szCs w:val="18"/>
                    </w:rPr>
                    <w:t>.15</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18</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大石人镇</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东南2</w:t>
                  </w:r>
                  <w:r>
                    <w:rPr>
                      <w:rFonts w:hint="default" w:ascii="Times New Roman" w:hAnsi="Times New Roman"/>
                      <w:iCs/>
                      <w:sz w:val="18"/>
                      <w:szCs w:val="18"/>
                    </w:rPr>
                    <w:t>.42</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500</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长岗</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西北1</w:t>
                  </w:r>
                  <w:r>
                    <w:rPr>
                      <w:rFonts w:hint="default" w:ascii="Times New Roman" w:hAnsi="Times New Roman"/>
                      <w:iCs/>
                      <w:sz w:val="18"/>
                      <w:szCs w:val="18"/>
                    </w:rPr>
                    <w:t>.84</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kern w:val="2"/>
                      <w:sz w:val="18"/>
                      <w:szCs w:val="18"/>
                      <w:lang w:bidi="ar"/>
                    </w:rPr>
                  </w:pPr>
                  <w:r>
                    <w:rPr>
                      <w:rFonts w:hint="default" w:ascii="Times New Roman" w:hAnsi="Times New Roman"/>
                      <w:iCs/>
                      <w:kern w:val="2"/>
                      <w:sz w:val="18"/>
                      <w:szCs w:val="18"/>
                      <w:lang w:bidi="ar"/>
                    </w:rPr>
                    <w:t>12</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赵家沟</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西北2</w:t>
                  </w:r>
                  <w:r>
                    <w:rPr>
                      <w:rFonts w:hint="default" w:ascii="Times New Roman" w:hAnsi="Times New Roman"/>
                      <w:iCs/>
                      <w:sz w:val="18"/>
                      <w:szCs w:val="18"/>
                    </w:rPr>
                    <w:t>.39</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18</w:t>
                  </w:r>
                </w:p>
              </w:tc>
              <w:tc>
                <w:tcPr>
                  <w:tcW w:w="1995" w:type="pct"/>
                  <w:vMerge w:val="continue"/>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tcBorders>
                    <w:top w:val="single" w:color="auto" w:sz="2" w:space="0"/>
                    <w:left w:val="nil"/>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地表水</w:t>
                  </w:r>
                </w:p>
              </w:tc>
              <w:tc>
                <w:tcPr>
                  <w:tcW w:w="597"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石人河</w:t>
                  </w:r>
                </w:p>
              </w:tc>
              <w:tc>
                <w:tcPr>
                  <w:tcW w:w="853"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ascii="Times New Roman" w:hAnsi="Times New Roman"/>
                      <w:iCs/>
                      <w:sz w:val="18"/>
                      <w:szCs w:val="18"/>
                    </w:rPr>
                    <w:t>东南0</w:t>
                  </w:r>
                  <w:r>
                    <w:rPr>
                      <w:rFonts w:hint="default" w:ascii="Times New Roman" w:hAnsi="Times New Roman"/>
                      <w:iCs/>
                      <w:sz w:val="18"/>
                      <w:szCs w:val="18"/>
                    </w:rPr>
                    <w:t>.375</w:t>
                  </w:r>
                </w:p>
              </w:tc>
              <w:tc>
                <w:tcPr>
                  <w:tcW w:w="940" w:type="pct"/>
                  <w:tcBorders>
                    <w:top w:val="single" w:color="auto" w:sz="2" w:space="0"/>
                    <w:left w:val="single" w:color="auto" w:sz="2" w:space="0"/>
                    <w:bottom w:val="single" w:color="auto" w:sz="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w:t>
                  </w:r>
                </w:p>
              </w:tc>
              <w:tc>
                <w:tcPr>
                  <w:tcW w:w="1995" w:type="pct"/>
                  <w:tcBorders>
                    <w:top w:val="single" w:color="auto" w:sz="2" w:space="0"/>
                    <w:left w:val="single" w:color="auto" w:sz="2" w:space="0"/>
                    <w:bottom w:val="single" w:color="auto" w:sz="2" w:space="0"/>
                    <w:right w:val="nil"/>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《地表水环境质量标准》（GB3838-2002）中Ⅲ类标准</w:t>
                  </w:r>
                </w:p>
              </w:tc>
            </w:tr>
            <w:tr>
              <w:tblPrEx>
                <w:tblBorders>
                  <w:top w:val="single" w:color="auto" w:sz="12" w:space="0"/>
                  <w:left w:val="none" w:color="auto" w:sz="6" w:space="0"/>
                  <w:bottom w:val="single" w:color="auto" w:sz="12" w:space="0"/>
                  <w:right w:val="none" w:color="auto" w:sz="6" w:space="0"/>
                  <w:insideH w:val="single" w:color="auto" w:sz="2" w:space="0"/>
                  <w:insideV w:val="single" w:color="auto" w:sz="2" w:space="0"/>
                </w:tblBorders>
                <w:tblCellMar>
                  <w:top w:w="0" w:type="dxa"/>
                  <w:left w:w="108" w:type="dxa"/>
                  <w:bottom w:w="0" w:type="dxa"/>
                  <w:right w:w="108" w:type="dxa"/>
                </w:tblCellMar>
              </w:tblPrEx>
              <w:trPr>
                <w:cantSplit/>
                <w:trHeight w:val="340" w:hRule="atLeast"/>
                <w:jc w:val="center"/>
              </w:trPr>
              <w:tc>
                <w:tcPr>
                  <w:tcW w:w="615" w:type="pct"/>
                  <w:tcBorders>
                    <w:top w:val="single" w:color="auto" w:sz="2" w:space="0"/>
                    <w:left w:val="nil"/>
                    <w:bottom w:val="single" w:color="auto" w:sz="1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声环境</w:t>
                  </w:r>
                </w:p>
              </w:tc>
              <w:tc>
                <w:tcPr>
                  <w:tcW w:w="2390" w:type="pct"/>
                  <w:gridSpan w:val="3"/>
                  <w:tcBorders>
                    <w:top w:val="single" w:color="auto" w:sz="2" w:space="0"/>
                    <w:left w:val="single" w:color="auto" w:sz="2" w:space="0"/>
                    <w:bottom w:val="single" w:color="auto" w:sz="12" w:space="0"/>
                    <w:right w:val="single" w:color="auto" w:sz="2" w:space="0"/>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kern w:val="2"/>
                      <w:sz w:val="18"/>
                      <w:szCs w:val="18"/>
                      <w:lang w:bidi="ar"/>
                    </w:rPr>
                    <w:t>——</w:t>
                  </w:r>
                </w:p>
              </w:tc>
              <w:tc>
                <w:tcPr>
                  <w:tcW w:w="1995" w:type="pct"/>
                  <w:tcBorders>
                    <w:top w:val="single" w:color="auto" w:sz="2" w:space="0"/>
                    <w:left w:val="single" w:color="auto" w:sz="2" w:space="0"/>
                    <w:bottom w:val="single" w:color="auto" w:sz="12" w:space="0"/>
                    <w:right w:val="nil"/>
                  </w:tcBorders>
                  <w:vAlign w:val="center"/>
                </w:tcPr>
                <w:p>
                  <w:pPr>
                    <w:pStyle w:val="8"/>
                    <w:widowControl w:val="0"/>
                    <w:adjustRightInd w:val="0"/>
                    <w:snapToGrid w:val="0"/>
                    <w:jc w:val="center"/>
                    <w:rPr>
                      <w:rFonts w:hint="default" w:ascii="Times New Roman" w:hAnsi="Times New Roman"/>
                      <w:iCs/>
                      <w:sz w:val="18"/>
                      <w:szCs w:val="18"/>
                    </w:rPr>
                  </w:pPr>
                  <w:r>
                    <w:rPr>
                      <w:rFonts w:hint="default" w:ascii="Times New Roman" w:hAnsi="Times New Roman"/>
                      <w:iCs/>
                      <w:kern w:val="2"/>
                      <w:sz w:val="18"/>
                      <w:szCs w:val="18"/>
                      <w:lang w:bidi="ar"/>
                    </w:rPr>
                    <w:t>《声环境质量标准》（GB3096-2008）1类标准</w:t>
                  </w:r>
                </w:p>
              </w:tc>
            </w:tr>
          </w:tbl>
          <w:p>
            <w:pPr>
              <w:adjustRightInd w:val="0"/>
              <w:snapToGrid w:val="0"/>
              <w:rPr>
                <w:rFonts w:hint="eastAsia" w:ascii="宋体" w:hAnsi="宋体" w:cs="宋体"/>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302" w:type="pct"/>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pPr>
              <w:adjustRightInd w:val="0"/>
              <w:snapToGrid w:val="0"/>
              <w:jc w:val="center"/>
              <w:rPr>
                <w:rFonts w:ascii="宋体" w:hAnsi="宋体" w:cs="宋体"/>
                <w:kern w:val="0"/>
              </w:rPr>
            </w:pPr>
            <w:r>
              <w:rPr>
                <w:rFonts w:hint="eastAsia" w:ascii="宋体" w:hAnsi="宋体" w:cs="宋体"/>
                <w:kern w:val="0"/>
                <w:lang w:bidi="ar"/>
              </w:rPr>
              <w:t>污染</w:t>
            </w:r>
          </w:p>
          <w:p>
            <w:pPr>
              <w:adjustRightInd w:val="0"/>
              <w:snapToGrid w:val="0"/>
              <w:jc w:val="center"/>
              <w:rPr>
                <w:rFonts w:ascii="宋体" w:hAnsi="宋体" w:cs="宋体"/>
                <w:kern w:val="0"/>
              </w:rPr>
            </w:pPr>
            <w:r>
              <w:rPr>
                <w:rFonts w:hint="eastAsia" w:ascii="宋体" w:hAnsi="宋体" w:cs="宋体"/>
                <w:kern w:val="0"/>
                <w:lang w:bidi="ar"/>
              </w:rPr>
              <w:t>物排</w:t>
            </w:r>
          </w:p>
          <w:p>
            <w:pPr>
              <w:adjustRightInd w:val="0"/>
              <w:snapToGrid w:val="0"/>
              <w:jc w:val="center"/>
              <w:rPr>
                <w:rFonts w:ascii="宋体" w:hAnsi="宋体" w:cs="宋体"/>
                <w:kern w:val="0"/>
              </w:rPr>
            </w:pPr>
            <w:r>
              <w:rPr>
                <w:rFonts w:hint="eastAsia" w:ascii="宋体" w:hAnsi="宋体" w:cs="宋体"/>
                <w:kern w:val="0"/>
                <w:lang w:bidi="ar"/>
              </w:rPr>
              <w:t>放控</w:t>
            </w:r>
          </w:p>
          <w:p>
            <w:pPr>
              <w:adjustRightInd w:val="0"/>
              <w:snapToGrid w:val="0"/>
              <w:jc w:val="center"/>
              <w:rPr>
                <w:rFonts w:ascii="宋体" w:hAnsi="宋体" w:cs="宋体"/>
                <w:kern w:val="0"/>
              </w:rPr>
            </w:pPr>
            <w:r>
              <w:rPr>
                <w:rFonts w:hint="eastAsia" w:ascii="宋体" w:hAnsi="宋体" w:cs="宋体"/>
                <w:kern w:val="0"/>
                <w:lang w:bidi="ar"/>
              </w:rPr>
              <w:t>制标</w:t>
            </w:r>
          </w:p>
          <w:p>
            <w:pPr>
              <w:adjustRightInd w:val="0"/>
              <w:snapToGrid w:val="0"/>
              <w:jc w:val="center"/>
              <w:rPr>
                <w:rFonts w:ascii="宋体" w:hAnsi="宋体" w:cs="宋体"/>
                <w:kern w:val="0"/>
              </w:rPr>
            </w:pPr>
            <w:r>
              <w:rPr>
                <w:rFonts w:hint="eastAsia" w:ascii="宋体" w:hAnsi="宋体" w:cs="宋体"/>
                <w:kern w:val="0"/>
                <w:lang w:bidi="ar"/>
              </w:rPr>
              <w:t>准</w:t>
            </w:r>
          </w:p>
        </w:tc>
        <w:tc>
          <w:tcPr>
            <w:tcW w:w="4698" w:type="pct"/>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rPr>
                <w:kern w:val="0"/>
              </w:rPr>
            </w:pPr>
            <w:r>
              <w:rPr>
                <w:kern w:val="0"/>
              </w:rPr>
              <w:t>1、废气</w:t>
            </w:r>
          </w:p>
          <w:p>
            <w:pPr>
              <w:adjustRightInd w:val="0"/>
              <w:snapToGrid w:val="0"/>
              <w:spacing w:line="360" w:lineRule="auto"/>
              <w:ind w:firstLine="420" w:firstLineChars="200"/>
              <w:rPr>
                <w:kern w:val="0"/>
              </w:rPr>
            </w:pPr>
            <w:r>
              <w:rPr>
                <w:kern w:val="0"/>
              </w:rPr>
              <w:t>本项目产生废气主要有导热油炉烟气、烘干滚筒</w:t>
            </w:r>
            <w:r>
              <w:rPr>
                <w:rFonts w:hint="eastAsia"/>
                <w:kern w:val="0"/>
              </w:rPr>
              <w:t>燃烧</w:t>
            </w:r>
            <w:r>
              <w:rPr>
                <w:kern w:val="0"/>
              </w:rPr>
              <w:t>烟气、沥青烟气及</w:t>
            </w:r>
            <w:r>
              <w:rPr>
                <w:rFonts w:hint="eastAsia"/>
                <w:kern w:val="0"/>
              </w:rPr>
              <w:t>石料烘干、筛分</w:t>
            </w:r>
            <w:r>
              <w:rPr>
                <w:kern w:val="0"/>
              </w:rPr>
              <w:t>等工序产生的粉尘。</w:t>
            </w:r>
          </w:p>
          <w:p>
            <w:pPr>
              <w:adjustRightInd w:val="0"/>
              <w:snapToGrid w:val="0"/>
              <w:spacing w:line="360" w:lineRule="auto"/>
              <w:ind w:firstLine="420" w:firstLineChars="200"/>
              <w:rPr>
                <w:kern w:val="0"/>
              </w:rPr>
            </w:pPr>
            <w:r>
              <w:rPr>
                <w:rFonts w:ascii="宋体" w:hAnsi="宋体"/>
                <w:kern w:val="0"/>
              </w:rPr>
              <w:t>（</w:t>
            </w:r>
            <w:r>
              <w:rPr>
                <w:kern w:val="0"/>
              </w:rPr>
              <w:t>1</w:t>
            </w:r>
            <w:r>
              <w:rPr>
                <w:rFonts w:ascii="宋体" w:hAnsi="宋体"/>
                <w:kern w:val="0"/>
              </w:rPr>
              <w:t>）导热油炉烟气</w:t>
            </w:r>
          </w:p>
          <w:p>
            <w:pPr>
              <w:adjustRightInd w:val="0"/>
              <w:snapToGrid w:val="0"/>
              <w:spacing w:line="360" w:lineRule="auto"/>
              <w:ind w:firstLine="420" w:firstLineChars="200"/>
            </w:pPr>
            <w:r>
              <w:rPr>
                <w:rFonts w:hint="eastAsia" w:ascii="宋体" w:hAnsi="宋体"/>
              </w:rPr>
              <w:t>导热油炉烟气</w:t>
            </w:r>
            <w:r>
              <w:rPr>
                <w:rFonts w:ascii="宋体" w:hAnsi="宋体"/>
              </w:rPr>
              <w:t>中污染物的排放浓度执行</w:t>
            </w:r>
            <w:r>
              <w:rPr>
                <w:rFonts w:hint="eastAsia" w:ascii="宋体" w:hAnsi="宋体"/>
              </w:rPr>
              <w:t>《锅炉大气污染物排放标准》（</w:t>
            </w:r>
            <w:r>
              <w:t>GB13271-2014</w:t>
            </w:r>
            <w:r>
              <w:rPr>
                <w:rFonts w:hint="eastAsia" w:ascii="宋体" w:hAnsi="宋体"/>
              </w:rPr>
              <w:t>）中表</w:t>
            </w:r>
            <w:r>
              <w:rPr>
                <w:rFonts w:hint="eastAsia"/>
              </w:rPr>
              <w:t>2</w:t>
            </w:r>
            <w:r>
              <w:rPr>
                <w:rFonts w:hint="eastAsia" w:ascii="宋体" w:hAnsi="宋体"/>
              </w:rPr>
              <w:t>新建锅炉大气污染物排放限值。</w:t>
            </w:r>
          </w:p>
          <w:p>
            <w:pPr>
              <w:adjustRightInd w:val="0"/>
              <w:snapToGrid w:val="0"/>
              <w:spacing w:line="360" w:lineRule="auto"/>
              <w:jc w:val="center"/>
            </w:pPr>
            <w:r>
              <w:rPr>
                <w:rFonts w:hint="eastAsia" w:ascii="宋体" w:hAnsi="宋体"/>
              </w:rPr>
              <w:t>表</w:t>
            </w:r>
            <w:r>
              <w:rPr>
                <w:rFonts w:hint="eastAsia"/>
              </w:rPr>
              <w:t>3-</w:t>
            </w:r>
            <w:r>
              <w:t xml:space="preserve">11  </w:t>
            </w:r>
            <w:r>
              <w:rPr>
                <w:rFonts w:ascii="宋体" w:hAnsi="宋体"/>
                <w:kern w:val="0"/>
              </w:rPr>
              <w:t>导热油炉烟气</w:t>
            </w:r>
            <w:r>
              <w:rPr>
                <w:rFonts w:hint="eastAsia" w:ascii="宋体" w:hAnsi="宋体"/>
              </w:rPr>
              <w:t>污染物排放标准</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1984"/>
              <w:gridCol w:w="1701"/>
              <w:gridCol w:w="31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71" w:type="pct"/>
                  <w:vAlign w:val="center"/>
                </w:tcPr>
                <w:p>
                  <w:pPr>
                    <w:adjustRightInd w:val="0"/>
                    <w:snapToGrid w:val="0"/>
                    <w:jc w:val="center"/>
                    <w:rPr>
                      <w:sz w:val="18"/>
                      <w:szCs w:val="18"/>
                    </w:rPr>
                  </w:pPr>
                  <w:r>
                    <w:rPr>
                      <w:sz w:val="18"/>
                      <w:szCs w:val="18"/>
                    </w:rPr>
                    <w:t>污染物</w:t>
                  </w:r>
                </w:p>
              </w:tc>
              <w:tc>
                <w:tcPr>
                  <w:tcW w:w="1194" w:type="pct"/>
                  <w:vAlign w:val="center"/>
                </w:tcPr>
                <w:p>
                  <w:pPr>
                    <w:adjustRightInd w:val="0"/>
                    <w:snapToGrid w:val="0"/>
                    <w:jc w:val="center"/>
                    <w:rPr>
                      <w:sz w:val="18"/>
                      <w:szCs w:val="18"/>
                    </w:rPr>
                  </w:pPr>
                  <w:r>
                    <w:rPr>
                      <w:sz w:val="18"/>
                      <w:szCs w:val="18"/>
                    </w:rPr>
                    <w:t>最高允许排放浓度(mg/m</w:t>
                  </w:r>
                  <w:r>
                    <w:rPr>
                      <w:sz w:val="18"/>
                      <w:szCs w:val="18"/>
                      <w:vertAlign w:val="superscript"/>
                    </w:rPr>
                    <w:t>3</w:t>
                  </w:r>
                  <w:r>
                    <w:rPr>
                      <w:sz w:val="18"/>
                      <w:szCs w:val="18"/>
                    </w:rPr>
                    <w:t>)</w:t>
                  </w:r>
                </w:p>
              </w:tc>
              <w:tc>
                <w:tcPr>
                  <w:tcW w:w="1024" w:type="pct"/>
                  <w:vAlign w:val="center"/>
                </w:tcPr>
                <w:p>
                  <w:pPr>
                    <w:adjustRightInd w:val="0"/>
                    <w:snapToGrid w:val="0"/>
                    <w:jc w:val="center"/>
                    <w:rPr>
                      <w:sz w:val="18"/>
                      <w:szCs w:val="18"/>
                    </w:rPr>
                  </w:pPr>
                  <w:r>
                    <w:rPr>
                      <w:sz w:val="18"/>
                      <w:szCs w:val="18"/>
                    </w:rPr>
                    <w:t>排放高度（m</w:t>
                  </w:r>
                  <w:r>
                    <w:rPr>
                      <w:rFonts w:ascii="宋体" w:hAnsi="宋体"/>
                      <w:sz w:val="18"/>
                      <w:szCs w:val="18"/>
                    </w:rPr>
                    <w:t>）</w:t>
                  </w:r>
                </w:p>
              </w:tc>
              <w:tc>
                <w:tcPr>
                  <w:tcW w:w="1910" w:type="pct"/>
                  <w:vAlign w:val="center"/>
                </w:tcPr>
                <w:p>
                  <w:pPr>
                    <w:adjustRightInd w:val="0"/>
                    <w:snapToGrid w:val="0"/>
                    <w:jc w:val="center"/>
                    <w:rPr>
                      <w:sz w:val="18"/>
                      <w:szCs w:val="18"/>
                    </w:rPr>
                  </w:pPr>
                  <w:r>
                    <w:rPr>
                      <w:sz w:val="18"/>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vAlign w:val="center"/>
                </w:tcPr>
                <w:p>
                  <w:pPr>
                    <w:adjustRightInd w:val="0"/>
                    <w:snapToGrid w:val="0"/>
                    <w:jc w:val="center"/>
                    <w:rPr>
                      <w:sz w:val="18"/>
                      <w:szCs w:val="18"/>
                    </w:rPr>
                  </w:pPr>
                  <w:r>
                    <w:rPr>
                      <w:sz w:val="18"/>
                      <w:szCs w:val="18"/>
                    </w:rPr>
                    <w:t>颗粒物</w:t>
                  </w:r>
                </w:p>
              </w:tc>
              <w:tc>
                <w:tcPr>
                  <w:tcW w:w="1194" w:type="pct"/>
                  <w:vAlign w:val="center"/>
                </w:tcPr>
                <w:p>
                  <w:pPr>
                    <w:adjustRightInd w:val="0"/>
                    <w:snapToGrid w:val="0"/>
                    <w:jc w:val="center"/>
                    <w:rPr>
                      <w:sz w:val="18"/>
                      <w:szCs w:val="18"/>
                    </w:rPr>
                  </w:pPr>
                  <w:r>
                    <w:rPr>
                      <w:rFonts w:hint="eastAsia"/>
                      <w:sz w:val="18"/>
                      <w:szCs w:val="18"/>
                    </w:rPr>
                    <w:t>3</w:t>
                  </w:r>
                  <w:r>
                    <w:rPr>
                      <w:sz w:val="18"/>
                      <w:szCs w:val="18"/>
                    </w:rPr>
                    <w:t>0</w:t>
                  </w:r>
                </w:p>
              </w:tc>
              <w:tc>
                <w:tcPr>
                  <w:tcW w:w="1024" w:type="pct"/>
                  <w:vMerge w:val="restart"/>
                  <w:vAlign w:val="center"/>
                </w:tcPr>
                <w:p>
                  <w:pPr>
                    <w:adjustRightInd w:val="0"/>
                    <w:snapToGrid w:val="0"/>
                    <w:jc w:val="center"/>
                    <w:rPr>
                      <w:sz w:val="18"/>
                      <w:szCs w:val="18"/>
                    </w:rPr>
                  </w:pPr>
                  <w:r>
                    <w:rPr>
                      <w:sz w:val="18"/>
                      <w:szCs w:val="18"/>
                    </w:rPr>
                    <w:t>15m</w:t>
                  </w:r>
                </w:p>
              </w:tc>
              <w:tc>
                <w:tcPr>
                  <w:tcW w:w="1910" w:type="pct"/>
                  <w:vMerge w:val="restart"/>
                  <w:vAlign w:val="center"/>
                </w:tcPr>
                <w:p>
                  <w:pPr>
                    <w:adjustRightInd w:val="0"/>
                    <w:snapToGrid w:val="0"/>
                    <w:jc w:val="center"/>
                    <w:rPr>
                      <w:bCs/>
                      <w:sz w:val="18"/>
                      <w:szCs w:val="18"/>
                    </w:rPr>
                  </w:pPr>
                  <w:r>
                    <w:rPr>
                      <w:rFonts w:hint="eastAsia"/>
                      <w:bCs/>
                      <w:sz w:val="18"/>
                      <w:szCs w:val="18"/>
                    </w:rPr>
                    <w:t>《锅炉大气污染物排放标准》（GB13271-2014</w:t>
                  </w:r>
                  <w:r>
                    <w:rPr>
                      <w:rFonts w:hint="eastAsia" w:ascii="宋体" w:hAnsi="宋体"/>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194" w:type="pct"/>
                  <w:vAlign w:val="center"/>
                </w:tcPr>
                <w:p>
                  <w:pPr>
                    <w:adjustRightInd w:val="0"/>
                    <w:snapToGrid w:val="0"/>
                    <w:jc w:val="center"/>
                    <w:rPr>
                      <w:sz w:val="18"/>
                      <w:szCs w:val="18"/>
                    </w:rPr>
                  </w:pPr>
                  <w:r>
                    <w:rPr>
                      <w:rFonts w:hint="eastAsia"/>
                      <w:sz w:val="18"/>
                      <w:szCs w:val="18"/>
                    </w:rPr>
                    <w:t>2</w:t>
                  </w:r>
                  <w:r>
                    <w:rPr>
                      <w:sz w:val="18"/>
                      <w:szCs w:val="18"/>
                    </w:rPr>
                    <w:t>00</w:t>
                  </w:r>
                </w:p>
              </w:tc>
              <w:tc>
                <w:tcPr>
                  <w:tcW w:w="0" w:type="auto"/>
                  <w:vMerge w:val="continue"/>
                  <w:vAlign w:val="center"/>
                </w:tcPr>
                <w:p>
                  <w:pPr>
                    <w:widowControl/>
                    <w:jc w:val="left"/>
                    <w:rPr>
                      <w:sz w:val="18"/>
                      <w:szCs w:val="18"/>
                    </w:rPr>
                  </w:pPr>
                </w:p>
              </w:tc>
              <w:tc>
                <w:tcPr>
                  <w:tcW w:w="0" w:type="auto"/>
                  <w:vMerge w:val="continue"/>
                  <w:vAlign w:val="center"/>
                </w:tcPr>
                <w:p>
                  <w:pPr>
                    <w:widowControl/>
                    <w:jc w:val="left"/>
                    <w:rPr>
                      <w:bCs/>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194" w:type="pct"/>
                  <w:vAlign w:val="center"/>
                </w:tcPr>
                <w:p>
                  <w:pPr>
                    <w:adjustRightInd w:val="0"/>
                    <w:snapToGrid w:val="0"/>
                    <w:jc w:val="center"/>
                    <w:rPr>
                      <w:sz w:val="18"/>
                      <w:szCs w:val="18"/>
                    </w:rPr>
                  </w:pPr>
                  <w:r>
                    <w:rPr>
                      <w:rFonts w:hint="eastAsia"/>
                      <w:sz w:val="18"/>
                      <w:szCs w:val="18"/>
                    </w:rPr>
                    <w:t>2</w:t>
                  </w:r>
                  <w:r>
                    <w:rPr>
                      <w:sz w:val="18"/>
                      <w:szCs w:val="18"/>
                    </w:rPr>
                    <w:t>50</w:t>
                  </w:r>
                </w:p>
              </w:tc>
              <w:tc>
                <w:tcPr>
                  <w:tcW w:w="0" w:type="auto"/>
                  <w:vMerge w:val="continue"/>
                  <w:vAlign w:val="center"/>
                </w:tcPr>
                <w:p>
                  <w:pPr>
                    <w:widowControl/>
                    <w:jc w:val="left"/>
                    <w:rPr>
                      <w:sz w:val="18"/>
                      <w:szCs w:val="18"/>
                    </w:rPr>
                  </w:pPr>
                </w:p>
              </w:tc>
              <w:tc>
                <w:tcPr>
                  <w:tcW w:w="0" w:type="auto"/>
                  <w:vMerge w:val="continue"/>
                  <w:vAlign w:val="center"/>
                </w:tcPr>
                <w:p>
                  <w:pPr>
                    <w:widowControl/>
                    <w:jc w:val="left"/>
                    <w:rPr>
                      <w:bCs/>
                      <w:sz w:val="18"/>
                      <w:szCs w:val="18"/>
                    </w:rPr>
                  </w:pPr>
                </w:p>
              </w:tc>
            </w:tr>
          </w:tbl>
          <w:p>
            <w:pPr>
              <w:adjustRightInd w:val="0"/>
              <w:snapToGrid w:val="0"/>
              <w:spacing w:line="360" w:lineRule="auto"/>
              <w:ind w:firstLine="420" w:firstLineChars="200"/>
            </w:pPr>
            <w:r>
              <w:rPr>
                <w:rFonts w:hint="eastAsia" w:ascii="宋体" w:hAnsi="宋体"/>
              </w:rPr>
              <w:t>（</w:t>
            </w:r>
            <w:r>
              <w:rPr>
                <w:rFonts w:hint="eastAsia"/>
              </w:rPr>
              <w:t>2</w:t>
            </w:r>
            <w:r>
              <w:rPr>
                <w:rFonts w:hint="eastAsia" w:ascii="宋体" w:hAnsi="宋体"/>
              </w:rPr>
              <w:t>）</w:t>
            </w:r>
            <w:r>
              <w:rPr>
                <w:rFonts w:ascii="宋体" w:hAnsi="宋体"/>
                <w:kern w:val="0"/>
              </w:rPr>
              <w:t>烘干滚筒</w:t>
            </w:r>
            <w:r>
              <w:rPr>
                <w:rFonts w:hint="eastAsia" w:ascii="宋体" w:hAnsi="宋体"/>
                <w:kern w:val="0"/>
              </w:rPr>
              <w:t>燃烧</w:t>
            </w:r>
            <w:r>
              <w:rPr>
                <w:rFonts w:ascii="宋体" w:hAnsi="宋体"/>
                <w:kern w:val="0"/>
              </w:rPr>
              <w:t>烟气</w:t>
            </w:r>
          </w:p>
          <w:p>
            <w:pPr>
              <w:adjustRightInd w:val="0"/>
              <w:snapToGrid w:val="0"/>
              <w:spacing w:line="360" w:lineRule="auto"/>
              <w:ind w:firstLine="420" w:firstLineChars="200"/>
            </w:pPr>
            <w:r>
              <w:rPr>
                <w:rFonts w:ascii="宋体" w:hAnsi="宋体"/>
              </w:rPr>
              <w:t>烘干滚筒</w:t>
            </w:r>
            <w:r>
              <w:rPr>
                <w:rFonts w:hint="eastAsia" w:ascii="宋体" w:hAnsi="宋体"/>
                <w:kern w:val="0"/>
              </w:rPr>
              <w:t>燃烧</w:t>
            </w:r>
            <w:r>
              <w:rPr>
                <w:rFonts w:ascii="宋体" w:hAnsi="宋体"/>
                <w:kern w:val="0"/>
              </w:rPr>
              <w:t>烟气</w:t>
            </w:r>
            <w:r>
              <w:rPr>
                <w:rFonts w:ascii="宋体" w:hAnsi="宋体"/>
              </w:rPr>
              <w:t>中污染物的排放浓度执行《工业炉窑大气污染物排放标准》（</w:t>
            </w:r>
            <w:r>
              <w:t>GB9078-1996</w:t>
            </w:r>
            <w:r>
              <w:rPr>
                <w:rFonts w:ascii="宋体" w:hAnsi="宋体"/>
              </w:rPr>
              <w:t>）中的二级标准。</w:t>
            </w:r>
            <w:r>
              <w:rPr>
                <w:rFonts w:hint="eastAsia" w:ascii="宋体" w:hAnsi="宋体"/>
              </w:rPr>
              <w:t>由于石料烘干、筛分过程产生粉尘与烘干滚筒燃烧烟气经同一排口排出，石料烘干、筛分粉尘排放浓度执行《大气污染物综合排放标准》（</w:t>
            </w:r>
            <w:r>
              <w:rPr>
                <w:rFonts w:hint="eastAsia"/>
              </w:rPr>
              <w:t>GB16297-1996</w:t>
            </w:r>
            <w:r>
              <w:rPr>
                <w:rFonts w:hint="eastAsia" w:ascii="宋体" w:hAnsi="宋体"/>
              </w:rPr>
              <w:t>）中标准限值（</w:t>
            </w:r>
            <w:r>
              <w:rPr>
                <w:rFonts w:hint="eastAsia"/>
              </w:rPr>
              <w:t>1</w:t>
            </w:r>
            <w:r>
              <w:t>20mg/m</w:t>
            </w:r>
            <w:r>
              <w:rPr>
                <w:vertAlign w:val="superscript"/>
              </w:rPr>
              <w:t>3</w:t>
            </w:r>
            <w:r>
              <w:rPr>
                <w:rFonts w:hint="eastAsia" w:ascii="宋体" w:hAnsi="宋体"/>
              </w:rPr>
              <w:t>），两者取严；</w:t>
            </w:r>
          </w:p>
          <w:p>
            <w:pPr>
              <w:adjustRightInd w:val="0"/>
              <w:snapToGrid w:val="0"/>
              <w:spacing w:line="360" w:lineRule="auto"/>
              <w:ind w:firstLine="420" w:firstLineChars="200"/>
            </w:pPr>
            <w:r>
              <w:rPr>
                <w:rFonts w:hint="eastAsia" w:ascii="宋体" w:hAnsi="宋体"/>
              </w:rPr>
              <w:t>且</w:t>
            </w:r>
            <w:r>
              <w:rPr>
                <w:rFonts w:ascii="宋体" w:hAnsi="宋体"/>
              </w:rPr>
              <w:t>《工业炉窑大气污染物排放标准》（</w:t>
            </w:r>
            <w:r>
              <w:t>GB9078-1996</w:t>
            </w:r>
            <w:r>
              <w:rPr>
                <w:rFonts w:ascii="宋体" w:hAnsi="宋体"/>
              </w:rPr>
              <w:t>）</w:t>
            </w:r>
            <w:r>
              <w:rPr>
                <w:rFonts w:hint="eastAsia" w:ascii="宋体" w:hAnsi="宋体"/>
              </w:rPr>
              <w:t>中未规定氮氧化物污染物浓度排放限值，故</w:t>
            </w:r>
            <w:r>
              <w:rPr>
                <w:rFonts w:ascii="宋体" w:hAnsi="宋体"/>
              </w:rPr>
              <w:t>烘干滚筒</w:t>
            </w:r>
            <w:r>
              <w:rPr>
                <w:rFonts w:hint="eastAsia" w:ascii="宋体" w:hAnsi="宋体"/>
                <w:kern w:val="0"/>
              </w:rPr>
              <w:t>燃烧</w:t>
            </w:r>
            <w:r>
              <w:rPr>
                <w:rFonts w:ascii="宋体" w:hAnsi="宋体"/>
                <w:kern w:val="0"/>
              </w:rPr>
              <w:t>烟气</w:t>
            </w:r>
            <w:r>
              <w:rPr>
                <w:rFonts w:ascii="宋体" w:hAnsi="宋体"/>
              </w:rPr>
              <w:t>中</w:t>
            </w:r>
            <w:r>
              <w:rPr>
                <w:rFonts w:hint="eastAsia" w:ascii="宋体" w:hAnsi="宋体"/>
              </w:rPr>
              <w:t>颗粒物、氮氧化物执行《大气污染物综合排放标准》（</w:t>
            </w:r>
            <w:r>
              <w:rPr>
                <w:rFonts w:hint="eastAsia"/>
              </w:rPr>
              <w:t>GB16297-1996</w:t>
            </w:r>
            <w:r>
              <w:rPr>
                <w:rFonts w:hint="eastAsia" w:ascii="宋体" w:hAnsi="宋体"/>
              </w:rPr>
              <w:t>）中相关标准限值。</w:t>
            </w:r>
          </w:p>
          <w:p>
            <w:pPr>
              <w:adjustRightInd w:val="0"/>
              <w:snapToGrid w:val="0"/>
              <w:spacing w:line="360" w:lineRule="auto"/>
              <w:jc w:val="center"/>
            </w:pPr>
            <w:r>
              <w:rPr>
                <w:rFonts w:ascii="宋体" w:hAnsi="宋体"/>
              </w:rPr>
              <w:t>表</w:t>
            </w:r>
            <w:r>
              <w:t xml:space="preserve">3-12  </w:t>
            </w:r>
            <w:r>
              <w:rPr>
                <w:rFonts w:ascii="宋体" w:hAnsi="宋体"/>
                <w:kern w:val="0"/>
              </w:rPr>
              <w:t>烘干滚筒</w:t>
            </w:r>
            <w:r>
              <w:rPr>
                <w:rFonts w:hint="eastAsia" w:ascii="宋体" w:hAnsi="宋体"/>
                <w:kern w:val="0"/>
              </w:rPr>
              <w:t>燃烧</w:t>
            </w:r>
            <w:r>
              <w:rPr>
                <w:rFonts w:ascii="宋体" w:hAnsi="宋体"/>
                <w:kern w:val="0"/>
              </w:rPr>
              <w:t>烟气</w:t>
            </w:r>
            <w:r>
              <w:rPr>
                <w:rFonts w:hint="eastAsia" w:ascii="宋体" w:hAnsi="宋体"/>
              </w:rPr>
              <w:t>污染物排放标准</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1983"/>
              <w:gridCol w:w="1701"/>
              <w:gridCol w:w="31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72" w:type="pct"/>
                  <w:vAlign w:val="center"/>
                </w:tcPr>
                <w:p>
                  <w:pPr>
                    <w:adjustRightInd w:val="0"/>
                    <w:snapToGrid w:val="0"/>
                    <w:jc w:val="center"/>
                    <w:rPr>
                      <w:sz w:val="18"/>
                      <w:szCs w:val="18"/>
                    </w:rPr>
                  </w:pPr>
                  <w:r>
                    <w:rPr>
                      <w:sz w:val="18"/>
                      <w:szCs w:val="18"/>
                    </w:rPr>
                    <w:t>污染物</w:t>
                  </w:r>
                </w:p>
              </w:tc>
              <w:tc>
                <w:tcPr>
                  <w:tcW w:w="1194" w:type="pct"/>
                  <w:vAlign w:val="center"/>
                </w:tcPr>
                <w:p>
                  <w:pPr>
                    <w:adjustRightInd w:val="0"/>
                    <w:snapToGrid w:val="0"/>
                    <w:jc w:val="center"/>
                    <w:rPr>
                      <w:sz w:val="18"/>
                      <w:szCs w:val="18"/>
                    </w:rPr>
                  </w:pPr>
                  <w:r>
                    <w:rPr>
                      <w:sz w:val="18"/>
                      <w:szCs w:val="18"/>
                    </w:rPr>
                    <w:t>最高允许排放浓度(mg/m</w:t>
                  </w:r>
                  <w:r>
                    <w:rPr>
                      <w:sz w:val="18"/>
                      <w:szCs w:val="18"/>
                      <w:vertAlign w:val="superscript"/>
                    </w:rPr>
                    <w:t>3</w:t>
                  </w:r>
                  <w:r>
                    <w:rPr>
                      <w:sz w:val="18"/>
                      <w:szCs w:val="18"/>
                    </w:rPr>
                    <w:t>)</w:t>
                  </w:r>
                </w:p>
              </w:tc>
              <w:tc>
                <w:tcPr>
                  <w:tcW w:w="1024" w:type="pct"/>
                  <w:vAlign w:val="center"/>
                </w:tcPr>
                <w:p>
                  <w:pPr>
                    <w:adjustRightInd w:val="0"/>
                    <w:snapToGrid w:val="0"/>
                    <w:jc w:val="center"/>
                    <w:rPr>
                      <w:sz w:val="18"/>
                      <w:szCs w:val="18"/>
                    </w:rPr>
                  </w:pPr>
                  <w:r>
                    <w:rPr>
                      <w:sz w:val="18"/>
                      <w:szCs w:val="18"/>
                    </w:rPr>
                    <w:t>排放高度（m</w:t>
                  </w:r>
                  <w:r>
                    <w:rPr>
                      <w:rFonts w:ascii="宋体" w:hAnsi="宋体"/>
                      <w:sz w:val="18"/>
                      <w:szCs w:val="18"/>
                    </w:rPr>
                    <w:t>）</w:t>
                  </w:r>
                </w:p>
              </w:tc>
              <w:tc>
                <w:tcPr>
                  <w:tcW w:w="1910" w:type="pct"/>
                  <w:vAlign w:val="center"/>
                </w:tcPr>
                <w:p>
                  <w:pPr>
                    <w:adjustRightInd w:val="0"/>
                    <w:snapToGrid w:val="0"/>
                    <w:jc w:val="center"/>
                    <w:rPr>
                      <w:sz w:val="18"/>
                      <w:szCs w:val="18"/>
                    </w:rPr>
                  </w:pPr>
                  <w:r>
                    <w:rPr>
                      <w:sz w:val="18"/>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194" w:type="pct"/>
                  <w:vAlign w:val="center"/>
                </w:tcPr>
                <w:p>
                  <w:pPr>
                    <w:adjustRightInd w:val="0"/>
                    <w:snapToGrid w:val="0"/>
                    <w:jc w:val="center"/>
                    <w:rPr>
                      <w:sz w:val="18"/>
                      <w:szCs w:val="18"/>
                    </w:rPr>
                  </w:pPr>
                  <w:r>
                    <w:rPr>
                      <w:sz w:val="18"/>
                      <w:szCs w:val="18"/>
                    </w:rPr>
                    <w:t>850</w:t>
                  </w:r>
                </w:p>
              </w:tc>
              <w:tc>
                <w:tcPr>
                  <w:tcW w:w="1024" w:type="pct"/>
                  <w:vMerge w:val="restart"/>
                  <w:vAlign w:val="center"/>
                </w:tcPr>
                <w:p>
                  <w:pPr>
                    <w:adjustRightInd w:val="0"/>
                    <w:snapToGrid w:val="0"/>
                    <w:jc w:val="center"/>
                    <w:rPr>
                      <w:sz w:val="18"/>
                      <w:szCs w:val="18"/>
                    </w:rPr>
                  </w:pPr>
                  <w:r>
                    <w:rPr>
                      <w:sz w:val="18"/>
                      <w:szCs w:val="18"/>
                    </w:rPr>
                    <w:t>15m</w:t>
                  </w:r>
                </w:p>
              </w:tc>
              <w:tc>
                <w:tcPr>
                  <w:tcW w:w="1910" w:type="pct"/>
                  <w:vAlign w:val="center"/>
                </w:tcPr>
                <w:p>
                  <w:pPr>
                    <w:adjustRightInd w:val="0"/>
                    <w:snapToGrid w:val="0"/>
                    <w:jc w:val="center"/>
                    <w:rPr>
                      <w:bCs/>
                      <w:sz w:val="18"/>
                      <w:szCs w:val="18"/>
                    </w:rPr>
                  </w:pPr>
                  <w:r>
                    <w:rPr>
                      <w:bCs/>
                      <w:sz w:val="18"/>
                      <w:szCs w:val="18"/>
                    </w:rPr>
                    <w:t>《工业炉窑大气污染物排放标准》（GB9078-1996</w:t>
                  </w:r>
                  <w:r>
                    <w:rPr>
                      <w:rFonts w:ascii="宋体" w:hAnsi="宋体"/>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 w:type="pct"/>
                  <w:vAlign w:val="center"/>
                </w:tcPr>
                <w:p>
                  <w:pPr>
                    <w:adjustRightInd w:val="0"/>
                    <w:snapToGrid w:val="0"/>
                    <w:jc w:val="center"/>
                    <w:rPr>
                      <w:sz w:val="18"/>
                      <w:szCs w:val="18"/>
                    </w:rPr>
                  </w:pPr>
                  <w:r>
                    <w:rPr>
                      <w:sz w:val="18"/>
                      <w:szCs w:val="18"/>
                    </w:rPr>
                    <w:t>颗粒物</w:t>
                  </w:r>
                </w:p>
              </w:tc>
              <w:tc>
                <w:tcPr>
                  <w:tcW w:w="1194" w:type="pct"/>
                  <w:vAlign w:val="center"/>
                </w:tcPr>
                <w:p>
                  <w:pPr>
                    <w:adjustRightInd w:val="0"/>
                    <w:snapToGrid w:val="0"/>
                    <w:jc w:val="center"/>
                    <w:rPr>
                      <w:sz w:val="18"/>
                      <w:szCs w:val="18"/>
                    </w:rPr>
                  </w:pPr>
                  <w:r>
                    <w:rPr>
                      <w:rFonts w:hint="eastAsia"/>
                      <w:sz w:val="18"/>
                      <w:szCs w:val="18"/>
                    </w:rPr>
                    <w:t>1</w:t>
                  </w:r>
                  <w:r>
                    <w:rPr>
                      <w:sz w:val="18"/>
                      <w:szCs w:val="18"/>
                    </w:rPr>
                    <w:t>20</w:t>
                  </w:r>
                </w:p>
              </w:tc>
              <w:tc>
                <w:tcPr>
                  <w:tcW w:w="0" w:type="auto"/>
                  <w:vMerge w:val="continue"/>
                  <w:vAlign w:val="center"/>
                </w:tcPr>
                <w:p>
                  <w:pPr>
                    <w:widowControl/>
                    <w:jc w:val="left"/>
                    <w:rPr>
                      <w:sz w:val="18"/>
                      <w:szCs w:val="18"/>
                    </w:rPr>
                  </w:pPr>
                </w:p>
              </w:tc>
              <w:tc>
                <w:tcPr>
                  <w:tcW w:w="1910" w:type="pct"/>
                  <w:vMerge w:val="restart"/>
                  <w:vAlign w:val="center"/>
                </w:tcPr>
                <w:p>
                  <w:pPr>
                    <w:widowControl/>
                    <w:adjustRightInd w:val="0"/>
                    <w:snapToGrid w:val="0"/>
                    <w:jc w:val="center"/>
                    <w:rPr>
                      <w:bCs/>
                      <w:sz w:val="18"/>
                      <w:szCs w:val="18"/>
                    </w:rPr>
                  </w:pPr>
                  <w:r>
                    <w:rPr>
                      <w:rFonts w:hint="eastAsia"/>
                      <w:bCs/>
                      <w:sz w:val="18"/>
                      <w:szCs w:val="18"/>
                    </w:rPr>
                    <w:t>《大气污染物综合排放标准》（GB16297-1996</w:t>
                  </w:r>
                  <w:r>
                    <w:rPr>
                      <w:rFonts w:hint="eastAsia" w:ascii="宋体" w:hAnsi="宋体"/>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194" w:type="pct"/>
                  <w:vAlign w:val="center"/>
                </w:tcPr>
                <w:p>
                  <w:pPr>
                    <w:adjustRightInd w:val="0"/>
                    <w:snapToGrid w:val="0"/>
                    <w:jc w:val="center"/>
                    <w:rPr>
                      <w:sz w:val="18"/>
                      <w:szCs w:val="18"/>
                    </w:rPr>
                  </w:pPr>
                  <w:r>
                    <w:rPr>
                      <w:rFonts w:hint="eastAsia"/>
                      <w:sz w:val="18"/>
                      <w:szCs w:val="18"/>
                    </w:rPr>
                    <w:t>2</w:t>
                  </w:r>
                  <w:r>
                    <w:rPr>
                      <w:sz w:val="18"/>
                      <w:szCs w:val="18"/>
                    </w:rPr>
                    <w:t>40</w:t>
                  </w:r>
                </w:p>
              </w:tc>
              <w:tc>
                <w:tcPr>
                  <w:tcW w:w="0" w:type="auto"/>
                  <w:vMerge w:val="continue"/>
                  <w:vAlign w:val="center"/>
                </w:tcPr>
                <w:p>
                  <w:pPr>
                    <w:widowControl/>
                    <w:jc w:val="left"/>
                    <w:rPr>
                      <w:sz w:val="18"/>
                      <w:szCs w:val="18"/>
                    </w:rPr>
                  </w:pPr>
                </w:p>
              </w:tc>
              <w:tc>
                <w:tcPr>
                  <w:tcW w:w="0" w:type="auto"/>
                  <w:vMerge w:val="continue"/>
                  <w:vAlign w:val="center"/>
                </w:tcPr>
                <w:p>
                  <w:pPr>
                    <w:widowControl/>
                    <w:jc w:val="left"/>
                    <w:rPr>
                      <w:bCs/>
                      <w:sz w:val="18"/>
                      <w:szCs w:val="18"/>
                    </w:rPr>
                  </w:pPr>
                </w:p>
              </w:tc>
            </w:tr>
          </w:tbl>
          <w:p>
            <w:pPr>
              <w:adjustRightInd w:val="0"/>
              <w:snapToGrid w:val="0"/>
              <w:spacing w:line="360" w:lineRule="auto"/>
              <w:ind w:firstLine="420" w:firstLineChars="200"/>
              <w:rPr>
                <w:kern w:val="0"/>
              </w:rPr>
            </w:pPr>
            <w:r>
              <w:rPr>
                <w:rFonts w:ascii="宋体" w:hAnsi="宋体"/>
                <w:kern w:val="0"/>
              </w:rPr>
              <w:t>（</w:t>
            </w:r>
            <w:r>
              <w:rPr>
                <w:kern w:val="0"/>
              </w:rPr>
              <w:t>3</w:t>
            </w:r>
            <w:r>
              <w:rPr>
                <w:rFonts w:ascii="宋体" w:hAnsi="宋体"/>
                <w:kern w:val="0"/>
              </w:rPr>
              <w:t>）工艺粉尘</w:t>
            </w:r>
          </w:p>
          <w:p>
            <w:pPr>
              <w:adjustRightInd w:val="0"/>
              <w:snapToGrid w:val="0"/>
              <w:spacing w:line="360" w:lineRule="auto"/>
              <w:ind w:firstLine="420" w:firstLineChars="200"/>
            </w:pPr>
            <w:r>
              <w:rPr>
                <w:rFonts w:hint="eastAsia" w:ascii="宋体" w:hAnsi="宋体"/>
              </w:rPr>
              <w:t>项目</w:t>
            </w:r>
            <w:r>
              <w:rPr>
                <w:rFonts w:ascii="宋体" w:hAnsi="宋体"/>
              </w:rPr>
              <w:t>生产过程中</w:t>
            </w:r>
            <w:r>
              <w:rPr>
                <w:rFonts w:hint="eastAsia" w:ascii="宋体" w:hAnsi="宋体"/>
              </w:rPr>
              <w:t>工艺</w:t>
            </w:r>
            <w:r>
              <w:rPr>
                <w:rFonts w:ascii="宋体" w:hAnsi="宋体"/>
              </w:rPr>
              <w:t>粉尘</w:t>
            </w:r>
            <w:r>
              <w:rPr>
                <w:rFonts w:hint="eastAsia" w:ascii="宋体" w:hAnsi="宋体"/>
              </w:rPr>
              <w:t>包括石料烘干、筛分粉尘，装卸过程无组织排放粉尘，粉尘</w:t>
            </w:r>
            <w:r>
              <w:rPr>
                <w:rFonts w:ascii="宋体" w:hAnsi="宋体"/>
              </w:rPr>
              <w:t>排放</w:t>
            </w:r>
            <w:r>
              <w:rPr>
                <w:rFonts w:hint="eastAsia" w:ascii="宋体" w:hAnsi="宋体"/>
              </w:rPr>
              <w:t>浓度</w:t>
            </w:r>
            <w:r>
              <w:rPr>
                <w:rFonts w:ascii="宋体" w:hAnsi="宋体"/>
              </w:rPr>
              <w:t>执行《大气污染物综合排放标准》（</w:t>
            </w:r>
            <w:r>
              <w:t>GB16297-1996</w:t>
            </w:r>
            <w:r>
              <w:rPr>
                <w:rFonts w:ascii="宋体" w:hAnsi="宋体"/>
              </w:rPr>
              <w:t>）中</w:t>
            </w:r>
            <w:r>
              <w:rPr>
                <w:rFonts w:hint="eastAsia" w:ascii="宋体" w:hAnsi="宋体"/>
              </w:rPr>
              <w:t>标准</w:t>
            </w:r>
            <w:r>
              <w:rPr>
                <w:rFonts w:ascii="宋体" w:hAnsi="宋体"/>
              </w:rPr>
              <w:t>限值要求，详见表</w:t>
            </w:r>
            <w:r>
              <w:t>3-13</w:t>
            </w:r>
            <w:r>
              <w:rPr>
                <w:rFonts w:ascii="宋体" w:hAnsi="宋体"/>
              </w:rPr>
              <w:t>。</w:t>
            </w:r>
          </w:p>
          <w:p>
            <w:pPr>
              <w:adjustRightInd w:val="0"/>
              <w:snapToGrid w:val="0"/>
              <w:spacing w:line="360" w:lineRule="auto"/>
              <w:jc w:val="center"/>
            </w:pPr>
            <w:r>
              <w:rPr>
                <w:rFonts w:ascii="宋体" w:hAnsi="宋体"/>
              </w:rPr>
              <w:t>表</w:t>
            </w:r>
            <w:r>
              <w:t xml:space="preserve">3-13  </w:t>
            </w:r>
            <w:r>
              <w:rPr>
                <w:rFonts w:hint="eastAsia" w:ascii="宋体" w:hAnsi="宋体"/>
              </w:rPr>
              <w:t>工艺粉尘污染物</w:t>
            </w:r>
            <w:r>
              <w:rPr>
                <w:rFonts w:ascii="宋体" w:hAnsi="宋体"/>
              </w:rPr>
              <w:t>排放标准</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355"/>
              <w:gridCol w:w="987"/>
              <w:gridCol w:w="1437"/>
              <w:gridCol w:w="1423"/>
              <w:gridCol w:w="25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320" w:type="pct"/>
                  <w:tcBorders>
                    <w:top w:val="single" w:color="auto" w:sz="12"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污染物</w:t>
                  </w:r>
                </w:p>
              </w:tc>
              <w:tc>
                <w:tcPr>
                  <w:tcW w:w="816"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最高允许排放浓度(mg/m</w:t>
                  </w:r>
                  <w:r>
                    <w:rPr>
                      <w:sz w:val="18"/>
                      <w:szCs w:val="18"/>
                      <w:vertAlign w:val="superscript"/>
                    </w:rPr>
                    <w:t>3</w:t>
                  </w:r>
                  <w:r>
                    <w:rPr>
                      <w:sz w:val="18"/>
                      <w:szCs w:val="18"/>
                    </w:rPr>
                    <w:t>)</w:t>
                  </w:r>
                </w:p>
              </w:tc>
              <w:tc>
                <w:tcPr>
                  <w:tcW w:w="594"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sz w:val="18"/>
                      <w:szCs w:val="18"/>
                    </w:rPr>
                    <w:t>排放高度（m</w:t>
                  </w:r>
                  <w:r>
                    <w:rPr>
                      <w:rFonts w:ascii="宋体" w:hAnsi="宋体"/>
                      <w:sz w:val="18"/>
                      <w:szCs w:val="18"/>
                    </w:rPr>
                    <w:t>）</w:t>
                  </w:r>
                </w:p>
              </w:tc>
              <w:tc>
                <w:tcPr>
                  <w:tcW w:w="865"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rFonts w:hint="eastAsia"/>
                      <w:sz w:val="18"/>
                      <w:szCs w:val="18"/>
                    </w:rPr>
                    <w:t>最高允许排放速率（k</w:t>
                  </w:r>
                  <w:r>
                    <w:rPr>
                      <w:sz w:val="18"/>
                      <w:szCs w:val="18"/>
                    </w:rPr>
                    <w:t>g/h</w:t>
                  </w:r>
                  <w:r>
                    <w:rPr>
                      <w:rFonts w:hint="eastAsia"/>
                      <w:sz w:val="18"/>
                      <w:szCs w:val="18"/>
                    </w:rPr>
                    <w:t>）</w:t>
                  </w:r>
                </w:p>
              </w:tc>
              <w:tc>
                <w:tcPr>
                  <w:tcW w:w="857"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sz w:val="18"/>
                      <w:szCs w:val="18"/>
                    </w:rPr>
                  </w:pPr>
                  <w:r>
                    <w:rPr>
                      <w:rFonts w:hint="eastAsia"/>
                      <w:sz w:val="18"/>
                      <w:szCs w:val="18"/>
                    </w:rPr>
                    <w:t>无组织排放浓度限值</w:t>
                  </w:r>
                  <w:r>
                    <w:rPr>
                      <w:sz w:val="18"/>
                      <w:szCs w:val="18"/>
                    </w:rPr>
                    <w:t>(mg/m</w:t>
                  </w:r>
                  <w:r>
                    <w:rPr>
                      <w:sz w:val="18"/>
                      <w:szCs w:val="18"/>
                      <w:vertAlign w:val="superscript"/>
                    </w:rPr>
                    <w:t>3</w:t>
                  </w:r>
                  <w:r>
                    <w:rPr>
                      <w:sz w:val="18"/>
                      <w:szCs w:val="18"/>
                    </w:rPr>
                    <w:t>)</w:t>
                  </w:r>
                </w:p>
              </w:tc>
              <w:tc>
                <w:tcPr>
                  <w:tcW w:w="1548" w:type="pct"/>
                  <w:tcBorders>
                    <w:top w:val="single" w:color="auto" w:sz="12"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0" w:type="pct"/>
                  <w:tcBorders>
                    <w:top w:val="single" w:color="auto" w:sz="4" w:space="0"/>
                    <w:left w:val="nil"/>
                    <w:bottom w:val="single" w:color="auto" w:sz="12" w:space="0"/>
                    <w:right w:val="single" w:color="auto" w:sz="4" w:space="0"/>
                  </w:tcBorders>
                  <w:vAlign w:val="center"/>
                </w:tcPr>
                <w:p>
                  <w:pPr>
                    <w:adjustRightInd w:val="0"/>
                    <w:snapToGrid w:val="0"/>
                    <w:jc w:val="center"/>
                    <w:rPr>
                      <w:sz w:val="18"/>
                      <w:szCs w:val="18"/>
                    </w:rPr>
                  </w:pPr>
                  <w:r>
                    <w:rPr>
                      <w:sz w:val="18"/>
                      <w:szCs w:val="18"/>
                    </w:rPr>
                    <w:t>颗粒物</w:t>
                  </w:r>
                </w:p>
              </w:tc>
              <w:tc>
                <w:tcPr>
                  <w:tcW w:w="816"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rFonts w:hint="eastAsia"/>
                      <w:sz w:val="18"/>
                      <w:szCs w:val="18"/>
                    </w:rPr>
                    <w:t>1</w:t>
                  </w:r>
                  <w:r>
                    <w:rPr>
                      <w:sz w:val="18"/>
                      <w:szCs w:val="18"/>
                    </w:rPr>
                    <w:t>20</w:t>
                  </w:r>
                </w:p>
              </w:tc>
              <w:tc>
                <w:tcPr>
                  <w:tcW w:w="594"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15m</w:t>
                  </w:r>
                </w:p>
              </w:tc>
              <w:tc>
                <w:tcPr>
                  <w:tcW w:w="865"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 w:val="18"/>
                      <w:szCs w:val="18"/>
                    </w:rPr>
                  </w:pPr>
                  <w:r>
                    <w:rPr>
                      <w:rFonts w:hint="eastAsia"/>
                      <w:bCs/>
                      <w:sz w:val="18"/>
                      <w:szCs w:val="18"/>
                    </w:rPr>
                    <w:t>3</w:t>
                  </w:r>
                  <w:r>
                    <w:rPr>
                      <w:bCs/>
                      <w:sz w:val="18"/>
                      <w:szCs w:val="18"/>
                    </w:rPr>
                    <w:t>.5</w:t>
                  </w:r>
                </w:p>
              </w:tc>
              <w:tc>
                <w:tcPr>
                  <w:tcW w:w="857"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bCs/>
                      <w:sz w:val="18"/>
                      <w:szCs w:val="18"/>
                    </w:rPr>
                  </w:pPr>
                  <w:r>
                    <w:rPr>
                      <w:rFonts w:hint="eastAsia"/>
                      <w:bCs/>
                      <w:sz w:val="18"/>
                      <w:szCs w:val="18"/>
                    </w:rPr>
                    <w:t>1</w:t>
                  </w:r>
                  <w:r>
                    <w:rPr>
                      <w:bCs/>
                      <w:sz w:val="18"/>
                      <w:szCs w:val="18"/>
                    </w:rPr>
                    <w:t>.0</w:t>
                  </w:r>
                </w:p>
              </w:tc>
              <w:tc>
                <w:tcPr>
                  <w:tcW w:w="1548" w:type="pct"/>
                  <w:tcBorders>
                    <w:top w:val="single" w:color="auto" w:sz="4" w:space="0"/>
                    <w:left w:val="single" w:color="auto" w:sz="4" w:space="0"/>
                    <w:bottom w:val="single" w:color="auto" w:sz="12" w:space="0"/>
                    <w:right w:val="nil"/>
                  </w:tcBorders>
                  <w:vAlign w:val="center"/>
                </w:tcPr>
                <w:p>
                  <w:pPr>
                    <w:adjustRightInd w:val="0"/>
                    <w:snapToGrid w:val="0"/>
                    <w:jc w:val="center"/>
                    <w:rPr>
                      <w:bCs/>
                      <w:sz w:val="18"/>
                      <w:szCs w:val="18"/>
                    </w:rPr>
                  </w:pPr>
                  <w:r>
                    <w:rPr>
                      <w:rFonts w:hint="eastAsia"/>
                      <w:bCs/>
                      <w:sz w:val="18"/>
                      <w:szCs w:val="18"/>
                    </w:rPr>
                    <w:t>《大气污染物综合排放标准》（GB16297-1996</w:t>
                  </w:r>
                  <w:r>
                    <w:rPr>
                      <w:rFonts w:hint="eastAsia" w:ascii="宋体" w:hAnsi="宋体"/>
                      <w:bCs/>
                      <w:sz w:val="18"/>
                      <w:szCs w:val="18"/>
                    </w:rPr>
                    <w:t>）</w:t>
                  </w:r>
                </w:p>
              </w:tc>
            </w:tr>
          </w:tbl>
          <w:p>
            <w:pPr>
              <w:adjustRightInd w:val="0"/>
              <w:snapToGrid w:val="0"/>
              <w:spacing w:line="360" w:lineRule="auto"/>
              <w:ind w:firstLine="420" w:firstLineChars="200"/>
            </w:pPr>
            <w:r>
              <w:rPr>
                <w:rFonts w:ascii="宋体" w:hAnsi="宋体"/>
              </w:rPr>
              <w:t>（</w:t>
            </w:r>
            <w:r>
              <w:t>4</w:t>
            </w:r>
            <w:r>
              <w:rPr>
                <w:rFonts w:ascii="宋体" w:hAnsi="宋体"/>
              </w:rPr>
              <w:t>）沥青烟气</w:t>
            </w:r>
          </w:p>
          <w:p>
            <w:pPr>
              <w:adjustRightInd w:val="0"/>
              <w:snapToGrid w:val="0"/>
              <w:spacing w:line="360" w:lineRule="auto"/>
              <w:ind w:firstLine="420" w:firstLineChars="200"/>
            </w:pPr>
            <w:r>
              <w:rPr>
                <w:rFonts w:ascii="宋体" w:hAnsi="宋体"/>
              </w:rPr>
              <w:t>本项目生产过程中产生的沥青烟气及苯并</w:t>
            </w:r>
            <w:r>
              <w:t>[α]</w:t>
            </w:r>
            <w:r>
              <w:rPr>
                <w:rFonts w:ascii="宋体" w:hAnsi="宋体"/>
              </w:rPr>
              <w:t>芘的排放浓度执行《大气污染物综合排放标准》（</w:t>
            </w:r>
            <w:r>
              <w:t>GB16297-1996</w:t>
            </w:r>
            <w:r>
              <w:rPr>
                <w:rFonts w:ascii="宋体" w:hAnsi="宋体"/>
              </w:rPr>
              <w:t>）中的二级标准，详见表</w:t>
            </w:r>
            <w:r>
              <w:t>3-14</w:t>
            </w:r>
            <w:r>
              <w:rPr>
                <w:rFonts w:ascii="宋体" w:hAnsi="宋体"/>
              </w:rPr>
              <w:t>。</w:t>
            </w:r>
          </w:p>
          <w:p>
            <w:pPr>
              <w:adjustRightInd w:val="0"/>
              <w:snapToGrid w:val="0"/>
              <w:spacing w:line="360" w:lineRule="auto"/>
              <w:jc w:val="center"/>
            </w:pPr>
            <w:r>
              <w:rPr>
                <w:rFonts w:ascii="宋体" w:hAnsi="宋体"/>
              </w:rPr>
              <w:t>表</w:t>
            </w:r>
            <w:r>
              <w:t xml:space="preserve">3-14  </w:t>
            </w:r>
            <w:r>
              <w:rPr>
                <w:rFonts w:ascii="宋体" w:hAnsi="宋体"/>
              </w:rPr>
              <w:t>沥青烟气</w:t>
            </w:r>
            <w:r>
              <w:rPr>
                <w:rFonts w:hint="eastAsia" w:ascii="宋体" w:hAnsi="宋体"/>
              </w:rPr>
              <w:t>污染物</w:t>
            </w:r>
            <w:r>
              <w:rPr>
                <w:rFonts w:ascii="宋体" w:hAnsi="宋体"/>
              </w:rPr>
              <w:t>排放标准</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362"/>
              <w:gridCol w:w="1211"/>
              <w:gridCol w:w="782"/>
              <w:gridCol w:w="1616"/>
              <w:gridCol w:w="26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4" w:hRule="atLeast"/>
                <w:jc w:val="center"/>
              </w:trPr>
              <w:tc>
                <w:tcPr>
                  <w:tcW w:w="389" w:type="pct"/>
                  <w:vAlign w:val="center"/>
                </w:tcPr>
                <w:p>
                  <w:pPr>
                    <w:adjustRightInd w:val="0"/>
                    <w:snapToGrid w:val="0"/>
                    <w:jc w:val="center"/>
                    <w:rPr>
                      <w:sz w:val="18"/>
                      <w:szCs w:val="18"/>
                    </w:rPr>
                  </w:pPr>
                  <w:r>
                    <w:rPr>
                      <w:sz w:val="18"/>
                      <w:szCs w:val="18"/>
                    </w:rPr>
                    <w:t>污染物</w:t>
                  </w:r>
                </w:p>
              </w:tc>
              <w:tc>
                <w:tcPr>
                  <w:tcW w:w="820" w:type="pct"/>
                  <w:vAlign w:val="center"/>
                </w:tcPr>
                <w:p>
                  <w:pPr>
                    <w:adjustRightInd w:val="0"/>
                    <w:snapToGrid w:val="0"/>
                    <w:jc w:val="center"/>
                    <w:rPr>
                      <w:sz w:val="18"/>
                      <w:szCs w:val="18"/>
                    </w:rPr>
                  </w:pPr>
                  <w:r>
                    <w:rPr>
                      <w:sz w:val="18"/>
                      <w:szCs w:val="18"/>
                    </w:rPr>
                    <w:t>排放浓度（mg/m</w:t>
                  </w:r>
                  <w:r>
                    <w:rPr>
                      <w:sz w:val="18"/>
                      <w:szCs w:val="18"/>
                      <w:vertAlign w:val="superscript"/>
                    </w:rPr>
                    <w:t>3</w:t>
                  </w:r>
                  <w:r>
                    <w:rPr>
                      <w:sz w:val="18"/>
                      <w:szCs w:val="18"/>
                    </w:rPr>
                    <w:t>）</w:t>
                  </w:r>
                </w:p>
              </w:tc>
              <w:tc>
                <w:tcPr>
                  <w:tcW w:w="729" w:type="pct"/>
                  <w:vAlign w:val="center"/>
                </w:tcPr>
                <w:p>
                  <w:pPr>
                    <w:adjustRightInd w:val="0"/>
                    <w:snapToGrid w:val="0"/>
                    <w:jc w:val="center"/>
                    <w:rPr>
                      <w:sz w:val="18"/>
                      <w:szCs w:val="18"/>
                    </w:rPr>
                  </w:pPr>
                  <w:r>
                    <w:rPr>
                      <w:sz w:val="18"/>
                      <w:szCs w:val="18"/>
                    </w:rPr>
                    <w:t>排放速率（kg/h</w:t>
                  </w:r>
                  <w:r>
                    <w:rPr>
                      <w:rFonts w:ascii="宋体" w:hAnsi="宋体"/>
                      <w:sz w:val="18"/>
                      <w:szCs w:val="18"/>
                    </w:rPr>
                    <w:t>）</w:t>
                  </w:r>
                </w:p>
              </w:tc>
              <w:tc>
                <w:tcPr>
                  <w:tcW w:w="471" w:type="pct"/>
                  <w:vAlign w:val="center"/>
                </w:tcPr>
                <w:p>
                  <w:pPr>
                    <w:adjustRightInd w:val="0"/>
                    <w:snapToGrid w:val="0"/>
                    <w:jc w:val="center"/>
                    <w:rPr>
                      <w:sz w:val="18"/>
                      <w:szCs w:val="18"/>
                    </w:rPr>
                  </w:pPr>
                  <w:r>
                    <w:rPr>
                      <w:sz w:val="18"/>
                      <w:szCs w:val="18"/>
                    </w:rPr>
                    <w:t>排气筒高度</w:t>
                  </w:r>
                </w:p>
              </w:tc>
              <w:tc>
                <w:tcPr>
                  <w:tcW w:w="973" w:type="pct"/>
                  <w:vAlign w:val="center"/>
                </w:tcPr>
                <w:p>
                  <w:pPr>
                    <w:adjustRightInd w:val="0"/>
                    <w:snapToGrid w:val="0"/>
                    <w:jc w:val="center"/>
                    <w:rPr>
                      <w:sz w:val="18"/>
                      <w:szCs w:val="18"/>
                    </w:rPr>
                  </w:pPr>
                  <w:r>
                    <w:rPr>
                      <w:rFonts w:hint="eastAsia"/>
                      <w:sz w:val="18"/>
                      <w:szCs w:val="18"/>
                    </w:rPr>
                    <w:t>无组织排放浓度限值</w:t>
                  </w:r>
                  <w:r>
                    <w:rPr>
                      <w:sz w:val="18"/>
                      <w:szCs w:val="18"/>
                    </w:rPr>
                    <w:t>(mg/m</w:t>
                  </w:r>
                  <w:r>
                    <w:rPr>
                      <w:sz w:val="18"/>
                      <w:szCs w:val="18"/>
                      <w:vertAlign w:val="superscript"/>
                    </w:rPr>
                    <w:t>3</w:t>
                  </w:r>
                  <w:r>
                    <w:rPr>
                      <w:sz w:val="18"/>
                      <w:szCs w:val="18"/>
                    </w:rPr>
                    <w:t>)</w:t>
                  </w:r>
                </w:p>
              </w:tc>
              <w:tc>
                <w:tcPr>
                  <w:tcW w:w="1618" w:type="pct"/>
                  <w:vAlign w:val="center"/>
                </w:tcPr>
                <w:p>
                  <w:pPr>
                    <w:adjustRightInd w:val="0"/>
                    <w:snapToGrid w:val="0"/>
                    <w:jc w:val="center"/>
                    <w:rPr>
                      <w:sz w:val="18"/>
                      <w:szCs w:val="18"/>
                    </w:rPr>
                  </w:pPr>
                  <w:r>
                    <w:rPr>
                      <w:sz w:val="18"/>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8" w:hRule="atLeast"/>
                <w:jc w:val="center"/>
              </w:trPr>
              <w:tc>
                <w:tcPr>
                  <w:tcW w:w="389" w:type="pct"/>
                  <w:vAlign w:val="center"/>
                </w:tcPr>
                <w:p>
                  <w:pPr>
                    <w:adjustRightInd w:val="0"/>
                    <w:snapToGrid w:val="0"/>
                    <w:jc w:val="center"/>
                    <w:rPr>
                      <w:sz w:val="18"/>
                      <w:szCs w:val="18"/>
                    </w:rPr>
                  </w:pPr>
                  <w:r>
                    <w:rPr>
                      <w:sz w:val="18"/>
                      <w:szCs w:val="18"/>
                    </w:rPr>
                    <w:t>沥青烟</w:t>
                  </w:r>
                </w:p>
              </w:tc>
              <w:tc>
                <w:tcPr>
                  <w:tcW w:w="820" w:type="pct"/>
                  <w:vAlign w:val="center"/>
                </w:tcPr>
                <w:p>
                  <w:pPr>
                    <w:pStyle w:val="25"/>
                    <w:rPr>
                      <w:rFonts w:ascii="Times New Roman" w:hAnsi="Times New Roman"/>
                      <w:sz w:val="18"/>
                      <w:szCs w:val="18"/>
                    </w:rPr>
                  </w:pPr>
                  <w:r>
                    <w:rPr>
                      <w:rFonts w:ascii="Times New Roman" w:hAnsi="Times New Roman"/>
                      <w:sz w:val="18"/>
                      <w:szCs w:val="18"/>
                    </w:rPr>
                    <w:t>75</w:t>
                  </w:r>
                </w:p>
              </w:tc>
              <w:tc>
                <w:tcPr>
                  <w:tcW w:w="729" w:type="pct"/>
                  <w:vAlign w:val="center"/>
                </w:tcPr>
                <w:p>
                  <w:pPr>
                    <w:pStyle w:val="25"/>
                    <w:rPr>
                      <w:rFonts w:ascii="Times New Roman" w:hAnsi="Times New Roman"/>
                      <w:sz w:val="18"/>
                      <w:szCs w:val="18"/>
                    </w:rPr>
                  </w:pPr>
                  <w:r>
                    <w:rPr>
                      <w:rFonts w:ascii="Times New Roman" w:hAnsi="Times New Roman"/>
                      <w:sz w:val="18"/>
                      <w:szCs w:val="18"/>
                    </w:rPr>
                    <w:t>0.18</w:t>
                  </w:r>
                </w:p>
              </w:tc>
              <w:tc>
                <w:tcPr>
                  <w:tcW w:w="471" w:type="pct"/>
                  <w:vMerge w:val="restart"/>
                  <w:vAlign w:val="center"/>
                </w:tcPr>
                <w:p>
                  <w:pPr>
                    <w:pStyle w:val="20"/>
                    <w:adjustRightInd w:val="0"/>
                    <w:snapToGrid w:val="0"/>
                    <w:rPr>
                      <w:rFonts w:ascii="Times New Roman" w:hAnsi="Times New Roman"/>
                      <w:sz w:val="18"/>
                      <w:szCs w:val="18"/>
                    </w:rPr>
                  </w:pPr>
                  <w:r>
                    <w:rPr>
                      <w:rFonts w:ascii="Times New Roman" w:hAnsi="Times New Roman"/>
                      <w:sz w:val="18"/>
                      <w:szCs w:val="18"/>
                    </w:rPr>
                    <w:t>15m</w:t>
                  </w:r>
                </w:p>
              </w:tc>
              <w:tc>
                <w:tcPr>
                  <w:tcW w:w="973" w:type="pct"/>
                  <w:vAlign w:val="center"/>
                </w:tcPr>
                <w:p>
                  <w:pPr>
                    <w:adjustRightInd w:val="0"/>
                    <w:snapToGrid w:val="0"/>
                    <w:jc w:val="center"/>
                    <w:rPr>
                      <w:sz w:val="18"/>
                      <w:szCs w:val="18"/>
                    </w:rPr>
                  </w:pPr>
                  <w:r>
                    <w:rPr>
                      <w:rFonts w:hint="eastAsia"/>
                      <w:sz w:val="18"/>
                      <w:szCs w:val="18"/>
                    </w:rPr>
                    <w:t>/</w:t>
                  </w:r>
                </w:p>
              </w:tc>
              <w:tc>
                <w:tcPr>
                  <w:tcW w:w="1618" w:type="pct"/>
                  <w:vMerge w:val="restart"/>
                  <w:vAlign w:val="center"/>
                </w:tcPr>
                <w:p>
                  <w:pPr>
                    <w:adjustRightInd w:val="0"/>
                    <w:snapToGrid w:val="0"/>
                    <w:jc w:val="center"/>
                    <w:rPr>
                      <w:sz w:val="18"/>
                      <w:szCs w:val="18"/>
                    </w:rPr>
                  </w:pPr>
                  <w:r>
                    <w:rPr>
                      <w:sz w:val="18"/>
                      <w:szCs w:val="18"/>
                    </w:rPr>
                    <w:t>《大气污染物综合排放标准》（GB16297-1996</w:t>
                  </w:r>
                  <w:r>
                    <w:rPr>
                      <w:rFonts w:ascii="宋体" w:hAnsi="宋体"/>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389" w:type="pct"/>
                  <w:vAlign w:val="center"/>
                </w:tcPr>
                <w:p>
                  <w:pPr>
                    <w:adjustRightInd w:val="0"/>
                    <w:snapToGrid w:val="0"/>
                    <w:jc w:val="center"/>
                    <w:rPr>
                      <w:sz w:val="18"/>
                      <w:szCs w:val="18"/>
                    </w:rPr>
                  </w:pPr>
                  <w:r>
                    <w:rPr>
                      <w:sz w:val="18"/>
                      <w:szCs w:val="18"/>
                    </w:rPr>
                    <w:t>苯并[a]</w:t>
                  </w:r>
                  <w:r>
                    <w:rPr>
                      <w:rFonts w:ascii="宋体" w:hAnsi="宋体"/>
                      <w:sz w:val="18"/>
                      <w:szCs w:val="18"/>
                    </w:rPr>
                    <w:t>芘</w:t>
                  </w:r>
                </w:p>
              </w:tc>
              <w:tc>
                <w:tcPr>
                  <w:tcW w:w="820" w:type="pct"/>
                  <w:vAlign w:val="center"/>
                </w:tcPr>
                <w:p>
                  <w:pPr>
                    <w:pStyle w:val="25"/>
                    <w:rPr>
                      <w:rFonts w:ascii="Times New Roman" w:hAnsi="Times New Roman"/>
                      <w:sz w:val="18"/>
                      <w:szCs w:val="18"/>
                    </w:rPr>
                  </w:pPr>
                  <w:r>
                    <w:rPr>
                      <w:rFonts w:ascii="Times New Roman" w:hAnsi="Times New Roman"/>
                      <w:sz w:val="18"/>
                      <w:szCs w:val="18"/>
                    </w:rPr>
                    <w:t>0.3×10</w:t>
                  </w:r>
                  <w:r>
                    <w:rPr>
                      <w:rFonts w:ascii="Times New Roman" w:hAnsi="Times New Roman"/>
                      <w:sz w:val="18"/>
                      <w:szCs w:val="18"/>
                      <w:vertAlign w:val="superscript"/>
                    </w:rPr>
                    <w:t>-3</w:t>
                  </w:r>
                </w:p>
              </w:tc>
              <w:tc>
                <w:tcPr>
                  <w:tcW w:w="729" w:type="pct"/>
                  <w:vAlign w:val="center"/>
                </w:tcPr>
                <w:p>
                  <w:pPr>
                    <w:pStyle w:val="25"/>
                    <w:rPr>
                      <w:rFonts w:ascii="Times New Roman" w:hAnsi="Times New Roman"/>
                      <w:sz w:val="18"/>
                      <w:szCs w:val="18"/>
                    </w:rPr>
                  </w:pPr>
                  <w:r>
                    <w:rPr>
                      <w:rFonts w:ascii="Times New Roman" w:hAnsi="Times New Roman"/>
                      <w:sz w:val="18"/>
                      <w:szCs w:val="18"/>
                    </w:rPr>
                    <w:t>0.05×10</w:t>
                  </w:r>
                  <w:r>
                    <w:rPr>
                      <w:rFonts w:ascii="Times New Roman" w:hAnsi="Times New Roman"/>
                      <w:sz w:val="18"/>
                      <w:szCs w:val="18"/>
                      <w:vertAlign w:val="superscript"/>
                    </w:rPr>
                    <w:t>-3</w:t>
                  </w:r>
                </w:p>
              </w:tc>
              <w:tc>
                <w:tcPr>
                  <w:tcW w:w="0" w:type="auto"/>
                  <w:vMerge w:val="continue"/>
                  <w:vAlign w:val="center"/>
                </w:tcPr>
                <w:p>
                  <w:pPr>
                    <w:widowControl/>
                    <w:jc w:val="left"/>
                    <w:rPr>
                      <w:sz w:val="18"/>
                      <w:szCs w:val="18"/>
                    </w:rPr>
                  </w:pPr>
                </w:p>
              </w:tc>
              <w:tc>
                <w:tcPr>
                  <w:tcW w:w="973" w:type="pct"/>
                  <w:vAlign w:val="center"/>
                </w:tcPr>
                <w:p>
                  <w:pPr>
                    <w:widowControl/>
                    <w:adjustRightInd w:val="0"/>
                    <w:snapToGrid w:val="0"/>
                    <w:jc w:val="center"/>
                    <w:rPr>
                      <w:sz w:val="18"/>
                      <w:szCs w:val="18"/>
                    </w:rPr>
                  </w:pPr>
                  <w:r>
                    <w:rPr>
                      <w:rFonts w:hint="eastAsia"/>
                      <w:sz w:val="18"/>
                      <w:szCs w:val="18"/>
                    </w:rPr>
                    <w:t>0</w:t>
                  </w:r>
                  <w:r>
                    <w:rPr>
                      <w:sz w:val="18"/>
                      <w:szCs w:val="18"/>
                    </w:rPr>
                    <w:t>.008</w:t>
                  </w:r>
                  <w:r>
                    <w:rPr>
                      <w:rFonts w:hint="eastAsia"/>
                      <w:sz w:val="18"/>
                      <w:szCs w:val="18"/>
                    </w:rPr>
                    <w:t>（</w:t>
                  </w:r>
                  <w:r>
                    <w:rPr>
                      <w:sz w:val="18"/>
                      <w:szCs w:val="18"/>
                    </w:rPr>
                    <w:t>μg/m</w:t>
                  </w:r>
                  <w:r>
                    <w:rPr>
                      <w:sz w:val="18"/>
                      <w:szCs w:val="18"/>
                      <w:vertAlign w:val="superscript"/>
                    </w:rPr>
                    <w:t>3</w:t>
                  </w:r>
                  <w:r>
                    <w:rPr>
                      <w:rFonts w:hint="eastAsia"/>
                      <w:sz w:val="18"/>
                      <w:szCs w:val="18"/>
                    </w:rPr>
                    <w:t>）</w:t>
                  </w:r>
                </w:p>
              </w:tc>
              <w:tc>
                <w:tcPr>
                  <w:tcW w:w="0" w:type="auto"/>
                  <w:vMerge w:val="continue"/>
                  <w:vAlign w:val="center"/>
                </w:tcPr>
                <w:p>
                  <w:pPr>
                    <w:widowControl/>
                    <w:jc w:val="left"/>
                    <w:rPr>
                      <w:sz w:val="18"/>
                      <w:szCs w:val="18"/>
                    </w:rPr>
                  </w:pPr>
                </w:p>
              </w:tc>
            </w:tr>
          </w:tbl>
          <w:p>
            <w:pPr>
              <w:adjustRightInd w:val="0"/>
              <w:snapToGrid w:val="0"/>
              <w:spacing w:line="360" w:lineRule="auto"/>
              <w:ind w:firstLine="420" w:firstLineChars="200"/>
            </w:pPr>
            <w:r>
              <w:t>2、噪声</w:t>
            </w:r>
          </w:p>
          <w:p>
            <w:pPr>
              <w:adjustRightInd w:val="0"/>
              <w:snapToGrid w:val="0"/>
              <w:spacing w:line="360" w:lineRule="auto"/>
              <w:ind w:firstLine="420" w:firstLineChars="200"/>
            </w:pPr>
            <w:r>
              <w:t>本项目施工期场界环境噪声应执行《建筑施工场界环境噪声排放标准》（GB12523-2011）中标准限值，详见表3-15。</w:t>
            </w:r>
          </w:p>
          <w:p>
            <w:pPr>
              <w:adjustRightInd w:val="0"/>
              <w:snapToGrid w:val="0"/>
              <w:spacing w:line="360" w:lineRule="auto"/>
              <w:jc w:val="center"/>
            </w:pPr>
            <w:r>
              <w:t>表3-15  建筑施工场界环境噪声排放限值  单位：dB（A）</w:t>
            </w:r>
          </w:p>
          <w:tbl>
            <w:tblPr>
              <w:tblStyle w:val="1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97"/>
              <w:gridCol w:w="2267"/>
              <w:gridCol w:w="374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2" w:hRule="atLeast"/>
                <w:jc w:val="center"/>
              </w:trPr>
              <w:tc>
                <w:tcPr>
                  <w:tcW w:w="2748" w:type="pct"/>
                  <w:gridSpan w:val="2"/>
                  <w:tcBorders>
                    <w:top w:val="single" w:color="000000" w:sz="12" w:space="0"/>
                    <w:bottom w:val="single" w:color="000000" w:sz="4" w:space="0"/>
                    <w:right w:val="single" w:color="000000" w:sz="4" w:space="0"/>
                  </w:tcBorders>
                  <w:vAlign w:val="center"/>
                </w:tcPr>
                <w:p>
                  <w:pPr>
                    <w:adjustRightInd w:val="0"/>
                    <w:snapToGrid w:val="0"/>
                    <w:jc w:val="center"/>
                    <w:rPr>
                      <w:sz w:val="18"/>
                      <w:szCs w:val="18"/>
                    </w:rPr>
                  </w:pPr>
                  <w:r>
                    <w:rPr>
                      <w:sz w:val="18"/>
                      <w:szCs w:val="18"/>
                    </w:rPr>
                    <w:t>标准值</w:t>
                  </w:r>
                </w:p>
              </w:tc>
              <w:tc>
                <w:tcPr>
                  <w:tcW w:w="2252" w:type="pct"/>
                  <w:vMerge w:val="restart"/>
                  <w:tcBorders>
                    <w:top w:val="single" w:color="000000" w:sz="12" w:space="0"/>
                    <w:left w:val="single" w:color="000000" w:sz="4" w:space="0"/>
                    <w:bottom w:val="single" w:color="000000" w:sz="4" w:space="0"/>
                  </w:tcBorders>
                  <w:vAlign w:val="center"/>
                </w:tcPr>
                <w:p>
                  <w:pPr>
                    <w:adjustRightInd w:val="0"/>
                    <w:snapToGrid w:val="0"/>
                    <w:jc w:val="center"/>
                    <w:rPr>
                      <w:sz w:val="18"/>
                      <w:szCs w:val="18"/>
                    </w:rPr>
                  </w:pPr>
                  <w:r>
                    <w:rPr>
                      <w:sz w:val="18"/>
                      <w:szCs w:val="18"/>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0" w:hRule="atLeast"/>
                <w:jc w:val="center"/>
              </w:trPr>
              <w:tc>
                <w:tcPr>
                  <w:tcW w:w="1383" w:type="pct"/>
                  <w:tcBorders>
                    <w:top w:val="single" w:color="000000" w:sz="4" w:space="0"/>
                    <w:bottom w:val="single" w:color="000000" w:sz="4" w:space="0"/>
                    <w:right w:val="single" w:color="000000" w:sz="4" w:space="0"/>
                  </w:tcBorders>
                  <w:vAlign w:val="center"/>
                </w:tcPr>
                <w:p>
                  <w:pPr>
                    <w:adjustRightInd w:val="0"/>
                    <w:snapToGrid w:val="0"/>
                    <w:jc w:val="center"/>
                    <w:rPr>
                      <w:sz w:val="18"/>
                      <w:szCs w:val="18"/>
                    </w:rPr>
                  </w:pPr>
                  <w:r>
                    <w:rPr>
                      <w:sz w:val="18"/>
                      <w:szCs w:val="18"/>
                    </w:rPr>
                    <w:t>昼间</w:t>
                  </w:r>
                </w:p>
              </w:tc>
              <w:tc>
                <w:tcPr>
                  <w:tcW w:w="1365"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sz w:val="18"/>
                      <w:szCs w:val="18"/>
                    </w:rPr>
                  </w:pPr>
                  <w:r>
                    <w:rPr>
                      <w:sz w:val="18"/>
                      <w:szCs w:val="18"/>
                    </w:rPr>
                    <w:t>夜间</w:t>
                  </w:r>
                </w:p>
              </w:tc>
              <w:tc>
                <w:tcPr>
                  <w:tcW w:w="2252" w:type="pct"/>
                  <w:vMerge w:val="continue"/>
                  <w:tcBorders>
                    <w:top w:val="single" w:color="000000" w:sz="4" w:space="0"/>
                    <w:left w:val="single" w:color="000000" w:sz="4" w:space="0"/>
                    <w:bottom w:val="single" w:color="000000" w:sz="4" w:space="0"/>
                  </w:tcBorders>
                  <w:vAlign w:val="center"/>
                </w:tcPr>
                <w:p>
                  <w:pPr>
                    <w:adjustRightInd w:val="0"/>
                    <w:snapToGrid w:val="0"/>
                    <w:jc w:val="center"/>
                    <w:rPr>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83" w:type="pct"/>
                  <w:tcBorders>
                    <w:top w:val="single" w:color="000000" w:sz="4" w:space="0"/>
                    <w:bottom w:val="single" w:color="000000" w:sz="12" w:space="0"/>
                    <w:right w:val="single" w:color="000000" w:sz="4" w:space="0"/>
                  </w:tcBorders>
                  <w:vAlign w:val="center"/>
                </w:tcPr>
                <w:p>
                  <w:pPr>
                    <w:adjustRightInd w:val="0"/>
                    <w:snapToGrid w:val="0"/>
                    <w:jc w:val="center"/>
                    <w:rPr>
                      <w:sz w:val="18"/>
                      <w:szCs w:val="18"/>
                    </w:rPr>
                  </w:pPr>
                  <w:r>
                    <w:rPr>
                      <w:sz w:val="18"/>
                      <w:szCs w:val="18"/>
                    </w:rPr>
                    <w:t>70</w:t>
                  </w:r>
                </w:p>
              </w:tc>
              <w:tc>
                <w:tcPr>
                  <w:tcW w:w="1365" w:type="pct"/>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sz w:val="18"/>
                      <w:szCs w:val="18"/>
                    </w:rPr>
                  </w:pPr>
                  <w:r>
                    <w:rPr>
                      <w:sz w:val="18"/>
                      <w:szCs w:val="18"/>
                    </w:rPr>
                    <w:t>55</w:t>
                  </w:r>
                </w:p>
              </w:tc>
              <w:tc>
                <w:tcPr>
                  <w:tcW w:w="2252" w:type="pct"/>
                  <w:tcBorders>
                    <w:top w:val="single" w:color="000000" w:sz="4" w:space="0"/>
                    <w:left w:val="single" w:color="000000" w:sz="4" w:space="0"/>
                    <w:bottom w:val="single" w:color="000000" w:sz="12" w:space="0"/>
                  </w:tcBorders>
                  <w:vAlign w:val="center"/>
                </w:tcPr>
                <w:p>
                  <w:pPr>
                    <w:adjustRightInd w:val="0"/>
                    <w:snapToGrid w:val="0"/>
                    <w:jc w:val="center"/>
                    <w:rPr>
                      <w:sz w:val="18"/>
                      <w:szCs w:val="18"/>
                    </w:rPr>
                  </w:pPr>
                  <w:r>
                    <w:rPr>
                      <w:sz w:val="18"/>
                      <w:szCs w:val="18"/>
                    </w:rPr>
                    <w:t>《建筑施工场界环境噪声排放标准》</w:t>
                  </w:r>
                </w:p>
                <w:p>
                  <w:pPr>
                    <w:adjustRightInd w:val="0"/>
                    <w:snapToGrid w:val="0"/>
                    <w:jc w:val="center"/>
                    <w:rPr>
                      <w:sz w:val="18"/>
                      <w:szCs w:val="18"/>
                    </w:rPr>
                  </w:pPr>
                  <w:r>
                    <w:rPr>
                      <w:sz w:val="18"/>
                      <w:szCs w:val="18"/>
                    </w:rPr>
                    <w:t>（GB12523-2011）</w:t>
                  </w:r>
                </w:p>
              </w:tc>
            </w:tr>
          </w:tbl>
          <w:p>
            <w:pPr>
              <w:adjustRightInd w:val="0"/>
              <w:snapToGrid w:val="0"/>
              <w:spacing w:line="360" w:lineRule="auto"/>
              <w:ind w:firstLine="420" w:firstLineChars="200"/>
            </w:pPr>
            <w:r>
              <w:t>运营期四周厂界噪声应执行《工业企业厂界环境噪声排放标准》（GB12348- 2008）中的1类区标准限值，详见表3-16。</w:t>
            </w:r>
          </w:p>
          <w:p>
            <w:pPr>
              <w:adjustRightInd w:val="0"/>
              <w:snapToGrid w:val="0"/>
              <w:spacing w:line="360" w:lineRule="auto"/>
              <w:jc w:val="center"/>
            </w:pPr>
            <w:r>
              <w:t>表3-16  工业企业厂界环境噪声排放限值</w:t>
            </w:r>
            <w:r>
              <w:rPr>
                <w:b/>
                <w:bCs/>
              </w:rPr>
              <w:t xml:space="preserve">  </w:t>
            </w:r>
            <w:r>
              <w:t>单位：dB（A）</w:t>
            </w:r>
          </w:p>
          <w:tbl>
            <w:tblPr>
              <w:tblStyle w:val="1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9"/>
              <w:gridCol w:w="1528"/>
              <w:gridCol w:w="1560"/>
              <w:gridCol w:w="444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3" w:type="pct"/>
                  <w:vMerge w:val="restart"/>
                  <w:vAlign w:val="center"/>
                </w:tcPr>
                <w:p>
                  <w:pPr>
                    <w:adjustRightInd w:val="0"/>
                    <w:snapToGrid w:val="0"/>
                    <w:jc w:val="center"/>
                    <w:rPr>
                      <w:sz w:val="18"/>
                      <w:szCs w:val="18"/>
                    </w:rPr>
                  </w:pPr>
                  <w:r>
                    <w:rPr>
                      <w:sz w:val="18"/>
                      <w:szCs w:val="18"/>
                    </w:rPr>
                    <w:t>类别</w:t>
                  </w:r>
                </w:p>
              </w:tc>
              <w:tc>
                <w:tcPr>
                  <w:tcW w:w="1859" w:type="pct"/>
                  <w:gridSpan w:val="2"/>
                  <w:vAlign w:val="center"/>
                </w:tcPr>
                <w:p>
                  <w:pPr>
                    <w:adjustRightInd w:val="0"/>
                    <w:snapToGrid w:val="0"/>
                    <w:jc w:val="center"/>
                    <w:rPr>
                      <w:sz w:val="18"/>
                      <w:szCs w:val="18"/>
                    </w:rPr>
                  </w:pPr>
                  <w:r>
                    <w:rPr>
                      <w:sz w:val="18"/>
                      <w:szCs w:val="18"/>
                    </w:rPr>
                    <w:t>标准值</w:t>
                  </w:r>
                </w:p>
              </w:tc>
              <w:tc>
                <w:tcPr>
                  <w:tcW w:w="2678" w:type="pct"/>
                  <w:vMerge w:val="restart"/>
                  <w:vAlign w:val="center"/>
                </w:tcPr>
                <w:p>
                  <w:pPr>
                    <w:adjustRightInd w:val="0"/>
                    <w:snapToGrid w:val="0"/>
                    <w:jc w:val="center"/>
                    <w:rPr>
                      <w:sz w:val="18"/>
                      <w:szCs w:val="18"/>
                    </w:rPr>
                  </w:pPr>
                  <w:r>
                    <w:rPr>
                      <w:sz w:val="18"/>
                      <w:szCs w:val="18"/>
                    </w:rPr>
                    <w:t>标准来源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3" w:type="pct"/>
                  <w:vMerge w:val="continue"/>
                  <w:vAlign w:val="center"/>
                </w:tcPr>
                <w:p>
                  <w:pPr>
                    <w:adjustRightInd w:val="0"/>
                    <w:snapToGrid w:val="0"/>
                    <w:jc w:val="center"/>
                    <w:rPr>
                      <w:sz w:val="18"/>
                      <w:szCs w:val="18"/>
                    </w:rPr>
                  </w:pPr>
                </w:p>
              </w:tc>
              <w:tc>
                <w:tcPr>
                  <w:tcW w:w="920" w:type="pct"/>
                  <w:vAlign w:val="center"/>
                </w:tcPr>
                <w:p>
                  <w:pPr>
                    <w:adjustRightInd w:val="0"/>
                    <w:snapToGrid w:val="0"/>
                    <w:jc w:val="center"/>
                    <w:rPr>
                      <w:sz w:val="18"/>
                      <w:szCs w:val="18"/>
                    </w:rPr>
                  </w:pPr>
                  <w:r>
                    <w:rPr>
                      <w:sz w:val="18"/>
                      <w:szCs w:val="18"/>
                    </w:rPr>
                    <w:t>昼间</w:t>
                  </w:r>
                </w:p>
              </w:tc>
              <w:tc>
                <w:tcPr>
                  <w:tcW w:w="939" w:type="pct"/>
                  <w:vAlign w:val="center"/>
                </w:tcPr>
                <w:p>
                  <w:pPr>
                    <w:adjustRightInd w:val="0"/>
                    <w:snapToGrid w:val="0"/>
                    <w:jc w:val="center"/>
                    <w:rPr>
                      <w:sz w:val="18"/>
                      <w:szCs w:val="18"/>
                    </w:rPr>
                  </w:pPr>
                  <w:r>
                    <w:rPr>
                      <w:sz w:val="18"/>
                      <w:szCs w:val="18"/>
                    </w:rPr>
                    <w:t>夜间</w:t>
                  </w:r>
                </w:p>
              </w:tc>
              <w:tc>
                <w:tcPr>
                  <w:tcW w:w="2678" w:type="pct"/>
                  <w:vMerge w:val="continue"/>
                  <w:vAlign w:val="center"/>
                </w:tcPr>
                <w:p>
                  <w:pPr>
                    <w:adjustRightInd w:val="0"/>
                    <w:snapToGrid w:val="0"/>
                    <w:jc w:val="center"/>
                    <w:rPr>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97" w:hRule="atLeast"/>
                <w:jc w:val="center"/>
              </w:trPr>
              <w:tc>
                <w:tcPr>
                  <w:tcW w:w="463" w:type="pct"/>
                  <w:vAlign w:val="center"/>
                </w:tcPr>
                <w:p>
                  <w:pPr>
                    <w:adjustRightInd w:val="0"/>
                    <w:snapToGrid w:val="0"/>
                    <w:jc w:val="center"/>
                    <w:rPr>
                      <w:sz w:val="18"/>
                      <w:szCs w:val="18"/>
                    </w:rPr>
                  </w:pPr>
                  <w:r>
                    <w:rPr>
                      <w:sz w:val="18"/>
                      <w:szCs w:val="18"/>
                    </w:rPr>
                    <w:t>1类</w:t>
                  </w:r>
                </w:p>
              </w:tc>
              <w:tc>
                <w:tcPr>
                  <w:tcW w:w="920" w:type="pct"/>
                  <w:vAlign w:val="center"/>
                </w:tcPr>
                <w:p>
                  <w:pPr>
                    <w:adjustRightInd w:val="0"/>
                    <w:snapToGrid w:val="0"/>
                    <w:jc w:val="center"/>
                    <w:rPr>
                      <w:sz w:val="18"/>
                      <w:szCs w:val="18"/>
                    </w:rPr>
                  </w:pPr>
                  <w:r>
                    <w:rPr>
                      <w:sz w:val="18"/>
                      <w:szCs w:val="18"/>
                    </w:rPr>
                    <w:t>55</w:t>
                  </w:r>
                </w:p>
              </w:tc>
              <w:tc>
                <w:tcPr>
                  <w:tcW w:w="939" w:type="pct"/>
                  <w:vAlign w:val="center"/>
                </w:tcPr>
                <w:p>
                  <w:pPr>
                    <w:adjustRightInd w:val="0"/>
                    <w:snapToGrid w:val="0"/>
                    <w:jc w:val="center"/>
                    <w:rPr>
                      <w:sz w:val="18"/>
                      <w:szCs w:val="18"/>
                    </w:rPr>
                  </w:pPr>
                  <w:r>
                    <w:rPr>
                      <w:sz w:val="18"/>
                      <w:szCs w:val="18"/>
                    </w:rPr>
                    <w:t>45</w:t>
                  </w:r>
                </w:p>
              </w:tc>
              <w:tc>
                <w:tcPr>
                  <w:tcW w:w="2678" w:type="pct"/>
                  <w:vAlign w:val="center"/>
                </w:tcPr>
                <w:p>
                  <w:pPr>
                    <w:adjustRightInd w:val="0"/>
                    <w:snapToGrid w:val="0"/>
                    <w:jc w:val="center"/>
                    <w:rPr>
                      <w:sz w:val="18"/>
                      <w:szCs w:val="18"/>
                    </w:rPr>
                  </w:pPr>
                  <w:r>
                    <w:rPr>
                      <w:sz w:val="18"/>
                      <w:szCs w:val="18"/>
                    </w:rPr>
                    <w:t>《工业企业厂界环境噪声排放标准》（GB12348-2008）</w:t>
                  </w:r>
                </w:p>
              </w:tc>
            </w:tr>
          </w:tbl>
          <w:p>
            <w:pPr>
              <w:pStyle w:val="4"/>
              <w:adjustRightInd w:val="0"/>
              <w:snapToGrid w:val="0"/>
              <w:spacing w:after="0" w:line="360" w:lineRule="auto"/>
              <w:ind w:left="0" w:leftChars="0" w:firstLine="420" w:firstLineChars="200"/>
            </w:pPr>
            <w:r>
              <w:t>3、固体废物</w:t>
            </w:r>
          </w:p>
          <w:p>
            <w:pPr>
              <w:adjustRightInd w:val="0"/>
              <w:snapToGrid w:val="0"/>
              <w:spacing w:line="360" w:lineRule="auto"/>
              <w:ind w:firstLine="420" w:firstLineChars="200"/>
            </w:pPr>
            <w:r>
              <w:t>一般固体废物执行《一般工业固体废物贮存和填埋污染控制标准（GB 18599-2020）；生活垃圾参照执行《城市生活垃圾处理及污染防治技术政策》（建城[2000]120号）和《生活垃圾处理技术指南》（建城[2010]61号）；危险废物执行《危险废物贮存污染控制标准》（GB18597-2001）。</w:t>
            </w: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rPr>
                <w:rFonts w:hint="eastAsia"/>
              </w:rPr>
            </w:pPr>
          </w:p>
          <w:p>
            <w:pPr>
              <w:adjustRightInd w:val="0"/>
              <w:snapToGrid w:val="0"/>
              <w:rPr>
                <w:rFonts w:ascii="宋体" w:hAnsi="宋体" w:cs="宋体"/>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302" w:type="pct"/>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jc w:val="center"/>
              <w:rPr>
                <w:rFonts w:ascii="宋体" w:hAnsi="宋体" w:cs="宋体"/>
                <w:kern w:val="0"/>
              </w:rPr>
            </w:pPr>
            <w:r>
              <w:rPr>
                <w:rFonts w:hint="eastAsia" w:ascii="宋体" w:hAnsi="宋体" w:cs="宋体"/>
                <w:kern w:val="0"/>
                <w:lang w:bidi="ar"/>
              </w:rPr>
              <w:t>总量</w:t>
            </w:r>
          </w:p>
          <w:p>
            <w:pPr>
              <w:adjustRightInd w:val="0"/>
              <w:snapToGrid w:val="0"/>
              <w:jc w:val="center"/>
              <w:rPr>
                <w:rFonts w:ascii="宋体" w:hAnsi="宋体" w:cs="宋体"/>
                <w:kern w:val="0"/>
              </w:rPr>
            </w:pPr>
            <w:r>
              <w:rPr>
                <w:rFonts w:hint="eastAsia" w:ascii="宋体" w:hAnsi="宋体" w:cs="宋体"/>
                <w:kern w:val="0"/>
                <w:lang w:bidi="ar"/>
              </w:rPr>
              <w:t>控制</w:t>
            </w:r>
          </w:p>
          <w:p>
            <w:pPr>
              <w:adjustRightInd w:val="0"/>
              <w:snapToGrid w:val="0"/>
              <w:jc w:val="center"/>
              <w:rPr>
                <w:rFonts w:ascii="宋体" w:hAnsi="宋体" w:cs="宋体"/>
                <w:kern w:val="0"/>
              </w:rPr>
            </w:pPr>
            <w:r>
              <w:rPr>
                <w:rFonts w:hint="eastAsia" w:ascii="宋体" w:hAnsi="宋体" w:cs="宋体"/>
                <w:kern w:val="0"/>
                <w:lang w:bidi="ar"/>
              </w:rPr>
              <w:t>指标</w:t>
            </w:r>
          </w:p>
        </w:tc>
        <w:tc>
          <w:tcPr>
            <w:tcW w:w="4698" w:type="pct"/>
            <w:tcBorders>
              <w:top w:val="single" w:color="auto" w:sz="4" w:space="0"/>
              <w:left w:val="single" w:color="auto" w:sz="4" w:space="0"/>
              <w:bottom w:val="single" w:color="auto" w:sz="8" w:space="0"/>
              <w:right w:val="single" w:color="auto" w:sz="8" w:space="0"/>
            </w:tcBorders>
            <w:shd w:val="clear" w:color="auto" w:fill="auto"/>
            <w:vAlign w:val="center"/>
          </w:tcPr>
          <w:p>
            <w:pPr>
              <w:adjustRightInd w:val="0"/>
              <w:snapToGrid w:val="0"/>
              <w:spacing w:line="360" w:lineRule="auto"/>
              <w:ind w:firstLine="420" w:firstLineChars="200"/>
            </w:pPr>
            <w:r>
              <w:t>根据《建设项目主要污染物排放总量指标审核及管理暂行办法》（环发【2014】197号）及“十三五”期间污染物排放总量控制管理要求，总量控制因子包括：COD、NH</w:t>
            </w:r>
            <w:r>
              <w:rPr>
                <w:vertAlign w:val="subscript"/>
              </w:rPr>
              <w:t>3</w:t>
            </w:r>
            <w:r>
              <w:t>-N、SO</w:t>
            </w:r>
            <w:r>
              <w:rPr>
                <w:vertAlign w:val="subscript"/>
              </w:rPr>
              <w:t>2</w:t>
            </w:r>
            <w:r>
              <w:t>、NOx和烟粉尘。</w:t>
            </w:r>
          </w:p>
          <w:p>
            <w:pPr>
              <w:adjustRightInd w:val="0"/>
              <w:snapToGrid w:val="0"/>
              <w:spacing w:line="360" w:lineRule="auto"/>
              <w:ind w:firstLine="420" w:firstLineChars="200"/>
            </w:pPr>
            <w:r>
              <w:t>本项目所产生的废水为职工生活污水，排入厂区防渗旱厕，定期清掏用作农肥，不外排，故无需申请COD及氨氮总量。</w:t>
            </w:r>
          </w:p>
          <w:p>
            <w:pPr>
              <w:adjustRightInd w:val="0"/>
              <w:snapToGrid w:val="0"/>
              <w:spacing w:line="360" w:lineRule="auto"/>
              <w:ind w:firstLine="420" w:firstLineChars="200"/>
            </w:pPr>
            <w:r>
              <w:t>根据实际情况</w:t>
            </w:r>
            <w:r>
              <w:rPr>
                <w:highlight w:val="none"/>
              </w:rPr>
              <w:t>，</w:t>
            </w:r>
            <w:r>
              <w:rPr>
                <w:color w:val="000000"/>
                <w:spacing w:val="-4"/>
                <w:highlight w:val="none"/>
              </w:rPr>
              <w:t>导热油炉</w:t>
            </w:r>
            <w:r>
              <w:rPr>
                <w:rFonts w:hint="eastAsia"/>
                <w:color w:val="000000"/>
                <w:spacing w:val="-4"/>
                <w:highlight w:val="none"/>
              </w:rPr>
              <w:t>烟气</w:t>
            </w:r>
            <w:r>
              <w:rPr>
                <w:color w:val="000000"/>
                <w:spacing w:val="-4"/>
                <w:highlight w:val="none"/>
              </w:rPr>
              <w:t>、烘干滚筒</w:t>
            </w:r>
            <w:r>
              <w:rPr>
                <w:highlight w:val="none"/>
              </w:rPr>
              <w:t>燃烧废气中</w:t>
            </w:r>
            <w:r>
              <w:rPr>
                <w:rFonts w:hint="eastAsia"/>
                <w:highlight w:val="none"/>
              </w:rPr>
              <w:t>颗粒物</w:t>
            </w:r>
            <w:r>
              <w:rPr>
                <w:highlight w:val="none"/>
              </w:rPr>
              <w:t>、SO</w:t>
            </w:r>
            <w:r>
              <w:rPr>
                <w:highlight w:val="none"/>
                <w:vertAlign w:val="subscript"/>
              </w:rPr>
              <w:t>2</w:t>
            </w:r>
            <w:r>
              <w:rPr>
                <w:highlight w:val="none"/>
              </w:rPr>
              <w:t>和NO</w:t>
            </w:r>
            <w:r>
              <w:rPr>
                <w:highlight w:val="none"/>
                <w:vertAlign w:val="subscript"/>
              </w:rPr>
              <w:t>x</w:t>
            </w:r>
            <w:r>
              <w:rPr>
                <w:highlight w:val="none"/>
              </w:rPr>
              <w:t>排放量分别为0.</w:t>
            </w:r>
            <w:r>
              <w:rPr>
                <w:rFonts w:hint="eastAsia"/>
                <w:highlight w:val="none"/>
                <w:lang w:val="en-US" w:eastAsia="zh-CN"/>
              </w:rPr>
              <w:t>165</w:t>
            </w:r>
            <w:r>
              <w:rPr>
                <w:highlight w:val="none"/>
              </w:rPr>
              <w:t xml:space="preserve"> kg/a、0.085t/a、0.083t/a，建议</w:t>
            </w:r>
            <w:r>
              <w:t>以该值作为总量控制指标。</w:t>
            </w: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Pr>
              <w:adjustRightInd w:val="0"/>
              <w:snapToGrid w:val="0"/>
              <w:spacing w:line="360" w:lineRule="auto"/>
              <w:ind w:firstLine="420" w:firstLineChars="200"/>
            </w:pPr>
          </w:p>
          <w:p/>
          <w:p>
            <w:pPr>
              <w:adjustRightInd w:val="0"/>
              <w:snapToGrid w:val="0"/>
              <w:rPr>
                <w:rFonts w:ascii="宋体" w:hAnsi="宋体" w:cs="宋体"/>
                <w:kern w:val="0"/>
              </w:rPr>
            </w:pPr>
          </w:p>
        </w:tc>
      </w:tr>
    </w:tbl>
    <w:p>
      <w:pPr>
        <w:pStyle w:val="8"/>
        <w:jc w:val="center"/>
        <w:outlineLvl w:val="0"/>
        <w:rPr>
          <w:rFonts w:hint="default" w:ascii="黑体" w:eastAsia="黑体" w:cs="黑体"/>
          <w:sz w:val="30"/>
          <w:szCs w:val="30"/>
        </w:rPr>
      </w:pPr>
      <w:r>
        <w:rPr>
          <w:rFonts w:ascii="黑体" w:eastAsia="黑体"/>
          <w:snapToGrid w:val="0"/>
          <w:sz w:val="36"/>
          <w:szCs w:val="36"/>
          <w:lang w:bidi="ar"/>
        </w:rPr>
        <w:br w:type="page"/>
      </w:r>
      <w:r>
        <w:rPr>
          <w:rFonts w:ascii="黑体" w:eastAsia="黑体" w:cs="黑体"/>
          <w:snapToGrid w:val="0"/>
          <w:sz w:val="30"/>
          <w:szCs w:val="30"/>
        </w:rPr>
        <w:t>四、主要环境影响和保护措施</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tcBorders>
              <w:top w:val="single" w:color="auto" w:sz="8" w:space="0"/>
              <w:left w:val="single" w:color="auto" w:sz="8" w:space="0"/>
              <w:bottom w:val="single" w:color="auto" w:sz="4" w:space="0"/>
              <w:right w:val="single" w:color="auto" w:sz="4" w:space="0"/>
            </w:tcBorders>
            <w:shd w:val="clear" w:color="auto" w:fill="auto"/>
            <w:tcMar>
              <w:left w:w="28" w:type="dxa"/>
              <w:right w:w="28" w:type="dxa"/>
            </w:tcMar>
            <w:vAlign w:val="center"/>
          </w:tcPr>
          <w:p>
            <w:pPr>
              <w:pStyle w:val="8"/>
              <w:adjustRightInd w:val="0"/>
              <w:snapToGrid w:val="0"/>
              <w:spacing w:beforeAutospacing="0" w:afterAutospacing="0"/>
              <w:jc w:val="center"/>
              <w:rPr>
                <w:rFonts w:hint="default" w:cs="宋体"/>
                <w:kern w:val="2"/>
                <w:sz w:val="21"/>
                <w:szCs w:val="21"/>
              </w:rPr>
            </w:pPr>
            <w:r>
              <w:rPr>
                <w:rFonts w:cs="宋体"/>
                <w:kern w:val="2"/>
                <w:sz w:val="21"/>
                <w:szCs w:val="21"/>
              </w:rPr>
              <w:t>施工</w:t>
            </w:r>
          </w:p>
          <w:p>
            <w:pPr>
              <w:pStyle w:val="8"/>
              <w:adjustRightInd w:val="0"/>
              <w:snapToGrid w:val="0"/>
              <w:spacing w:beforeAutospacing="0" w:afterAutospacing="0"/>
              <w:jc w:val="center"/>
              <w:rPr>
                <w:rFonts w:hint="default" w:cs="宋体"/>
                <w:kern w:val="2"/>
                <w:sz w:val="21"/>
                <w:szCs w:val="21"/>
              </w:rPr>
            </w:pPr>
            <w:r>
              <w:rPr>
                <w:rFonts w:cs="宋体"/>
                <w:kern w:val="2"/>
                <w:sz w:val="21"/>
                <w:szCs w:val="21"/>
              </w:rPr>
              <w:t>期环</w:t>
            </w:r>
          </w:p>
          <w:p>
            <w:pPr>
              <w:pStyle w:val="8"/>
              <w:adjustRightInd w:val="0"/>
              <w:snapToGrid w:val="0"/>
              <w:spacing w:beforeAutospacing="0" w:afterAutospacing="0"/>
              <w:jc w:val="center"/>
              <w:rPr>
                <w:rFonts w:hint="default" w:cs="宋体"/>
                <w:kern w:val="2"/>
                <w:sz w:val="21"/>
                <w:szCs w:val="21"/>
              </w:rPr>
            </w:pPr>
            <w:r>
              <w:rPr>
                <w:rFonts w:cs="宋体"/>
                <w:kern w:val="2"/>
                <w:sz w:val="21"/>
                <w:szCs w:val="21"/>
              </w:rPr>
              <w:t>境保</w:t>
            </w:r>
          </w:p>
          <w:p>
            <w:pPr>
              <w:pStyle w:val="8"/>
              <w:adjustRightInd w:val="0"/>
              <w:snapToGrid w:val="0"/>
              <w:spacing w:beforeAutospacing="0" w:afterAutospacing="0"/>
              <w:jc w:val="center"/>
              <w:rPr>
                <w:rFonts w:hint="default" w:cs="宋体"/>
                <w:kern w:val="2"/>
                <w:sz w:val="21"/>
                <w:szCs w:val="21"/>
              </w:rPr>
            </w:pPr>
            <w:r>
              <w:rPr>
                <w:rFonts w:cs="宋体"/>
                <w:kern w:val="2"/>
                <w:sz w:val="21"/>
                <w:szCs w:val="21"/>
              </w:rPr>
              <w:t>护措</w:t>
            </w:r>
          </w:p>
          <w:p>
            <w:pPr>
              <w:pStyle w:val="8"/>
              <w:adjustRightInd w:val="0"/>
              <w:snapToGrid w:val="0"/>
              <w:spacing w:beforeAutospacing="0" w:afterAutospacing="0"/>
              <w:jc w:val="center"/>
              <w:rPr>
                <w:rFonts w:hint="default" w:cs="宋体"/>
                <w:bCs/>
                <w:kern w:val="2"/>
                <w:sz w:val="21"/>
                <w:szCs w:val="21"/>
              </w:rPr>
            </w:pPr>
            <w:r>
              <w:rPr>
                <w:rFonts w:cs="宋体"/>
                <w:kern w:val="2"/>
                <w:sz w:val="21"/>
                <w:szCs w:val="21"/>
              </w:rPr>
              <w:t>施</w:t>
            </w:r>
          </w:p>
        </w:tc>
        <w:tc>
          <w:tcPr>
            <w:tcW w:w="8162" w:type="dxa"/>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rPr>
                <w:bCs/>
              </w:rPr>
            </w:pPr>
            <w:r>
              <w:rPr>
                <w:bCs/>
              </w:rPr>
              <w:t>1、废气</w:t>
            </w:r>
          </w:p>
          <w:p>
            <w:pPr>
              <w:adjustRightInd w:val="0"/>
              <w:snapToGrid w:val="0"/>
              <w:spacing w:line="360" w:lineRule="auto"/>
              <w:ind w:firstLine="420" w:firstLineChars="200"/>
              <w:rPr>
                <w:bCs/>
              </w:rPr>
            </w:pPr>
            <w:r>
              <w:rPr>
                <w:bCs/>
              </w:rPr>
              <w:t>（1）施工扬尘</w:t>
            </w:r>
          </w:p>
          <w:p>
            <w:pPr>
              <w:adjustRightInd w:val="0"/>
              <w:snapToGrid w:val="0"/>
              <w:spacing w:line="360" w:lineRule="auto"/>
              <w:ind w:firstLine="420" w:firstLineChars="200"/>
              <w:rPr>
                <w:bCs/>
              </w:rPr>
            </w:pPr>
            <w:r>
              <w:rPr>
                <w:bCs/>
              </w:rPr>
              <w:t>据经验调查，露天堆场产生的扬尘量与风速和尘粒含水率有关，因此减少建材的露天堆放和保证一定的含水率也是抑制扬尘的有效手段。</w:t>
            </w:r>
          </w:p>
          <w:p>
            <w:pPr>
              <w:adjustRightInd w:val="0"/>
              <w:snapToGrid w:val="0"/>
              <w:spacing w:line="360" w:lineRule="auto"/>
              <w:ind w:firstLine="420" w:firstLineChars="200"/>
              <w:rPr>
                <w:bCs/>
              </w:rPr>
            </w:pPr>
            <w:r>
              <w:rPr>
                <w:bCs/>
              </w:rPr>
              <w:t>具体要求如下：</w:t>
            </w:r>
          </w:p>
          <w:p>
            <w:pPr>
              <w:adjustRightInd w:val="0"/>
              <w:snapToGrid w:val="0"/>
              <w:spacing w:line="360" w:lineRule="auto"/>
              <w:ind w:firstLine="420" w:firstLineChars="200"/>
              <w:rPr>
                <w:bCs/>
              </w:rPr>
            </w:pPr>
            <w:r>
              <w:rPr>
                <w:bCs/>
              </w:rPr>
              <w:t>1）建筑工地场界应设置围挡，减少扬尘对周围的影响。</w:t>
            </w:r>
          </w:p>
          <w:p>
            <w:pPr>
              <w:adjustRightInd w:val="0"/>
              <w:snapToGrid w:val="0"/>
              <w:spacing w:line="360" w:lineRule="auto"/>
              <w:ind w:firstLine="420" w:firstLineChars="200"/>
              <w:rPr>
                <w:bCs/>
              </w:rPr>
            </w:pPr>
            <w:r>
              <w:rPr>
                <w:bCs/>
              </w:rPr>
              <w:t>2）遇到干燥、易起尘的土方工程作业时，应辅以洒水压尘，尽量缩短起尘操作时间。四级或四级以上大风天气，应停止土方作业，同时作业处覆以防尘网。</w:t>
            </w:r>
          </w:p>
          <w:p>
            <w:pPr>
              <w:adjustRightInd w:val="0"/>
              <w:snapToGrid w:val="0"/>
              <w:spacing w:line="360" w:lineRule="auto"/>
              <w:ind w:firstLine="420" w:firstLineChars="200"/>
              <w:rPr>
                <w:bCs/>
              </w:rPr>
            </w:pPr>
            <w:r>
              <w:rPr>
                <w:bCs/>
              </w:rPr>
              <w:t>3）施工过程中使用水泥、石灰、砂石、涂料、铺装材料等易产生扬尘的建筑材料，应采取密封存储、设置围挡或堆砌围墙、用防尘布苫盖等措施。</w:t>
            </w:r>
          </w:p>
          <w:p>
            <w:pPr>
              <w:adjustRightInd w:val="0"/>
              <w:snapToGrid w:val="0"/>
              <w:spacing w:line="360" w:lineRule="auto"/>
              <w:ind w:firstLine="420" w:firstLineChars="200"/>
              <w:rPr>
                <w:bCs/>
              </w:rPr>
            </w:pPr>
            <w:r>
              <w:rPr>
                <w:bCs/>
              </w:rPr>
              <w:t>4）施工过程中产生的弃土、弃料及其它建筑垃圾，应及时清运。若在工地内堆置超过一周的，则应采取覆盖防尘布、防尘网，定期喷洒抑尘剂，定期喷水压尘等措施，防止风蚀起尘及水蚀迁移。</w:t>
            </w:r>
          </w:p>
          <w:p>
            <w:pPr>
              <w:adjustRightInd w:val="0"/>
              <w:snapToGrid w:val="0"/>
              <w:spacing w:line="360" w:lineRule="auto"/>
              <w:ind w:firstLine="420" w:firstLineChars="200"/>
              <w:rPr>
                <w:bCs/>
              </w:rPr>
            </w:pPr>
            <w:r>
              <w:rPr>
                <w:bCs/>
              </w:rPr>
              <w:t>5）运输车辆尽可能采用密闭车斗，并保证物料不遗撒外漏。若无密闭车斗，物料、垃圾、渣土的装载高度不得超过车辆槽帮上沿，车斗应用苫布遮盖严实，保证物料、渣土、垃圾不露出。车辆应按照批准的路线和时间进行运输。</w:t>
            </w:r>
          </w:p>
          <w:p>
            <w:pPr>
              <w:adjustRightInd w:val="0"/>
              <w:snapToGrid w:val="0"/>
              <w:spacing w:line="360" w:lineRule="auto"/>
              <w:ind w:firstLine="420" w:firstLineChars="200"/>
              <w:rPr>
                <w:bCs/>
              </w:rPr>
            </w:pPr>
            <w:r>
              <w:rPr>
                <w:bCs/>
              </w:rPr>
              <w:t>6）工地裸地防尘要做到：覆盖防尘布或防尘网、植被绿化、天晴勤洒水、工地建筑结构脚手架外侧设置有效抑尘的密目防尘网或防尘布。</w:t>
            </w:r>
          </w:p>
          <w:p>
            <w:pPr>
              <w:adjustRightInd w:val="0"/>
              <w:snapToGrid w:val="0"/>
              <w:spacing w:line="360" w:lineRule="auto"/>
              <w:ind w:firstLine="420" w:firstLineChars="200"/>
              <w:rPr>
                <w:bCs/>
              </w:rPr>
            </w:pPr>
            <w:r>
              <w:rPr>
                <w:bCs/>
              </w:rPr>
              <w:t>7）使用商品混凝土和预拌砂浆，不得现场搅拌、消化石灰及拌石灰土等，应尽量使用成品或半成品石材、木制品，实施装配式施工，减少因切割造成的扬尘。</w:t>
            </w:r>
          </w:p>
          <w:p>
            <w:pPr>
              <w:adjustRightInd w:val="0"/>
              <w:snapToGrid w:val="0"/>
              <w:spacing w:line="360" w:lineRule="auto"/>
              <w:ind w:firstLine="420" w:firstLineChars="200"/>
              <w:rPr>
                <w:color w:val="000000"/>
              </w:rPr>
            </w:pPr>
            <w:r>
              <w:rPr>
                <w:color w:val="000000"/>
              </w:rPr>
              <w:t>（2）运输车辆尾气</w:t>
            </w:r>
          </w:p>
          <w:p>
            <w:pPr>
              <w:adjustRightInd w:val="0"/>
              <w:snapToGrid w:val="0"/>
              <w:spacing w:line="360" w:lineRule="auto"/>
              <w:ind w:firstLine="420" w:firstLineChars="200"/>
              <w:rPr>
                <w:color w:val="000000"/>
              </w:rPr>
            </w:pPr>
            <w:r>
              <w:rPr>
                <w:color w:val="000000"/>
              </w:rPr>
              <w:t>做好施工现场的交通组织，避免因施工造成的交通阻塞，减少运输车辆怠速产生的废气排放。</w:t>
            </w:r>
          </w:p>
          <w:p>
            <w:pPr>
              <w:adjustRightInd w:val="0"/>
              <w:snapToGrid w:val="0"/>
              <w:spacing w:line="360" w:lineRule="auto"/>
              <w:ind w:firstLine="420" w:firstLineChars="200"/>
              <w:rPr>
                <w:color w:val="000000"/>
              </w:rPr>
            </w:pPr>
            <w:r>
              <w:rPr>
                <w:color w:val="000000"/>
              </w:rPr>
              <w:t>因此，采取以上措施后会有效降低建筑材料和工程废土产生的扬尘对周围居民环境空气质量产生影响，使其满足《环境空气质量标准》(GB3095-1996)中的二级标准。</w:t>
            </w:r>
          </w:p>
          <w:p>
            <w:pPr>
              <w:adjustRightInd w:val="0"/>
              <w:snapToGrid w:val="0"/>
              <w:spacing w:line="360" w:lineRule="auto"/>
              <w:ind w:firstLine="420" w:firstLineChars="200"/>
              <w:rPr>
                <w:color w:val="000000"/>
              </w:rPr>
            </w:pPr>
            <w:r>
              <w:rPr>
                <w:color w:val="000000"/>
              </w:rPr>
              <w:t>2、废水</w:t>
            </w:r>
          </w:p>
          <w:p>
            <w:pPr>
              <w:adjustRightInd w:val="0"/>
              <w:snapToGrid w:val="0"/>
              <w:spacing w:line="360" w:lineRule="auto"/>
              <w:ind w:firstLine="420" w:firstLineChars="200"/>
              <w:rPr>
                <w:color w:val="000000"/>
              </w:rPr>
            </w:pPr>
            <w:r>
              <w:rPr>
                <w:color w:val="000000"/>
              </w:rPr>
              <w:t>施工废水主要是施工过程中产生的含有泥浆或砂石的工程废水及施工人员产生的生活污水，施工废水中的主要污染物为SS；生活污水中主要污染物为COD、BOD</w:t>
            </w:r>
            <w:r>
              <w:rPr>
                <w:color w:val="000000"/>
                <w:vertAlign w:val="subscript"/>
              </w:rPr>
              <w:t>5</w:t>
            </w:r>
            <w:r>
              <w:rPr>
                <w:color w:val="000000"/>
              </w:rPr>
              <w:t>、SS及氨氮。施工过程中产生的工程废水经沉淀池处理后，上清液可用于施工场地内喷淋降尘用水，不外排；工人员产生的生活污水排入厂区防渗旱厕，定期清掏，用作农肥，不外排。</w:t>
            </w:r>
          </w:p>
          <w:p>
            <w:pPr>
              <w:adjustRightInd w:val="0"/>
              <w:snapToGrid w:val="0"/>
              <w:spacing w:line="360" w:lineRule="auto"/>
              <w:ind w:firstLine="420" w:firstLineChars="200"/>
              <w:rPr>
                <w:color w:val="000000"/>
              </w:rPr>
            </w:pPr>
            <w:r>
              <w:rPr>
                <w:color w:val="000000"/>
              </w:rPr>
              <w:t>施工中，施工机械要严格检查，防止油料泄露；同时严禁将残油污水、废油随意倾倒路边，以免产生污染；材料及土方堆放时，应设置围挡。</w:t>
            </w:r>
          </w:p>
          <w:p>
            <w:pPr>
              <w:adjustRightInd w:val="0"/>
              <w:snapToGrid w:val="0"/>
              <w:spacing w:line="360" w:lineRule="auto"/>
              <w:ind w:firstLine="420" w:firstLineChars="200"/>
              <w:rPr>
                <w:color w:val="000000"/>
              </w:rPr>
            </w:pPr>
            <w:r>
              <w:rPr>
                <w:color w:val="000000"/>
              </w:rPr>
              <w:t>3、噪声</w:t>
            </w:r>
          </w:p>
          <w:p>
            <w:pPr>
              <w:adjustRightInd w:val="0"/>
              <w:snapToGrid w:val="0"/>
              <w:spacing w:line="360" w:lineRule="auto"/>
              <w:ind w:firstLine="420" w:firstLineChars="200"/>
              <w:rPr>
                <w:color w:val="000000"/>
              </w:rPr>
            </w:pPr>
            <w:r>
              <w:rPr>
                <w:color w:val="000000"/>
              </w:rPr>
              <w:t>施工期间的噪声污染主要来自于施工机械作业产生的噪声和运输车辆产生的交通噪声。</w:t>
            </w:r>
          </w:p>
          <w:p>
            <w:pPr>
              <w:adjustRightInd w:val="0"/>
              <w:snapToGrid w:val="0"/>
              <w:spacing w:line="360" w:lineRule="auto"/>
              <w:ind w:firstLine="420" w:firstLineChars="200"/>
              <w:rPr>
                <w:color w:val="000000"/>
              </w:rPr>
            </w:pPr>
            <w:r>
              <w:rPr>
                <w:color w:val="000000"/>
              </w:rPr>
              <w:t>施工单位应严格执行《中华人民共和国噪声污染防治法》和《建筑施工场界噪声限值》，采用低噪声施工机具和先进工艺进行施工，在施工作业中必须合理安排各类施工机械的工作时间，除必须连续作业的工序外，晚上不得施工，避免在同一时间集中使用大量的动力机械设备。运输车辆应保持良好的车况，要尽量匀速慢行，路过居民居住区严禁鸣笛，最大限度地减小对周围环境的影响。</w:t>
            </w:r>
          </w:p>
          <w:p>
            <w:pPr>
              <w:adjustRightInd w:val="0"/>
              <w:snapToGrid w:val="0"/>
              <w:spacing w:line="360" w:lineRule="auto"/>
              <w:ind w:firstLine="420" w:firstLineChars="200"/>
              <w:rPr>
                <w:color w:val="000000"/>
              </w:rPr>
            </w:pPr>
            <w:r>
              <w:rPr>
                <w:color w:val="000000"/>
              </w:rPr>
              <w:t>因此，采取以上措施后，有效减少施工期噪声对周围环境保护目标的影响，使项目四周厂界声环境质量现状满足《声环境质量标准》（GB3096-2008）中的1类区标准。</w:t>
            </w:r>
          </w:p>
          <w:p>
            <w:pPr>
              <w:adjustRightInd w:val="0"/>
              <w:snapToGrid w:val="0"/>
              <w:spacing w:line="360" w:lineRule="auto"/>
              <w:ind w:firstLine="420" w:firstLineChars="200"/>
              <w:rPr>
                <w:color w:val="000000"/>
              </w:rPr>
            </w:pPr>
            <w:r>
              <w:rPr>
                <w:color w:val="000000"/>
              </w:rPr>
              <w:t>4、固体废物</w:t>
            </w:r>
          </w:p>
          <w:p>
            <w:pPr>
              <w:adjustRightInd w:val="0"/>
              <w:snapToGrid w:val="0"/>
              <w:spacing w:line="360" w:lineRule="auto"/>
              <w:ind w:firstLine="420" w:firstLineChars="200"/>
              <w:rPr>
                <w:bCs/>
              </w:rPr>
            </w:pPr>
            <w:r>
              <w:rPr>
                <w:bCs/>
              </w:rPr>
              <w:t>施工期固体废物主要为建筑垃圾和施工人员生活垃圾。</w:t>
            </w:r>
          </w:p>
          <w:p>
            <w:pPr>
              <w:adjustRightInd w:val="0"/>
              <w:snapToGrid w:val="0"/>
              <w:spacing w:line="360" w:lineRule="auto"/>
              <w:ind w:firstLine="420" w:firstLineChars="200"/>
              <w:rPr>
                <w:bCs/>
              </w:rPr>
            </w:pPr>
            <w:r>
              <w:rPr>
                <w:bCs/>
              </w:rPr>
              <w:t>本项目产生的建材损耗垃圾及装修垃圾，厂区收集后将可回收部分外售废品收购公司，不可回收部分送政府指定的建筑垃圾填埋场。</w:t>
            </w:r>
          </w:p>
          <w:p>
            <w:pPr>
              <w:adjustRightInd w:val="0"/>
              <w:snapToGrid w:val="0"/>
              <w:spacing w:line="360" w:lineRule="auto"/>
              <w:ind w:firstLine="420" w:firstLineChars="200"/>
              <w:rPr>
                <w:bCs/>
              </w:rPr>
            </w:pPr>
            <w:r>
              <w:rPr>
                <w:bCs/>
              </w:rPr>
              <w:t>生活垃圾统一收集至厂区内的生活垃圾箱内，由环卫部门统一处理，避免随意抛弃。</w:t>
            </w: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rPr>
                <w:rFonts w:ascii="宋体" w:hAnsi="宋体" w:cs="宋体"/>
                <w:bCs/>
                <w:spacing w:val="-1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Borders>
              <w:top w:val="single" w:color="auto" w:sz="4" w:space="0"/>
              <w:left w:val="single" w:color="auto" w:sz="8" w:space="0"/>
              <w:bottom w:val="single" w:color="auto" w:sz="8" w:space="0"/>
              <w:right w:val="single" w:color="auto" w:sz="4" w:space="0"/>
            </w:tcBorders>
            <w:shd w:val="clear" w:color="auto" w:fill="auto"/>
            <w:tcMar>
              <w:left w:w="28" w:type="dxa"/>
              <w:right w:w="28" w:type="dxa"/>
            </w:tcMar>
            <w:vAlign w:val="center"/>
          </w:tcPr>
          <w:p>
            <w:pPr>
              <w:adjustRightInd w:val="0"/>
              <w:snapToGrid w:val="0"/>
              <w:jc w:val="center"/>
              <w:rPr>
                <w:rFonts w:ascii="宋体" w:hAnsi="宋体" w:cs="宋体"/>
                <w:bCs/>
              </w:rPr>
            </w:pPr>
            <w:r>
              <w:rPr>
                <w:rFonts w:hint="eastAsia" w:ascii="宋体" w:hAnsi="宋体" w:cs="宋体"/>
                <w:bCs/>
                <w:lang w:bidi="ar"/>
              </w:rPr>
              <w:t>运营</w:t>
            </w:r>
          </w:p>
          <w:p>
            <w:pPr>
              <w:adjustRightInd w:val="0"/>
              <w:snapToGrid w:val="0"/>
              <w:jc w:val="center"/>
              <w:rPr>
                <w:rFonts w:ascii="宋体" w:hAnsi="宋体" w:cs="宋体"/>
                <w:bCs/>
              </w:rPr>
            </w:pPr>
            <w:r>
              <w:rPr>
                <w:rFonts w:hint="eastAsia" w:ascii="宋体" w:hAnsi="宋体" w:cs="宋体"/>
                <w:bCs/>
                <w:lang w:bidi="ar"/>
              </w:rPr>
              <w:t>期环</w:t>
            </w:r>
          </w:p>
          <w:p>
            <w:pPr>
              <w:adjustRightInd w:val="0"/>
              <w:snapToGrid w:val="0"/>
              <w:jc w:val="center"/>
              <w:rPr>
                <w:rFonts w:ascii="宋体" w:hAnsi="宋体" w:cs="宋体"/>
                <w:bCs/>
              </w:rPr>
            </w:pPr>
            <w:r>
              <w:rPr>
                <w:rFonts w:hint="eastAsia" w:ascii="宋体" w:hAnsi="宋体" w:cs="宋体"/>
                <w:bCs/>
                <w:lang w:bidi="ar"/>
              </w:rPr>
              <w:t>境影</w:t>
            </w:r>
          </w:p>
          <w:p>
            <w:pPr>
              <w:adjustRightInd w:val="0"/>
              <w:snapToGrid w:val="0"/>
              <w:jc w:val="center"/>
              <w:rPr>
                <w:rFonts w:ascii="宋体" w:hAnsi="宋体" w:cs="宋体"/>
                <w:bCs/>
              </w:rPr>
            </w:pPr>
            <w:r>
              <w:rPr>
                <w:rFonts w:hint="eastAsia" w:ascii="宋体" w:hAnsi="宋体" w:cs="宋体"/>
                <w:bCs/>
                <w:lang w:bidi="ar"/>
              </w:rPr>
              <w:t>响和</w:t>
            </w:r>
          </w:p>
          <w:p>
            <w:pPr>
              <w:adjustRightInd w:val="0"/>
              <w:snapToGrid w:val="0"/>
              <w:jc w:val="center"/>
              <w:rPr>
                <w:rFonts w:ascii="宋体" w:hAnsi="宋体" w:cs="宋体"/>
                <w:bCs/>
              </w:rPr>
            </w:pPr>
            <w:r>
              <w:rPr>
                <w:rFonts w:hint="eastAsia" w:ascii="宋体" w:hAnsi="宋体" w:cs="宋体"/>
                <w:bCs/>
                <w:lang w:bidi="ar"/>
              </w:rPr>
              <w:t>保护</w:t>
            </w:r>
          </w:p>
          <w:p>
            <w:pPr>
              <w:adjustRightInd w:val="0"/>
              <w:snapToGrid w:val="0"/>
              <w:jc w:val="center"/>
              <w:rPr>
                <w:rFonts w:ascii="宋体" w:hAnsi="宋体" w:cs="宋体"/>
                <w:bCs/>
              </w:rPr>
            </w:pPr>
            <w:r>
              <w:rPr>
                <w:rFonts w:hint="eastAsia" w:ascii="宋体" w:hAnsi="宋体" w:cs="宋体"/>
                <w:bCs/>
                <w:lang w:bidi="ar"/>
              </w:rPr>
              <w:t>措施</w:t>
            </w:r>
          </w:p>
        </w:tc>
        <w:tc>
          <w:tcPr>
            <w:tcW w:w="8162" w:type="dxa"/>
            <w:tcBorders>
              <w:top w:val="single" w:color="auto" w:sz="4" w:space="0"/>
              <w:left w:val="single" w:color="auto" w:sz="4" w:space="0"/>
              <w:bottom w:val="single" w:color="auto" w:sz="8" w:space="0"/>
              <w:right w:val="single" w:color="auto" w:sz="8" w:space="0"/>
            </w:tcBorders>
            <w:shd w:val="clear" w:color="auto" w:fill="auto"/>
            <w:vAlign w:val="center"/>
          </w:tcPr>
          <w:p>
            <w:pPr>
              <w:adjustRightInd w:val="0"/>
              <w:snapToGrid w:val="0"/>
              <w:spacing w:line="360" w:lineRule="auto"/>
              <w:ind w:firstLine="380" w:firstLineChars="200"/>
              <w:rPr>
                <w:bCs/>
                <w:spacing w:val="-10"/>
              </w:rPr>
            </w:pPr>
            <w:r>
              <w:rPr>
                <w:bCs/>
                <w:spacing w:val="-10"/>
              </w:rPr>
              <w:t>1、废气</w:t>
            </w:r>
          </w:p>
          <w:p>
            <w:pPr>
              <w:adjustRightInd w:val="0"/>
              <w:snapToGrid w:val="0"/>
              <w:spacing w:line="360" w:lineRule="auto"/>
              <w:ind w:firstLine="420" w:firstLineChars="200"/>
            </w:pPr>
            <w:r>
              <w:rPr>
                <w:rFonts w:hint="eastAsia"/>
              </w:rPr>
              <w:t>本项目运营期导热油炉烟气污染物排放浓度满足《锅炉大气污染物排放标准》（GB13271-2014）中表2新建锅炉大气污染物排放限值；烘干滚筒燃烧烟气中SO</w:t>
            </w:r>
            <w:r>
              <w:rPr>
                <w:rFonts w:hint="eastAsia"/>
                <w:vertAlign w:val="subscript"/>
              </w:rPr>
              <w:t>2</w:t>
            </w:r>
            <w:r>
              <w:rPr>
                <w:rFonts w:hint="eastAsia"/>
              </w:rPr>
              <w:t>污染物排放浓度满足《工业炉窑大气污染物排放标准》（GB9078-1996）中有关标准要求，颗粒物、氮氧化物满足《大气污染物综合排放标准》（GB16297-1996）中相关标准限值；沥青烟气排放浓度满足《大气污染物综合排放标准》（GB16297-1996）中二级标准要求；沥青混凝土生产过程中工艺粉尘满足《大气污染物综合排放标准》（GB16297-1996）中标准限值要求；厂区内无组织排放粉尘满足《大气污染物综合排放标准》（GB16297-1996）中新污染源大气污染物排放限制要求。</w:t>
            </w:r>
          </w:p>
          <w:p>
            <w:pPr>
              <w:adjustRightInd w:val="0"/>
              <w:snapToGrid w:val="0"/>
              <w:spacing w:line="360" w:lineRule="auto"/>
              <w:ind w:firstLine="420" w:firstLineChars="200"/>
            </w:pPr>
            <w:r>
              <w:rPr>
                <w:rFonts w:hint="eastAsia"/>
              </w:rPr>
              <w:t>项目运营期大气污染物</w:t>
            </w:r>
            <w:r>
              <w:t>对周围环境空气影响较小</w:t>
            </w:r>
            <w:r>
              <w:rPr>
                <w:rFonts w:hint="eastAsia"/>
              </w:rPr>
              <w:t>，具体分析详见大气专项评价。</w:t>
            </w:r>
          </w:p>
          <w:p>
            <w:pPr>
              <w:adjustRightInd w:val="0"/>
              <w:snapToGrid w:val="0"/>
              <w:spacing w:line="360" w:lineRule="auto"/>
              <w:ind w:firstLine="380" w:firstLineChars="200"/>
              <w:rPr>
                <w:bCs/>
                <w:spacing w:val="-10"/>
              </w:rPr>
            </w:pPr>
            <w:r>
              <w:rPr>
                <w:bCs/>
                <w:spacing w:val="-10"/>
              </w:rPr>
              <w:t>2、废水</w:t>
            </w:r>
          </w:p>
          <w:p>
            <w:pPr>
              <w:adjustRightInd w:val="0"/>
              <w:snapToGrid w:val="0"/>
              <w:spacing w:line="360" w:lineRule="auto"/>
              <w:ind w:firstLine="420" w:firstLineChars="200"/>
              <w:rPr>
                <w:bCs/>
              </w:rPr>
            </w:pPr>
            <w:r>
              <w:rPr>
                <w:bCs/>
              </w:rPr>
              <w:t>（1）产排情况</w:t>
            </w:r>
          </w:p>
          <w:p>
            <w:pPr>
              <w:adjustRightInd w:val="0"/>
              <w:snapToGrid w:val="0"/>
              <w:spacing w:line="360" w:lineRule="auto"/>
              <w:ind w:firstLine="420" w:firstLineChars="200"/>
              <w:rPr>
                <w:bCs/>
              </w:rPr>
            </w:pPr>
            <w:r>
              <w:rPr>
                <w:bCs/>
              </w:rPr>
              <w:t>本项目产生废水主要为职工生活污水，产生量为0.192m</w:t>
            </w:r>
            <w:r>
              <w:rPr>
                <w:bCs/>
                <w:vertAlign w:val="superscript"/>
              </w:rPr>
              <w:t>3</w:t>
            </w:r>
            <w:r>
              <w:rPr>
                <w:bCs/>
              </w:rPr>
              <w:t>/d（11.52m</w:t>
            </w:r>
            <w:r>
              <w:rPr>
                <w:bCs/>
                <w:vertAlign w:val="superscript"/>
              </w:rPr>
              <w:t>3</w:t>
            </w:r>
            <w:r>
              <w:rPr>
                <w:bCs/>
              </w:rPr>
              <w:t>/a），根据《给水排水设计手册》（第5册）中指导数据可知，废水中主要污染物产生浓度为COD 300mg/L、BOD</w:t>
            </w:r>
            <w:r>
              <w:rPr>
                <w:bCs/>
                <w:vertAlign w:val="subscript"/>
              </w:rPr>
              <w:t xml:space="preserve">5 </w:t>
            </w:r>
            <w:r>
              <w:rPr>
                <w:bCs/>
              </w:rPr>
              <w:t>150mg/L、氨氮 25mg/L、SS 180mg/L，生活污水各污染物排放情况见下表。</w:t>
            </w:r>
          </w:p>
          <w:p>
            <w:pPr>
              <w:adjustRightInd w:val="0"/>
              <w:snapToGrid w:val="0"/>
              <w:spacing w:line="360" w:lineRule="auto"/>
              <w:jc w:val="center"/>
              <w:rPr>
                <w:bCs/>
              </w:rPr>
            </w:pPr>
            <w:r>
              <w:rPr>
                <w:bCs/>
              </w:rPr>
              <w:t>表4-1  生活污水各污染物排放情况一览表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2469"/>
              <w:gridCol w:w="909"/>
              <w:gridCol w:w="962"/>
              <w:gridCol w:w="1063"/>
              <w:gridCol w:w="9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tcBorders>
                    <w:top w:val="single" w:color="auto" w:sz="12" w:space="0"/>
                    <w:left w:val="nil"/>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污水产生量</w:t>
                  </w:r>
                </w:p>
              </w:tc>
              <w:tc>
                <w:tcPr>
                  <w:tcW w:w="1553"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主要指标</w:t>
                  </w:r>
                </w:p>
              </w:tc>
              <w:tc>
                <w:tcPr>
                  <w:tcW w:w="572"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COD</w:t>
                  </w:r>
                </w:p>
              </w:tc>
              <w:tc>
                <w:tcPr>
                  <w:tcW w:w="605"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BOD</w:t>
                  </w:r>
                  <w:r>
                    <w:rPr>
                      <w:sz w:val="18"/>
                      <w:szCs w:val="18"/>
                      <w:vertAlign w:val="subscript"/>
                    </w:rPr>
                    <w:t>5</w:t>
                  </w:r>
                </w:p>
              </w:tc>
              <w:tc>
                <w:tcPr>
                  <w:tcW w:w="669"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NH</w:t>
                  </w:r>
                  <w:r>
                    <w:rPr>
                      <w:sz w:val="18"/>
                      <w:szCs w:val="18"/>
                      <w:vertAlign w:val="subscript"/>
                    </w:rPr>
                    <w:t>3</w:t>
                  </w:r>
                  <w:r>
                    <w:rPr>
                      <w:sz w:val="18"/>
                      <w:szCs w:val="18"/>
                    </w:rPr>
                    <w:t>-N</w:t>
                  </w:r>
                </w:p>
              </w:tc>
              <w:tc>
                <w:tcPr>
                  <w:tcW w:w="572" w:type="pct"/>
                  <w:tcBorders>
                    <w:top w:val="single" w:color="auto" w:sz="12" w:space="0"/>
                    <w:left w:val="single" w:color="auto" w:sz="4" w:space="0"/>
                    <w:bottom w:val="single" w:color="auto" w:sz="4" w:space="0"/>
                    <w:right w:val="nil"/>
                  </w:tcBorders>
                  <w:vAlign w:val="center"/>
                </w:tcPr>
                <w:p>
                  <w:pPr>
                    <w:autoSpaceDE w:val="0"/>
                    <w:autoSpaceDN w:val="0"/>
                    <w:adjustRightInd w:val="0"/>
                    <w:snapToGrid w:val="0"/>
                    <w:jc w:val="center"/>
                    <w:rPr>
                      <w:sz w:val="18"/>
                      <w:szCs w:val="18"/>
                    </w:rPr>
                  </w:pPr>
                  <w:r>
                    <w:rPr>
                      <w:sz w:val="18"/>
                      <w:szCs w:val="18"/>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vMerge w:val="restart"/>
                  <w:tcBorders>
                    <w:top w:val="single" w:color="auto" w:sz="4" w:space="0"/>
                    <w:left w:val="nil"/>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11.52m</w:t>
                  </w:r>
                  <w:r>
                    <w:rPr>
                      <w:sz w:val="18"/>
                      <w:szCs w:val="18"/>
                      <w:vertAlign w:val="superscript"/>
                    </w:rPr>
                    <w:t>3</w:t>
                  </w:r>
                  <w:r>
                    <w:rPr>
                      <w:sz w:val="18"/>
                      <w:szCs w:val="18"/>
                    </w:rPr>
                    <w:t>/a</w:t>
                  </w:r>
                </w:p>
              </w:tc>
              <w:tc>
                <w:tcPr>
                  <w:tcW w:w="15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产生浓度（mg/L）</w:t>
                  </w:r>
                </w:p>
              </w:tc>
              <w:tc>
                <w:tcPr>
                  <w:tcW w:w="57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300</w:t>
                  </w:r>
                </w:p>
              </w:tc>
              <w:tc>
                <w:tcPr>
                  <w:tcW w:w="605"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150</w:t>
                  </w:r>
                </w:p>
              </w:tc>
              <w:tc>
                <w:tcPr>
                  <w:tcW w:w="66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25</w:t>
                  </w:r>
                </w:p>
              </w:tc>
              <w:tc>
                <w:tcPr>
                  <w:tcW w:w="572" w:type="pct"/>
                  <w:tcBorders>
                    <w:top w:val="single" w:color="auto" w:sz="4" w:space="0"/>
                    <w:left w:val="single" w:color="auto" w:sz="4" w:space="0"/>
                    <w:bottom w:val="single" w:color="auto" w:sz="4" w:space="0"/>
                    <w:right w:val="nil"/>
                  </w:tcBorders>
                  <w:vAlign w:val="center"/>
                </w:tcPr>
                <w:p>
                  <w:pPr>
                    <w:autoSpaceDE w:val="0"/>
                    <w:autoSpaceDN w:val="0"/>
                    <w:adjustRightInd w:val="0"/>
                    <w:snapToGrid w:val="0"/>
                    <w:jc w:val="center"/>
                    <w:rPr>
                      <w:sz w:val="18"/>
                      <w:szCs w:val="18"/>
                    </w:rPr>
                  </w:pPr>
                  <w:r>
                    <w:rPr>
                      <w:sz w:val="18"/>
                      <w:szCs w:val="18"/>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028" w:type="pct"/>
                  <w:vMerge w:val="continue"/>
                  <w:tcBorders>
                    <w:top w:val="single" w:color="auto" w:sz="4" w:space="0"/>
                    <w:left w:val="nil"/>
                    <w:bottom w:val="single" w:color="auto" w:sz="12" w:space="0"/>
                    <w:right w:val="single" w:color="auto" w:sz="4" w:space="0"/>
                  </w:tcBorders>
                  <w:vAlign w:val="center"/>
                </w:tcPr>
                <w:p>
                  <w:pPr>
                    <w:widowControl/>
                    <w:adjustRightInd w:val="0"/>
                    <w:snapToGrid w:val="0"/>
                    <w:jc w:val="center"/>
                    <w:rPr>
                      <w:sz w:val="18"/>
                      <w:szCs w:val="18"/>
                    </w:rPr>
                  </w:pPr>
                </w:p>
              </w:tc>
              <w:tc>
                <w:tcPr>
                  <w:tcW w:w="1553"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sz w:val="18"/>
                      <w:szCs w:val="18"/>
                    </w:rPr>
                    <w:t>产生量（t/a）</w:t>
                  </w:r>
                </w:p>
              </w:tc>
              <w:tc>
                <w:tcPr>
                  <w:tcW w:w="572"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.003</w:t>
                  </w:r>
                </w:p>
              </w:tc>
              <w:tc>
                <w:tcPr>
                  <w:tcW w:w="605"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.002</w:t>
                  </w:r>
                </w:p>
              </w:tc>
              <w:tc>
                <w:tcPr>
                  <w:tcW w:w="669"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.0003</w:t>
                  </w:r>
                </w:p>
              </w:tc>
              <w:tc>
                <w:tcPr>
                  <w:tcW w:w="572" w:type="pct"/>
                  <w:tcBorders>
                    <w:top w:val="single" w:color="auto" w:sz="4" w:space="0"/>
                    <w:left w:val="single" w:color="auto" w:sz="4" w:space="0"/>
                    <w:bottom w:val="single" w:color="auto" w:sz="12" w:space="0"/>
                    <w:right w:val="nil"/>
                  </w:tcBorders>
                  <w:vAlign w:val="center"/>
                </w:tcPr>
                <w:p>
                  <w:pPr>
                    <w:autoSpaceDE w:val="0"/>
                    <w:autoSpaceDN w:val="0"/>
                    <w:adjustRightInd w:val="0"/>
                    <w:snapToGrid w:val="0"/>
                    <w:jc w:val="center"/>
                    <w:rPr>
                      <w:sz w:val="18"/>
                      <w:szCs w:val="18"/>
                    </w:rPr>
                  </w:pPr>
                  <w:r>
                    <w:rPr>
                      <w:rFonts w:hint="eastAsia"/>
                      <w:sz w:val="18"/>
                      <w:szCs w:val="18"/>
                    </w:rPr>
                    <w:t>0</w:t>
                  </w:r>
                  <w:r>
                    <w:rPr>
                      <w:sz w:val="18"/>
                      <w:szCs w:val="18"/>
                    </w:rPr>
                    <w:t>.002</w:t>
                  </w:r>
                </w:p>
              </w:tc>
            </w:tr>
          </w:tbl>
          <w:p>
            <w:pPr>
              <w:adjustRightInd w:val="0"/>
              <w:snapToGrid w:val="0"/>
              <w:spacing w:line="360" w:lineRule="auto"/>
              <w:ind w:firstLine="420" w:firstLineChars="200"/>
              <w:rPr>
                <w:bCs/>
              </w:rPr>
            </w:pPr>
            <w:r>
              <w:rPr>
                <w:bCs/>
              </w:rPr>
              <w:t>（2）影响分析</w:t>
            </w:r>
          </w:p>
          <w:p>
            <w:pPr>
              <w:adjustRightInd w:val="0"/>
              <w:snapToGrid w:val="0"/>
              <w:spacing w:line="360" w:lineRule="auto"/>
              <w:ind w:firstLine="420" w:firstLineChars="200"/>
              <w:rPr>
                <w:bCs/>
              </w:rPr>
            </w:pPr>
            <w:r>
              <w:rPr>
                <w:bCs/>
              </w:rPr>
              <w:t>生活污水排入厂区防渗旱厕，定期清掏，用作农肥，不外排</w:t>
            </w:r>
            <w:r>
              <w:rPr>
                <w:rFonts w:hint="eastAsia"/>
                <w:bCs/>
              </w:rPr>
              <w:t>；其中食堂废水经沉淀池处理后排入旱厕</w:t>
            </w:r>
            <w:r>
              <w:rPr>
                <w:bCs/>
              </w:rPr>
              <w:t>。项目产生废水对周围地表水环境基本无影响。</w:t>
            </w:r>
          </w:p>
          <w:p>
            <w:pPr>
              <w:adjustRightInd w:val="0"/>
              <w:snapToGrid w:val="0"/>
              <w:spacing w:line="360" w:lineRule="auto"/>
              <w:ind w:firstLine="420" w:firstLineChars="200"/>
              <w:rPr>
                <w:bCs/>
              </w:rPr>
            </w:pPr>
            <w:r>
              <w:rPr>
                <w:bCs/>
              </w:rPr>
              <w:t>3、噪声</w:t>
            </w:r>
          </w:p>
          <w:p>
            <w:pPr>
              <w:adjustRightInd w:val="0"/>
              <w:snapToGrid w:val="0"/>
              <w:spacing w:line="360" w:lineRule="auto"/>
              <w:ind w:firstLine="420" w:firstLineChars="200"/>
              <w:rPr>
                <w:bCs/>
              </w:rPr>
            </w:pPr>
            <w:r>
              <w:rPr>
                <w:bCs/>
              </w:rPr>
              <w:t>（1）源强</w:t>
            </w:r>
          </w:p>
          <w:p>
            <w:pPr>
              <w:pStyle w:val="13"/>
              <w:adjustRightInd w:val="0"/>
              <w:snapToGrid w:val="0"/>
              <w:spacing w:line="360" w:lineRule="auto"/>
              <w:ind w:firstLine="420" w:firstLineChars="200"/>
            </w:pPr>
            <w:r>
              <w:t>本项目噪声主要来源于拌合站、皮带输送机、烘干滚筒、风机、泵类等设备运行时产生的噪声，噪声源强在75-95dB(A)之间，项目主要设备噪声源强详见下表。</w:t>
            </w:r>
          </w:p>
          <w:p>
            <w:pPr>
              <w:pStyle w:val="13"/>
              <w:adjustRightInd w:val="0"/>
              <w:snapToGrid w:val="0"/>
              <w:spacing w:line="360" w:lineRule="auto"/>
              <w:ind w:firstLine="0"/>
              <w:jc w:val="center"/>
            </w:pPr>
            <w:r>
              <w:t>表4-2  设备噪声源强一览表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4"/>
              <w:gridCol w:w="2888"/>
              <w:gridCol w:w="37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序号</w:t>
                  </w:r>
                </w:p>
              </w:tc>
              <w:tc>
                <w:tcPr>
                  <w:tcW w:w="1817" w:type="pct"/>
                  <w:vAlign w:val="center"/>
                </w:tcPr>
                <w:p>
                  <w:pPr>
                    <w:adjustRightInd w:val="0"/>
                    <w:snapToGrid w:val="0"/>
                    <w:jc w:val="center"/>
                    <w:rPr>
                      <w:color w:val="000000"/>
                      <w:sz w:val="18"/>
                      <w:szCs w:val="18"/>
                    </w:rPr>
                  </w:pPr>
                  <w:r>
                    <w:rPr>
                      <w:color w:val="000000"/>
                      <w:sz w:val="18"/>
                      <w:szCs w:val="18"/>
                    </w:rPr>
                    <w:t>设备名称</w:t>
                  </w:r>
                </w:p>
              </w:tc>
              <w:tc>
                <w:tcPr>
                  <w:tcW w:w="2331" w:type="pct"/>
                  <w:vAlign w:val="center"/>
                </w:tcPr>
                <w:p>
                  <w:pPr>
                    <w:adjustRightInd w:val="0"/>
                    <w:snapToGrid w:val="0"/>
                    <w:jc w:val="center"/>
                    <w:rPr>
                      <w:color w:val="000000"/>
                      <w:sz w:val="18"/>
                      <w:szCs w:val="18"/>
                    </w:rPr>
                  </w:pPr>
                  <w:r>
                    <w:rPr>
                      <w:color w:val="000000"/>
                      <w:sz w:val="18"/>
                      <w:szCs w:val="18"/>
                    </w:rPr>
                    <w:t>声压级（dB(A)）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1</w:t>
                  </w:r>
                </w:p>
              </w:tc>
              <w:tc>
                <w:tcPr>
                  <w:tcW w:w="1817" w:type="pct"/>
                  <w:vAlign w:val="center"/>
                </w:tcPr>
                <w:p>
                  <w:pPr>
                    <w:adjustRightInd w:val="0"/>
                    <w:snapToGrid w:val="0"/>
                    <w:jc w:val="center"/>
                    <w:rPr>
                      <w:color w:val="000000"/>
                      <w:sz w:val="18"/>
                      <w:szCs w:val="18"/>
                    </w:rPr>
                  </w:pPr>
                  <w:r>
                    <w:rPr>
                      <w:color w:val="000000"/>
                      <w:sz w:val="18"/>
                      <w:szCs w:val="18"/>
                    </w:rPr>
                    <w:t>搅拌缸</w:t>
                  </w:r>
                </w:p>
              </w:tc>
              <w:tc>
                <w:tcPr>
                  <w:tcW w:w="2331" w:type="pct"/>
                  <w:vAlign w:val="center"/>
                </w:tcPr>
                <w:p>
                  <w:pPr>
                    <w:adjustRightInd w:val="0"/>
                    <w:snapToGrid w:val="0"/>
                    <w:jc w:val="center"/>
                    <w:rPr>
                      <w:color w:val="000000"/>
                      <w:sz w:val="18"/>
                      <w:szCs w:val="18"/>
                    </w:rPr>
                  </w:pPr>
                  <w:r>
                    <w:rPr>
                      <w:color w:val="000000"/>
                      <w:sz w:val="18"/>
                      <w:szCs w:val="18"/>
                    </w:rPr>
                    <w:t>83-88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2</w:t>
                  </w:r>
                </w:p>
              </w:tc>
              <w:tc>
                <w:tcPr>
                  <w:tcW w:w="1817" w:type="pct"/>
                  <w:vAlign w:val="center"/>
                </w:tcPr>
                <w:p>
                  <w:pPr>
                    <w:adjustRightInd w:val="0"/>
                    <w:snapToGrid w:val="0"/>
                    <w:jc w:val="center"/>
                    <w:rPr>
                      <w:color w:val="000000"/>
                      <w:sz w:val="18"/>
                      <w:szCs w:val="18"/>
                    </w:rPr>
                  </w:pPr>
                  <w:r>
                    <w:rPr>
                      <w:color w:val="000000"/>
                      <w:sz w:val="18"/>
                      <w:szCs w:val="18"/>
                    </w:rPr>
                    <w:t>烘干滚筒</w:t>
                  </w:r>
                </w:p>
              </w:tc>
              <w:tc>
                <w:tcPr>
                  <w:tcW w:w="2331" w:type="pct"/>
                  <w:vAlign w:val="center"/>
                </w:tcPr>
                <w:p>
                  <w:pPr>
                    <w:adjustRightInd w:val="0"/>
                    <w:snapToGrid w:val="0"/>
                    <w:jc w:val="center"/>
                    <w:rPr>
                      <w:color w:val="000000"/>
                      <w:sz w:val="18"/>
                      <w:szCs w:val="18"/>
                    </w:rPr>
                  </w:pPr>
                  <w:r>
                    <w:rPr>
                      <w:color w:val="000000"/>
                      <w:sz w:val="18"/>
                      <w:szCs w:val="18"/>
                    </w:rPr>
                    <w:t>85-95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3</w:t>
                  </w:r>
                </w:p>
              </w:tc>
              <w:tc>
                <w:tcPr>
                  <w:tcW w:w="1817" w:type="pct"/>
                  <w:vAlign w:val="center"/>
                </w:tcPr>
                <w:p>
                  <w:pPr>
                    <w:adjustRightInd w:val="0"/>
                    <w:snapToGrid w:val="0"/>
                    <w:jc w:val="center"/>
                    <w:rPr>
                      <w:color w:val="000000"/>
                      <w:sz w:val="18"/>
                      <w:szCs w:val="18"/>
                    </w:rPr>
                  </w:pPr>
                  <w:r>
                    <w:rPr>
                      <w:color w:val="000000"/>
                      <w:sz w:val="18"/>
                      <w:szCs w:val="18"/>
                    </w:rPr>
                    <w:t>皮带输送机</w:t>
                  </w:r>
                </w:p>
              </w:tc>
              <w:tc>
                <w:tcPr>
                  <w:tcW w:w="2331" w:type="pct"/>
                  <w:vAlign w:val="center"/>
                </w:tcPr>
                <w:p>
                  <w:pPr>
                    <w:adjustRightInd w:val="0"/>
                    <w:snapToGrid w:val="0"/>
                    <w:jc w:val="center"/>
                    <w:rPr>
                      <w:color w:val="000000"/>
                      <w:sz w:val="18"/>
                      <w:szCs w:val="18"/>
                    </w:rPr>
                  </w:pPr>
                  <w:r>
                    <w:rPr>
                      <w:color w:val="000000"/>
                      <w:sz w:val="18"/>
                      <w:szCs w:val="18"/>
                    </w:rPr>
                    <w:t>75-80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4</w:t>
                  </w:r>
                </w:p>
              </w:tc>
              <w:tc>
                <w:tcPr>
                  <w:tcW w:w="1817" w:type="pct"/>
                  <w:vAlign w:val="center"/>
                </w:tcPr>
                <w:p>
                  <w:pPr>
                    <w:adjustRightInd w:val="0"/>
                    <w:snapToGrid w:val="0"/>
                    <w:jc w:val="center"/>
                    <w:rPr>
                      <w:color w:val="000000"/>
                      <w:sz w:val="18"/>
                      <w:szCs w:val="18"/>
                    </w:rPr>
                  </w:pPr>
                  <w:r>
                    <w:rPr>
                      <w:color w:val="000000"/>
                      <w:sz w:val="18"/>
                      <w:szCs w:val="18"/>
                    </w:rPr>
                    <w:t>风机</w:t>
                  </w:r>
                </w:p>
              </w:tc>
              <w:tc>
                <w:tcPr>
                  <w:tcW w:w="2331" w:type="pct"/>
                  <w:vAlign w:val="center"/>
                </w:tcPr>
                <w:p>
                  <w:pPr>
                    <w:adjustRightInd w:val="0"/>
                    <w:snapToGrid w:val="0"/>
                    <w:jc w:val="center"/>
                    <w:rPr>
                      <w:color w:val="000000"/>
                      <w:sz w:val="18"/>
                      <w:szCs w:val="18"/>
                    </w:rPr>
                  </w:pPr>
                  <w:r>
                    <w:rPr>
                      <w:color w:val="000000"/>
                      <w:sz w:val="18"/>
                      <w:szCs w:val="18"/>
                    </w:rPr>
                    <w:t>85-95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vAlign w:val="center"/>
                </w:tcPr>
                <w:p>
                  <w:pPr>
                    <w:adjustRightInd w:val="0"/>
                    <w:snapToGrid w:val="0"/>
                    <w:jc w:val="center"/>
                    <w:rPr>
                      <w:color w:val="000000"/>
                      <w:sz w:val="18"/>
                      <w:szCs w:val="18"/>
                    </w:rPr>
                  </w:pPr>
                  <w:r>
                    <w:rPr>
                      <w:color w:val="000000"/>
                      <w:sz w:val="18"/>
                      <w:szCs w:val="18"/>
                    </w:rPr>
                    <w:t>5</w:t>
                  </w:r>
                </w:p>
              </w:tc>
              <w:tc>
                <w:tcPr>
                  <w:tcW w:w="1817" w:type="pct"/>
                  <w:vAlign w:val="center"/>
                </w:tcPr>
                <w:p>
                  <w:pPr>
                    <w:adjustRightInd w:val="0"/>
                    <w:snapToGrid w:val="0"/>
                    <w:jc w:val="center"/>
                    <w:rPr>
                      <w:color w:val="000000"/>
                      <w:sz w:val="18"/>
                      <w:szCs w:val="18"/>
                    </w:rPr>
                  </w:pPr>
                  <w:r>
                    <w:rPr>
                      <w:color w:val="000000"/>
                      <w:sz w:val="18"/>
                      <w:szCs w:val="18"/>
                    </w:rPr>
                    <w:t>泵类</w:t>
                  </w:r>
                </w:p>
              </w:tc>
              <w:tc>
                <w:tcPr>
                  <w:tcW w:w="2331" w:type="pct"/>
                  <w:vAlign w:val="center"/>
                </w:tcPr>
                <w:p>
                  <w:pPr>
                    <w:adjustRightInd w:val="0"/>
                    <w:snapToGrid w:val="0"/>
                    <w:jc w:val="center"/>
                    <w:rPr>
                      <w:color w:val="000000"/>
                      <w:sz w:val="18"/>
                      <w:szCs w:val="18"/>
                    </w:rPr>
                  </w:pPr>
                  <w:r>
                    <w:rPr>
                      <w:color w:val="000000"/>
                      <w:sz w:val="18"/>
                      <w:szCs w:val="18"/>
                    </w:rPr>
                    <w:t>75-80</w:t>
                  </w:r>
                </w:p>
              </w:tc>
            </w:tr>
          </w:tbl>
          <w:p>
            <w:pPr>
              <w:adjustRightInd w:val="0"/>
              <w:snapToGrid w:val="0"/>
              <w:spacing w:line="360" w:lineRule="auto"/>
              <w:ind w:firstLine="420" w:firstLineChars="200"/>
              <w:rPr>
                <w:bCs/>
              </w:rPr>
            </w:pPr>
            <w:r>
              <w:rPr>
                <w:bCs/>
              </w:rPr>
              <w:t>（2）预测模式</w:t>
            </w:r>
          </w:p>
          <w:p>
            <w:pPr>
              <w:adjustRightInd w:val="0"/>
              <w:snapToGrid w:val="0"/>
              <w:spacing w:line="360" w:lineRule="auto"/>
              <w:ind w:firstLine="420" w:firstLineChars="200"/>
              <w:rPr>
                <w:bCs/>
              </w:rPr>
            </w:pPr>
            <w:r>
              <w:rPr>
                <w:bCs/>
              </w:rPr>
              <w:t>预测选用噪声叠加模式和点声源随距离衰减模式，首先采用噪声叠加模式计算多个噪声源在某一点的合成噪声值，然后利用点声源随距离衰减模式计算距离r米处的噪声值，再与背景进行叠加生成预测值。</w:t>
            </w:r>
          </w:p>
          <w:p>
            <w:pPr>
              <w:adjustRightInd w:val="0"/>
              <w:snapToGrid w:val="0"/>
              <w:spacing w:line="360" w:lineRule="auto"/>
              <w:ind w:firstLine="420" w:firstLineChars="200"/>
              <w:rPr>
                <w:bCs/>
              </w:rPr>
            </w:pPr>
            <w:r>
              <w:rPr>
                <w:bCs/>
              </w:rPr>
              <w:t>（3）声级计算</w:t>
            </w:r>
          </w:p>
          <w:p>
            <w:pPr>
              <w:jc w:val="center"/>
            </w:pPr>
            <w:r>
              <w:drawing>
                <wp:inline distT="0" distB="0" distL="0" distR="0">
                  <wp:extent cx="1629410" cy="369570"/>
                  <wp:effectExtent l="0" t="0" r="889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641918" cy="372461"/>
                          </a:xfrm>
                          <a:prstGeom prst="rect">
                            <a:avLst/>
                          </a:prstGeom>
                          <a:noFill/>
                          <a:ln>
                            <a:noFill/>
                          </a:ln>
                        </pic:spPr>
                      </pic:pic>
                    </a:graphicData>
                  </a:graphic>
                </wp:inline>
              </w:drawing>
            </w:r>
          </w:p>
          <w:p>
            <w:pPr>
              <w:adjustRightInd w:val="0"/>
              <w:snapToGrid w:val="0"/>
              <w:spacing w:line="360" w:lineRule="auto"/>
              <w:ind w:firstLine="420" w:firstLineChars="200"/>
              <w:rPr>
                <w:bCs/>
              </w:rPr>
            </w:pPr>
            <w:r>
              <w:rPr>
                <w:bCs/>
              </w:rPr>
              <w:t>式中：L</w:t>
            </w:r>
            <w:r>
              <w:rPr>
                <w:bCs/>
                <w:vertAlign w:val="subscript"/>
              </w:rPr>
              <w:t>eqg</w:t>
            </w:r>
            <w:r>
              <w:rPr>
                <w:bCs/>
              </w:rPr>
              <w:t>－建设项目声源在预测点的等效声级贡献值，dB（A）；</w:t>
            </w:r>
          </w:p>
          <w:p>
            <w:pPr>
              <w:adjustRightInd w:val="0"/>
              <w:snapToGrid w:val="0"/>
              <w:spacing w:line="360" w:lineRule="auto"/>
              <w:ind w:firstLine="1050" w:firstLineChars="500"/>
              <w:rPr>
                <w:bCs/>
              </w:rPr>
            </w:pPr>
            <w:r>
              <w:rPr>
                <w:bCs/>
              </w:rPr>
              <w:t>LA</w:t>
            </w:r>
            <w:r>
              <w:rPr>
                <w:bCs/>
                <w:vertAlign w:val="subscript"/>
              </w:rPr>
              <w:t>i</w:t>
            </w:r>
            <w:r>
              <w:rPr>
                <w:bCs/>
              </w:rPr>
              <w:t>－i声源在预测点产生的A声级，dB（A）；</w:t>
            </w:r>
          </w:p>
          <w:p>
            <w:pPr>
              <w:adjustRightInd w:val="0"/>
              <w:snapToGrid w:val="0"/>
              <w:spacing w:line="360" w:lineRule="auto"/>
              <w:ind w:firstLine="1050" w:firstLineChars="500"/>
              <w:rPr>
                <w:bCs/>
              </w:rPr>
            </w:pPr>
            <w:r>
              <w:rPr>
                <w:bCs/>
              </w:rPr>
              <w:t>T-预测计算的时间段，s；</w:t>
            </w:r>
          </w:p>
          <w:p>
            <w:pPr>
              <w:adjustRightInd w:val="0"/>
              <w:snapToGrid w:val="0"/>
              <w:spacing w:line="360" w:lineRule="auto"/>
              <w:ind w:firstLine="1050" w:firstLineChars="500"/>
              <w:rPr>
                <w:bCs/>
              </w:rPr>
            </w:pPr>
            <w:r>
              <w:rPr>
                <w:bCs/>
              </w:rPr>
              <w:t>t</w:t>
            </w:r>
            <w:r>
              <w:rPr>
                <w:bCs/>
                <w:vertAlign w:val="subscript"/>
              </w:rPr>
              <w:t>i</w:t>
            </w:r>
            <w:r>
              <w:rPr>
                <w:bCs/>
              </w:rPr>
              <w:t>－i声源在T时段内的运行时间，s。</w:t>
            </w:r>
          </w:p>
          <w:p>
            <w:pPr>
              <w:jc w:val="center"/>
            </w:pPr>
            <w:r>
              <w:drawing>
                <wp:inline distT="0" distB="0" distL="0" distR="0">
                  <wp:extent cx="1852295" cy="2476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880887" cy="251865"/>
                          </a:xfrm>
                          <a:prstGeom prst="rect">
                            <a:avLst/>
                          </a:prstGeom>
                          <a:noFill/>
                          <a:ln>
                            <a:noFill/>
                          </a:ln>
                        </pic:spPr>
                      </pic:pic>
                    </a:graphicData>
                  </a:graphic>
                </wp:inline>
              </w:drawing>
            </w:r>
          </w:p>
          <w:p>
            <w:pPr>
              <w:adjustRightInd w:val="0"/>
              <w:snapToGrid w:val="0"/>
              <w:spacing w:line="360" w:lineRule="auto"/>
              <w:ind w:firstLine="420" w:firstLineChars="200"/>
              <w:rPr>
                <w:bCs/>
              </w:rPr>
            </w:pPr>
            <w:r>
              <w:rPr>
                <w:bCs/>
              </w:rPr>
              <w:t>式中：L</w:t>
            </w:r>
            <w:r>
              <w:rPr>
                <w:bCs/>
                <w:vertAlign w:val="subscript"/>
              </w:rPr>
              <w:t>eqg</w:t>
            </w:r>
            <w:r>
              <w:rPr>
                <w:bCs/>
              </w:rPr>
              <w:t>－建设项目声源在预测点的等效声级贡献值，dB（A）；</w:t>
            </w:r>
          </w:p>
          <w:p>
            <w:pPr>
              <w:adjustRightInd w:val="0"/>
              <w:snapToGrid w:val="0"/>
              <w:spacing w:line="360" w:lineRule="auto"/>
              <w:ind w:firstLine="1050" w:firstLineChars="500"/>
              <w:rPr>
                <w:bCs/>
              </w:rPr>
            </w:pPr>
            <w:r>
              <w:rPr>
                <w:bCs/>
              </w:rPr>
              <w:t>L</w:t>
            </w:r>
            <w:r>
              <w:rPr>
                <w:bCs/>
                <w:vertAlign w:val="subscript"/>
              </w:rPr>
              <w:t>eqb</w:t>
            </w:r>
            <w:r>
              <w:rPr>
                <w:bCs/>
              </w:rPr>
              <w:t>－预测点的背景值，dB（A）。</w:t>
            </w:r>
          </w:p>
          <w:p>
            <w:pPr>
              <w:adjustRightInd w:val="0"/>
              <w:snapToGrid w:val="0"/>
              <w:spacing w:line="360" w:lineRule="auto"/>
              <w:ind w:firstLine="420" w:firstLineChars="200"/>
              <w:rPr>
                <w:bCs/>
              </w:rPr>
            </w:pPr>
            <w:r>
              <w:rPr>
                <w:bCs/>
              </w:rPr>
              <w:t>声传播衰减计算：</w:t>
            </w:r>
          </w:p>
          <w:p>
            <w:pPr>
              <w:adjustRightInd w:val="0"/>
              <w:snapToGrid w:val="0"/>
              <w:spacing w:line="360" w:lineRule="auto"/>
              <w:ind w:firstLine="420" w:firstLineChars="200"/>
              <w:rPr>
                <w:bCs/>
              </w:rPr>
            </w:pPr>
            <w:r>
              <w:rPr>
                <w:bCs/>
              </w:rPr>
              <w:t>在只考虑几何发散衰减时，用LA（r）=LA（r0）-Adir</w:t>
            </w:r>
          </w:p>
          <w:p>
            <w:pPr>
              <w:adjustRightInd w:val="0"/>
              <w:snapToGrid w:val="0"/>
              <w:spacing w:line="360" w:lineRule="auto"/>
              <w:ind w:firstLine="420" w:firstLineChars="200"/>
              <w:rPr>
                <w:bCs/>
              </w:rPr>
            </w:pPr>
            <w:r>
              <w:rPr>
                <w:bCs/>
              </w:rPr>
              <w:t>无指向性点声源几何发散衰减的基本公式：</w:t>
            </w:r>
          </w:p>
          <w:p>
            <w:pPr>
              <w:adjustRightInd w:val="0"/>
              <w:snapToGrid w:val="0"/>
              <w:spacing w:line="360" w:lineRule="auto"/>
              <w:jc w:val="center"/>
              <w:rPr>
                <w:bCs/>
              </w:rPr>
            </w:pPr>
            <w:r>
              <w:rPr>
                <w:bCs/>
              </w:rPr>
              <w:t>Lp（r）＝Lp（r0）－20Lg（r/r0）</w:t>
            </w:r>
          </w:p>
          <w:p>
            <w:pPr>
              <w:adjustRightInd w:val="0"/>
              <w:snapToGrid w:val="0"/>
              <w:spacing w:line="360" w:lineRule="auto"/>
              <w:ind w:firstLine="420" w:firstLineChars="200"/>
              <w:rPr>
                <w:bCs/>
              </w:rPr>
            </w:pPr>
            <w:r>
              <w:rPr>
                <w:bCs/>
              </w:rPr>
              <w:t>式中：r、r0—与声源的距离；</w:t>
            </w:r>
          </w:p>
          <w:p>
            <w:pPr>
              <w:adjustRightInd w:val="0"/>
              <w:snapToGrid w:val="0"/>
              <w:spacing w:line="360" w:lineRule="auto"/>
              <w:ind w:firstLine="1050" w:firstLineChars="500"/>
              <w:rPr>
                <w:bCs/>
              </w:rPr>
            </w:pPr>
            <w:r>
              <w:rPr>
                <w:bCs/>
              </w:rPr>
              <w:t>Lp（r）—r处的倍频带声压级，dB；</w:t>
            </w:r>
          </w:p>
          <w:p>
            <w:pPr>
              <w:adjustRightInd w:val="0"/>
              <w:snapToGrid w:val="0"/>
              <w:spacing w:line="360" w:lineRule="auto"/>
              <w:ind w:firstLine="1050" w:firstLineChars="500"/>
              <w:rPr>
                <w:bCs/>
              </w:rPr>
            </w:pPr>
            <w:r>
              <w:rPr>
                <w:bCs/>
              </w:rPr>
              <w:t>Lp（r0）—r0处的倍频带声压级，dB。</w:t>
            </w:r>
          </w:p>
          <w:p>
            <w:pPr>
              <w:adjustRightInd w:val="0"/>
              <w:snapToGrid w:val="0"/>
              <w:spacing w:line="360" w:lineRule="auto"/>
              <w:ind w:firstLine="420" w:firstLineChars="200"/>
              <w:rPr>
                <w:bCs/>
              </w:rPr>
            </w:pPr>
            <w:r>
              <w:rPr>
                <w:bCs/>
              </w:rPr>
              <w:t>具有指向性声源的L（r）和L（r0）必须是在同一方向上的声级。</w:t>
            </w:r>
          </w:p>
          <w:p>
            <w:pPr>
              <w:adjustRightInd w:val="0"/>
              <w:snapToGrid w:val="0"/>
              <w:spacing w:line="360" w:lineRule="auto"/>
              <w:ind w:firstLine="420" w:firstLineChars="200"/>
              <w:rPr>
                <w:bCs/>
              </w:rPr>
            </w:pPr>
            <w:r>
              <w:rPr>
                <w:bCs/>
              </w:rPr>
              <w:t>（4）预测参数</w:t>
            </w:r>
          </w:p>
          <w:p>
            <w:pPr>
              <w:adjustRightInd w:val="0"/>
              <w:snapToGrid w:val="0"/>
              <w:spacing w:line="360" w:lineRule="auto"/>
              <w:ind w:firstLine="420" w:firstLineChars="200"/>
              <w:rPr>
                <w:bCs/>
              </w:rPr>
            </w:pPr>
            <w:r>
              <w:rPr>
                <w:bCs/>
              </w:rPr>
              <w:t>项目噪声来源主要为搅拌站、输送机、风机、泵类等设备运行噪声，预测计算中只考虑主要噪声源所在建筑物围护效应和声源至受声点的距离衰减等主要衰减因子，设备噪声值详见下表。</w:t>
            </w:r>
          </w:p>
          <w:p>
            <w:pPr>
              <w:adjustRightInd w:val="0"/>
              <w:snapToGrid w:val="0"/>
              <w:spacing w:line="360" w:lineRule="auto"/>
              <w:jc w:val="center"/>
              <w:rPr>
                <w:bCs/>
              </w:rPr>
            </w:pPr>
            <w:r>
              <w:rPr>
                <w:bCs/>
              </w:rPr>
              <w:t>表4-3  噪声源至各厂界距离一览表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1062"/>
              <w:gridCol w:w="1901"/>
              <w:gridCol w:w="1402"/>
              <w:gridCol w:w="896"/>
              <w:gridCol w:w="896"/>
              <w:gridCol w:w="896"/>
              <w:gridCol w:w="893"/>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4" w:hRule="atLeast"/>
                <w:jc w:val="center"/>
              </w:trPr>
              <w:tc>
                <w:tcPr>
                  <w:tcW w:w="668" w:type="pct"/>
                  <w:vMerge w:val="restart"/>
                  <w:tcBorders>
                    <w:top w:val="single" w:color="auto" w:sz="12" w:space="0"/>
                    <w:left w:val="nil"/>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位置</w:t>
                  </w:r>
                </w:p>
              </w:tc>
              <w:tc>
                <w:tcPr>
                  <w:tcW w:w="1196" w:type="pct"/>
                  <w:vMerge w:val="restart"/>
                  <w:tcBorders>
                    <w:top w:val="single" w:color="auto" w:sz="1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叠加后噪声值dB（A）</w:t>
                  </w:r>
                </w:p>
              </w:tc>
              <w:tc>
                <w:tcPr>
                  <w:tcW w:w="882" w:type="pct"/>
                  <w:vMerge w:val="restart"/>
                  <w:tcBorders>
                    <w:top w:val="single" w:color="auto" w:sz="1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削减20dB（A）</w:t>
                  </w:r>
                </w:p>
              </w:tc>
              <w:tc>
                <w:tcPr>
                  <w:tcW w:w="2253" w:type="pct"/>
                  <w:gridSpan w:val="4"/>
                  <w:tcBorders>
                    <w:top w:val="single" w:color="auto" w:sz="12" w:space="0"/>
                    <w:left w:val="single" w:color="auto" w:sz="4" w:space="0"/>
                    <w:bottom w:val="single" w:color="auto" w:sz="2" w:space="0"/>
                    <w:right w:val="nil"/>
                  </w:tcBorders>
                  <w:vAlign w:val="center"/>
                </w:tcPr>
                <w:p>
                  <w:pPr>
                    <w:autoSpaceDE w:val="0"/>
                    <w:autoSpaceDN w:val="0"/>
                    <w:adjustRightInd w:val="0"/>
                    <w:snapToGrid w:val="0"/>
                    <w:jc w:val="center"/>
                    <w:rPr>
                      <w:sz w:val="18"/>
                      <w:szCs w:val="18"/>
                    </w:rPr>
                  </w:pPr>
                  <w:r>
                    <w:rPr>
                      <w:sz w:val="18"/>
                      <w:szCs w:val="18"/>
                    </w:rPr>
                    <w:t>距各点距离，m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4" w:hRule="atLeast"/>
                <w:jc w:val="center"/>
              </w:trPr>
              <w:tc>
                <w:tcPr>
                  <w:tcW w:w="668" w:type="pct"/>
                  <w:vMerge w:val="continue"/>
                  <w:tcBorders>
                    <w:top w:val="single" w:color="auto" w:sz="12" w:space="0"/>
                    <w:left w:val="nil"/>
                    <w:bottom w:val="single" w:color="auto" w:sz="2" w:space="0"/>
                    <w:right w:val="single" w:color="auto" w:sz="4" w:space="0"/>
                  </w:tcBorders>
                  <w:vAlign w:val="center"/>
                </w:tcPr>
                <w:p>
                  <w:pPr>
                    <w:widowControl/>
                    <w:adjustRightInd w:val="0"/>
                    <w:snapToGrid w:val="0"/>
                    <w:jc w:val="center"/>
                    <w:rPr>
                      <w:sz w:val="18"/>
                      <w:szCs w:val="18"/>
                    </w:rPr>
                  </w:pPr>
                </w:p>
              </w:tc>
              <w:tc>
                <w:tcPr>
                  <w:tcW w:w="1196" w:type="pct"/>
                  <w:vMerge w:val="continue"/>
                  <w:tcBorders>
                    <w:top w:val="single" w:color="auto" w:sz="12" w:space="0"/>
                    <w:left w:val="single" w:color="auto" w:sz="4" w:space="0"/>
                    <w:bottom w:val="single" w:color="auto" w:sz="2" w:space="0"/>
                    <w:right w:val="single" w:color="auto" w:sz="4" w:space="0"/>
                  </w:tcBorders>
                  <w:vAlign w:val="center"/>
                </w:tcPr>
                <w:p>
                  <w:pPr>
                    <w:widowControl/>
                    <w:adjustRightInd w:val="0"/>
                    <w:snapToGrid w:val="0"/>
                    <w:jc w:val="center"/>
                    <w:rPr>
                      <w:sz w:val="18"/>
                      <w:szCs w:val="18"/>
                    </w:rPr>
                  </w:pPr>
                </w:p>
              </w:tc>
              <w:tc>
                <w:tcPr>
                  <w:tcW w:w="882" w:type="pct"/>
                  <w:vMerge w:val="continue"/>
                  <w:tcBorders>
                    <w:top w:val="single" w:color="auto" w:sz="12" w:space="0"/>
                    <w:left w:val="single" w:color="auto" w:sz="4" w:space="0"/>
                    <w:bottom w:val="single" w:color="auto" w:sz="2" w:space="0"/>
                    <w:right w:val="single" w:color="auto" w:sz="4" w:space="0"/>
                  </w:tcBorders>
                  <w:vAlign w:val="center"/>
                </w:tcPr>
                <w:p>
                  <w:pPr>
                    <w:widowControl/>
                    <w:adjustRightInd w:val="0"/>
                    <w:snapToGrid w:val="0"/>
                    <w:jc w:val="center"/>
                    <w:rPr>
                      <w:sz w:val="18"/>
                      <w:szCs w:val="18"/>
                    </w:rPr>
                  </w:pPr>
                </w:p>
              </w:tc>
              <w:tc>
                <w:tcPr>
                  <w:tcW w:w="564" w:type="pct"/>
                  <w:tcBorders>
                    <w:top w:val="single" w:color="auto" w:sz="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东侧厂界</w:t>
                  </w:r>
                </w:p>
              </w:tc>
              <w:tc>
                <w:tcPr>
                  <w:tcW w:w="564" w:type="pct"/>
                  <w:tcBorders>
                    <w:top w:val="single" w:color="auto" w:sz="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南侧厂界</w:t>
                  </w:r>
                </w:p>
              </w:tc>
              <w:tc>
                <w:tcPr>
                  <w:tcW w:w="564" w:type="pct"/>
                  <w:tcBorders>
                    <w:top w:val="single" w:color="auto" w:sz="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西侧厂界</w:t>
                  </w:r>
                </w:p>
              </w:tc>
              <w:tc>
                <w:tcPr>
                  <w:tcW w:w="562" w:type="pct"/>
                  <w:tcBorders>
                    <w:top w:val="single" w:color="auto" w:sz="2" w:space="0"/>
                    <w:left w:val="single" w:color="auto" w:sz="4" w:space="0"/>
                    <w:bottom w:val="single" w:color="auto" w:sz="2" w:space="0"/>
                    <w:right w:val="single" w:color="auto" w:sz="4" w:space="0"/>
                  </w:tcBorders>
                  <w:vAlign w:val="center"/>
                </w:tcPr>
                <w:p>
                  <w:pPr>
                    <w:autoSpaceDE w:val="0"/>
                    <w:autoSpaceDN w:val="0"/>
                    <w:adjustRightInd w:val="0"/>
                    <w:snapToGrid w:val="0"/>
                    <w:jc w:val="center"/>
                    <w:rPr>
                      <w:sz w:val="18"/>
                      <w:szCs w:val="18"/>
                    </w:rPr>
                  </w:pPr>
                  <w:r>
                    <w:rPr>
                      <w:sz w:val="18"/>
                      <w:szCs w:val="18"/>
                    </w:rPr>
                    <w:t>北侧厂界</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4" w:hRule="atLeast"/>
                <w:jc w:val="center"/>
              </w:trPr>
              <w:tc>
                <w:tcPr>
                  <w:tcW w:w="668" w:type="pct"/>
                  <w:tcBorders>
                    <w:top w:val="single" w:color="auto" w:sz="2" w:space="0"/>
                    <w:left w:val="nil"/>
                    <w:bottom w:val="single" w:color="auto" w:sz="12" w:space="0"/>
                    <w:right w:val="single" w:color="auto" w:sz="4" w:space="0"/>
                  </w:tcBorders>
                  <w:vAlign w:val="center"/>
                </w:tcPr>
                <w:p>
                  <w:pPr>
                    <w:autoSpaceDE w:val="0"/>
                    <w:autoSpaceDN w:val="0"/>
                    <w:adjustRightInd w:val="0"/>
                    <w:snapToGrid w:val="0"/>
                    <w:jc w:val="center"/>
                    <w:rPr>
                      <w:sz w:val="18"/>
                      <w:szCs w:val="18"/>
                    </w:rPr>
                  </w:pPr>
                  <w:r>
                    <w:rPr>
                      <w:sz w:val="18"/>
                      <w:szCs w:val="18"/>
                    </w:rPr>
                    <w:t>沥青搅拌站</w:t>
                  </w:r>
                </w:p>
              </w:tc>
              <w:tc>
                <w:tcPr>
                  <w:tcW w:w="1196" w:type="pct"/>
                  <w:tcBorders>
                    <w:top w:val="single" w:color="auto" w:sz="2"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sz w:val="18"/>
                      <w:szCs w:val="18"/>
                    </w:rPr>
                    <w:t>89.2</w:t>
                  </w:r>
                </w:p>
              </w:tc>
              <w:tc>
                <w:tcPr>
                  <w:tcW w:w="882" w:type="pct"/>
                  <w:tcBorders>
                    <w:top w:val="single" w:color="auto" w:sz="2"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ascii="Times New Roman" w:hAnsi="Times New Roman"/>
                      <w:sz w:val="18"/>
                      <w:szCs w:val="18"/>
                    </w:rPr>
                    <w:t>69.2</w:t>
                  </w:r>
                </w:p>
              </w:tc>
              <w:tc>
                <w:tcPr>
                  <w:tcW w:w="564" w:type="pct"/>
                  <w:tcBorders>
                    <w:top w:val="single" w:color="auto" w:sz="2"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5</w:t>
                  </w:r>
                  <w:r>
                    <w:rPr>
                      <w:sz w:val="18"/>
                      <w:szCs w:val="18"/>
                    </w:rPr>
                    <w:t>1</w:t>
                  </w:r>
                </w:p>
              </w:tc>
              <w:tc>
                <w:tcPr>
                  <w:tcW w:w="564" w:type="pct"/>
                  <w:tcBorders>
                    <w:top w:val="single" w:color="auto" w:sz="2"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8</w:t>
                  </w:r>
                  <w:r>
                    <w:rPr>
                      <w:sz w:val="18"/>
                      <w:szCs w:val="18"/>
                    </w:rPr>
                    <w:t>4</w:t>
                  </w:r>
                </w:p>
              </w:tc>
              <w:tc>
                <w:tcPr>
                  <w:tcW w:w="564" w:type="pct"/>
                  <w:tcBorders>
                    <w:top w:val="single" w:color="auto" w:sz="2"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4</w:t>
                  </w:r>
                  <w:r>
                    <w:rPr>
                      <w:sz w:val="18"/>
                      <w:szCs w:val="18"/>
                    </w:rPr>
                    <w:t>5</w:t>
                  </w:r>
                </w:p>
              </w:tc>
              <w:tc>
                <w:tcPr>
                  <w:tcW w:w="562" w:type="pct"/>
                  <w:tcBorders>
                    <w:top w:val="single" w:color="auto" w:sz="2" w:space="0"/>
                    <w:left w:val="single" w:color="auto" w:sz="4" w:space="0"/>
                    <w:bottom w:val="single" w:color="auto" w:sz="12" w:space="0"/>
                    <w:right w:val="single" w:color="auto" w:sz="4" w:space="0"/>
                  </w:tcBorders>
                  <w:vAlign w:val="center"/>
                </w:tcPr>
                <w:p>
                  <w:pPr>
                    <w:autoSpaceDE w:val="0"/>
                    <w:autoSpaceDN w:val="0"/>
                    <w:adjustRightInd w:val="0"/>
                    <w:snapToGrid w:val="0"/>
                    <w:jc w:val="center"/>
                    <w:rPr>
                      <w:sz w:val="18"/>
                      <w:szCs w:val="18"/>
                    </w:rPr>
                  </w:pPr>
                  <w:r>
                    <w:rPr>
                      <w:rFonts w:hint="eastAsia"/>
                      <w:sz w:val="18"/>
                      <w:szCs w:val="18"/>
                    </w:rPr>
                    <w:t>8</w:t>
                  </w:r>
                  <w:r>
                    <w:rPr>
                      <w:sz w:val="18"/>
                      <w:szCs w:val="18"/>
                    </w:rPr>
                    <w:t>0</w:t>
                  </w:r>
                </w:p>
              </w:tc>
            </w:tr>
          </w:tbl>
          <w:p>
            <w:pPr>
              <w:adjustRightInd w:val="0"/>
              <w:snapToGrid w:val="0"/>
              <w:spacing w:line="360" w:lineRule="auto"/>
              <w:ind w:firstLine="420" w:firstLineChars="200"/>
              <w:rPr>
                <w:bCs/>
              </w:rPr>
            </w:pPr>
            <w:r>
              <w:rPr>
                <w:bCs/>
              </w:rPr>
              <w:t>（5）预测结果</w:t>
            </w:r>
          </w:p>
          <w:p>
            <w:pPr>
              <w:adjustRightInd w:val="0"/>
              <w:snapToGrid w:val="0"/>
              <w:spacing w:line="360" w:lineRule="auto"/>
              <w:ind w:firstLine="420" w:firstLineChars="200"/>
              <w:rPr>
                <w:bCs/>
              </w:rPr>
            </w:pPr>
            <w:r>
              <w:rPr>
                <w:bCs/>
              </w:rPr>
              <w:t>依据上面的预测模式和参数，预测结果见表4-4。</w:t>
            </w:r>
          </w:p>
          <w:p>
            <w:pPr>
              <w:adjustRightInd w:val="0"/>
              <w:snapToGrid w:val="0"/>
              <w:spacing w:line="360" w:lineRule="auto"/>
              <w:jc w:val="center"/>
              <w:rPr>
                <w:bCs/>
              </w:rPr>
            </w:pPr>
            <w:r>
              <w:rPr>
                <w:bCs/>
              </w:rPr>
              <w:t>表4-4  噪声预测结果统计表  单位：dB（A）</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1673"/>
              <w:gridCol w:w="1208"/>
              <w:gridCol w:w="1208"/>
              <w:gridCol w:w="1208"/>
              <w:gridCol w:w="12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6" w:type="pct"/>
                  <w:vMerge w:val="restart"/>
                  <w:tcBorders>
                    <w:top w:val="single" w:color="auto" w:sz="12" w:space="0"/>
                    <w:left w:val="nil"/>
                    <w:bottom w:val="single" w:color="auto" w:sz="4" w:space="0"/>
                    <w:right w:val="single" w:color="auto" w:sz="4" w:space="0"/>
                  </w:tcBorders>
                  <w:vAlign w:val="center"/>
                </w:tcPr>
                <w:p>
                  <w:pPr>
                    <w:pStyle w:val="25"/>
                    <w:autoSpaceDE w:val="0"/>
                    <w:autoSpaceDN w:val="0"/>
                    <w:rPr>
                      <w:rFonts w:ascii="Times New Roman" w:hAnsi="Times New Roman"/>
                      <w:sz w:val="18"/>
                      <w:szCs w:val="18"/>
                    </w:rPr>
                  </w:pPr>
                  <w:r>
                    <w:rPr>
                      <w:rFonts w:ascii="Times New Roman" w:hAnsi="Times New Roman"/>
                      <w:sz w:val="18"/>
                      <w:szCs w:val="18"/>
                    </w:rPr>
                    <w:t>名称</w:t>
                  </w:r>
                </w:p>
              </w:tc>
              <w:tc>
                <w:tcPr>
                  <w:tcW w:w="1053" w:type="pct"/>
                  <w:vMerge w:val="restart"/>
                  <w:tcBorders>
                    <w:top w:val="single" w:color="auto" w:sz="12" w:space="0"/>
                    <w:left w:val="single" w:color="auto" w:sz="4" w:space="0"/>
                    <w:bottom w:val="single" w:color="auto" w:sz="4" w:space="0"/>
                    <w:right w:val="single" w:color="auto" w:sz="4" w:space="0"/>
                  </w:tcBorders>
                  <w:vAlign w:val="center"/>
                </w:tcPr>
                <w:p>
                  <w:pPr>
                    <w:pStyle w:val="25"/>
                    <w:autoSpaceDE w:val="0"/>
                    <w:autoSpaceDN w:val="0"/>
                    <w:rPr>
                      <w:rFonts w:ascii="Times New Roman" w:hAnsi="Times New Roman"/>
                      <w:sz w:val="18"/>
                      <w:szCs w:val="18"/>
                    </w:rPr>
                  </w:pPr>
                  <w:r>
                    <w:rPr>
                      <w:rFonts w:ascii="Times New Roman" w:hAnsi="Times New Roman"/>
                      <w:sz w:val="18"/>
                      <w:szCs w:val="18"/>
                    </w:rPr>
                    <w:t>消减后噪声值</w:t>
                  </w:r>
                </w:p>
              </w:tc>
              <w:tc>
                <w:tcPr>
                  <w:tcW w:w="3041" w:type="pct"/>
                  <w:gridSpan w:val="4"/>
                  <w:tcBorders>
                    <w:top w:val="single" w:color="auto" w:sz="12" w:space="0"/>
                    <w:left w:val="single" w:color="auto" w:sz="4" w:space="0"/>
                    <w:bottom w:val="single" w:color="auto" w:sz="4" w:space="0"/>
                    <w:right w:val="nil"/>
                  </w:tcBorders>
                  <w:vAlign w:val="center"/>
                </w:tcPr>
                <w:p>
                  <w:pPr>
                    <w:pStyle w:val="25"/>
                    <w:autoSpaceDE w:val="0"/>
                    <w:autoSpaceDN w:val="0"/>
                    <w:rPr>
                      <w:rFonts w:ascii="Times New Roman" w:hAnsi="Times New Roman"/>
                      <w:sz w:val="18"/>
                      <w:szCs w:val="18"/>
                    </w:rPr>
                  </w:pPr>
                  <w:r>
                    <w:rPr>
                      <w:rFonts w:ascii="Times New Roman" w:hAnsi="Times New Roman"/>
                      <w:sz w:val="18"/>
                      <w:szCs w:val="18"/>
                    </w:rPr>
                    <w:t>预测点声压级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6" w:type="pct"/>
                  <w:vMerge w:val="continue"/>
                  <w:tcBorders>
                    <w:top w:val="single" w:color="auto" w:sz="12" w:space="0"/>
                    <w:left w:val="nil"/>
                    <w:bottom w:val="single" w:color="auto" w:sz="4" w:space="0"/>
                    <w:right w:val="single" w:color="auto" w:sz="4" w:space="0"/>
                  </w:tcBorders>
                  <w:vAlign w:val="center"/>
                </w:tcPr>
                <w:p>
                  <w:pPr>
                    <w:widowControl/>
                    <w:adjustRightInd w:val="0"/>
                    <w:snapToGrid w:val="0"/>
                    <w:jc w:val="center"/>
                    <w:rPr>
                      <w:sz w:val="18"/>
                      <w:szCs w:val="18"/>
                    </w:rPr>
                  </w:pPr>
                </w:p>
              </w:tc>
              <w:tc>
                <w:tcPr>
                  <w:tcW w:w="1053" w:type="pct"/>
                  <w:vMerge w:val="continue"/>
                  <w:tcBorders>
                    <w:top w:val="single" w:color="auto" w:sz="12" w:space="0"/>
                    <w:left w:val="single" w:color="auto" w:sz="4" w:space="0"/>
                    <w:bottom w:val="single" w:color="auto" w:sz="4" w:space="0"/>
                    <w:right w:val="single" w:color="auto" w:sz="4" w:space="0"/>
                  </w:tcBorders>
                  <w:vAlign w:val="center"/>
                </w:tcPr>
                <w:p>
                  <w:pPr>
                    <w:widowControl/>
                    <w:adjustRightInd w:val="0"/>
                    <w:snapToGrid w:val="0"/>
                    <w:jc w:val="center"/>
                    <w:rPr>
                      <w:sz w:val="18"/>
                      <w:szCs w:val="18"/>
                    </w:rPr>
                  </w:pPr>
                </w:p>
              </w:tc>
              <w:tc>
                <w:tcPr>
                  <w:tcW w:w="76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东侧厂界</w:t>
                  </w:r>
                </w:p>
              </w:tc>
              <w:tc>
                <w:tcPr>
                  <w:tcW w:w="76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南侧厂界</w:t>
                  </w:r>
                </w:p>
              </w:tc>
              <w:tc>
                <w:tcPr>
                  <w:tcW w:w="76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西侧厂界</w:t>
                  </w:r>
                </w:p>
              </w:tc>
              <w:tc>
                <w:tcPr>
                  <w:tcW w:w="761"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sz w:val="18"/>
                      <w:szCs w:val="18"/>
                    </w:rPr>
                  </w:pPr>
                  <w:r>
                    <w:rPr>
                      <w:sz w:val="18"/>
                      <w:szCs w:val="18"/>
                    </w:rPr>
                    <w:t>北侧厂界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06" w:type="pct"/>
                  <w:tcBorders>
                    <w:top w:val="single" w:color="auto" w:sz="4" w:space="0"/>
                    <w:left w:val="nil"/>
                    <w:bottom w:val="single" w:color="auto" w:sz="12" w:space="0"/>
                    <w:right w:val="single" w:color="auto" w:sz="4" w:space="0"/>
                  </w:tcBorders>
                  <w:vAlign w:val="center"/>
                </w:tcPr>
                <w:p>
                  <w:pPr>
                    <w:autoSpaceDE w:val="0"/>
                    <w:autoSpaceDN w:val="0"/>
                    <w:adjustRightInd w:val="0"/>
                    <w:snapToGrid w:val="0"/>
                    <w:jc w:val="center"/>
                    <w:rPr>
                      <w:sz w:val="18"/>
                      <w:szCs w:val="18"/>
                    </w:rPr>
                  </w:pPr>
                  <w:r>
                    <w:rPr>
                      <w:sz w:val="18"/>
                      <w:szCs w:val="18"/>
                    </w:rPr>
                    <w:t>沥青搅拌站</w:t>
                  </w:r>
                </w:p>
              </w:tc>
              <w:tc>
                <w:tcPr>
                  <w:tcW w:w="1053" w:type="pct"/>
                  <w:tcBorders>
                    <w:top w:val="single" w:color="auto" w:sz="4"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ascii="Times New Roman" w:hAnsi="Times New Roman"/>
                      <w:sz w:val="18"/>
                      <w:szCs w:val="18"/>
                    </w:rPr>
                    <w:t>69.2</w:t>
                  </w:r>
                </w:p>
              </w:tc>
              <w:tc>
                <w:tcPr>
                  <w:tcW w:w="760" w:type="pct"/>
                  <w:tcBorders>
                    <w:top w:val="single" w:color="auto" w:sz="4"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hint="eastAsia" w:ascii="Times New Roman" w:hAnsi="Times New Roman"/>
                      <w:sz w:val="18"/>
                      <w:szCs w:val="18"/>
                    </w:rPr>
                    <w:t>3</w:t>
                  </w:r>
                  <w:r>
                    <w:rPr>
                      <w:rFonts w:ascii="Times New Roman" w:hAnsi="Times New Roman"/>
                      <w:sz w:val="18"/>
                      <w:szCs w:val="18"/>
                    </w:rPr>
                    <w:t>5</w:t>
                  </w:r>
                </w:p>
              </w:tc>
              <w:tc>
                <w:tcPr>
                  <w:tcW w:w="760" w:type="pct"/>
                  <w:tcBorders>
                    <w:top w:val="single" w:color="auto" w:sz="4"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hint="eastAsia" w:ascii="Times New Roman" w:hAnsi="Times New Roman"/>
                      <w:sz w:val="18"/>
                      <w:szCs w:val="18"/>
                    </w:rPr>
                    <w:t>3</w:t>
                  </w:r>
                  <w:r>
                    <w:rPr>
                      <w:rFonts w:ascii="Times New Roman" w:hAnsi="Times New Roman"/>
                      <w:sz w:val="18"/>
                      <w:szCs w:val="18"/>
                    </w:rPr>
                    <w:t>1</w:t>
                  </w:r>
                </w:p>
              </w:tc>
              <w:tc>
                <w:tcPr>
                  <w:tcW w:w="760" w:type="pct"/>
                  <w:tcBorders>
                    <w:top w:val="single" w:color="auto" w:sz="4"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hint="eastAsia" w:ascii="Times New Roman" w:hAnsi="Times New Roman"/>
                      <w:sz w:val="18"/>
                      <w:szCs w:val="18"/>
                    </w:rPr>
                    <w:t>3</w:t>
                  </w:r>
                  <w:r>
                    <w:rPr>
                      <w:rFonts w:ascii="Times New Roman" w:hAnsi="Times New Roman"/>
                      <w:sz w:val="18"/>
                      <w:szCs w:val="18"/>
                    </w:rPr>
                    <w:t>6</w:t>
                  </w:r>
                </w:p>
              </w:tc>
              <w:tc>
                <w:tcPr>
                  <w:tcW w:w="761" w:type="pct"/>
                  <w:tcBorders>
                    <w:top w:val="single" w:color="auto" w:sz="4" w:space="0"/>
                    <w:left w:val="single" w:color="auto" w:sz="4" w:space="0"/>
                    <w:bottom w:val="single" w:color="auto" w:sz="12" w:space="0"/>
                    <w:right w:val="single" w:color="auto" w:sz="4" w:space="0"/>
                  </w:tcBorders>
                  <w:vAlign w:val="center"/>
                </w:tcPr>
                <w:p>
                  <w:pPr>
                    <w:pStyle w:val="25"/>
                    <w:autoSpaceDE w:val="0"/>
                    <w:autoSpaceDN w:val="0"/>
                    <w:rPr>
                      <w:rFonts w:ascii="Times New Roman" w:hAnsi="Times New Roman"/>
                      <w:sz w:val="18"/>
                      <w:szCs w:val="18"/>
                    </w:rPr>
                  </w:pPr>
                  <w:r>
                    <w:rPr>
                      <w:rFonts w:hint="eastAsia" w:ascii="Times New Roman" w:hAnsi="Times New Roman"/>
                      <w:sz w:val="18"/>
                      <w:szCs w:val="18"/>
                    </w:rPr>
                    <w:t>3</w:t>
                  </w:r>
                  <w:r>
                    <w:rPr>
                      <w:rFonts w:ascii="Times New Roman" w:hAnsi="Times New Roman"/>
                      <w:sz w:val="18"/>
                      <w:szCs w:val="18"/>
                    </w:rPr>
                    <w:t>1</w:t>
                  </w:r>
                </w:p>
              </w:tc>
            </w:tr>
          </w:tbl>
          <w:p>
            <w:pPr>
              <w:adjustRightInd w:val="0"/>
              <w:snapToGrid w:val="0"/>
              <w:spacing w:line="360" w:lineRule="auto"/>
              <w:ind w:firstLine="420" w:firstLineChars="200"/>
              <w:rPr>
                <w:bCs/>
              </w:rPr>
            </w:pPr>
            <w:r>
              <w:rPr>
                <w:bCs/>
              </w:rPr>
              <w:t>由预测结果可以看出，本项目</w:t>
            </w:r>
            <w:r>
              <w:rPr>
                <w:rFonts w:hint="eastAsia"/>
                <w:bCs/>
                <w:lang w:val="en-US" w:eastAsia="zh-CN"/>
              </w:rPr>
              <w:t>满负荷运行</w:t>
            </w:r>
            <w:r>
              <w:rPr>
                <w:bCs/>
              </w:rPr>
              <w:t>后各厂界预测噪声值均满足《工业企业厂界环境噪声排放标准》（GB12348-2008）中1类区排放标准要求，本项目运营期噪声对周围声环境影响较小。</w:t>
            </w:r>
          </w:p>
          <w:p>
            <w:pPr>
              <w:adjustRightInd w:val="0"/>
              <w:snapToGrid w:val="0"/>
              <w:spacing w:line="360" w:lineRule="auto"/>
              <w:ind w:firstLine="420" w:firstLineChars="200"/>
              <w:rPr>
                <w:bCs/>
              </w:rPr>
            </w:pPr>
            <w:r>
              <w:rPr>
                <w:bCs/>
              </w:rPr>
              <w:t>（6）保护措施</w:t>
            </w:r>
          </w:p>
          <w:p>
            <w:pPr>
              <w:adjustRightInd w:val="0"/>
              <w:snapToGrid w:val="0"/>
              <w:spacing w:line="360" w:lineRule="auto"/>
              <w:ind w:firstLine="420" w:firstLineChars="200"/>
              <w:rPr>
                <w:bCs/>
              </w:rPr>
            </w:pPr>
            <w:r>
              <w:rPr>
                <w:rFonts w:hint="eastAsia" w:ascii="宋体" w:hAnsi="宋体" w:cs="宋体"/>
                <w:bCs/>
              </w:rPr>
              <w:t>①</w:t>
            </w:r>
            <w:r>
              <w:rPr>
                <w:bCs/>
              </w:rPr>
              <w:t>对主要噪声设备采取加防震底座进行基础减震，加强设备管理维护，使之处于良好的运行状态。</w:t>
            </w:r>
          </w:p>
          <w:p>
            <w:pPr>
              <w:adjustRightInd w:val="0"/>
              <w:snapToGrid w:val="0"/>
              <w:spacing w:line="360" w:lineRule="auto"/>
              <w:ind w:firstLine="420" w:firstLineChars="200"/>
              <w:rPr>
                <w:bCs/>
              </w:rPr>
            </w:pPr>
            <w:r>
              <w:rPr>
                <w:rFonts w:hint="eastAsia" w:ascii="宋体" w:hAnsi="宋体" w:cs="宋体"/>
                <w:bCs/>
              </w:rPr>
              <w:t>②</w:t>
            </w:r>
            <w:r>
              <w:rPr>
                <w:bCs/>
              </w:rPr>
              <w:t>合理布局，高噪声设备远离厂界，在厂界周围设置一定高度的隔声措施（围墙、声屏障等），减少对厂区外环境的影响。</w:t>
            </w:r>
          </w:p>
          <w:p>
            <w:pPr>
              <w:adjustRightInd w:val="0"/>
              <w:snapToGrid w:val="0"/>
              <w:spacing w:line="360" w:lineRule="auto"/>
              <w:ind w:firstLine="420" w:firstLineChars="200"/>
              <w:rPr>
                <w:bCs/>
              </w:rPr>
            </w:pPr>
            <w:r>
              <w:rPr>
                <w:rFonts w:hint="eastAsia" w:ascii="宋体" w:hAnsi="宋体" w:cs="宋体"/>
                <w:bCs/>
              </w:rPr>
              <w:t>③</w:t>
            </w:r>
            <w:r>
              <w:rPr>
                <w:bCs/>
              </w:rPr>
              <w:t>加强对运输车辆进出的管理，限速限鸣，进一步降低对周围环境的影响。</w:t>
            </w:r>
          </w:p>
          <w:p>
            <w:pPr>
              <w:adjustRightInd w:val="0"/>
              <w:snapToGrid w:val="0"/>
              <w:spacing w:line="360" w:lineRule="auto"/>
              <w:ind w:firstLine="420" w:firstLineChars="200"/>
              <w:rPr>
                <w:bCs/>
              </w:rPr>
            </w:pPr>
            <w:r>
              <w:rPr>
                <w:bCs/>
              </w:rPr>
              <w:t>（7）监测内容及计划</w:t>
            </w:r>
          </w:p>
          <w:p>
            <w:pPr>
              <w:adjustRightInd w:val="0"/>
              <w:snapToGrid w:val="0"/>
              <w:spacing w:line="360" w:lineRule="auto"/>
              <w:ind w:firstLine="420" w:firstLineChars="200"/>
              <w:rPr>
                <w:bCs/>
              </w:rPr>
            </w:pPr>
            <w:r>
              <w:rPr>
                <w:bCs/>
              </w:rPr>
              <w:t>项目运营期噪声监测计划如下。</w:t>
            </w:r>
          </w:p>
          <w:p>
            <w:pPr>
              <w:adjustRightInd w:val="0"/>
              <w:snapToGrid w:val="0"/>
              <w:spacing w:line="360" w:lineRule="auto"/>
              <w:jc w:val="center"/>
              <w:rPr>
                <w:bCs/>
              </w:rPr>
            </w:pPr>
            <w:r>
              <w:rPr>
                <w:bCs/>
              </w:rPr>
              <w:t>表4-5  噪声监测计划</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780"/>
              <w:gridCol w:w="1027"/>
              <w:gridCol w:w="753"/>
              <w:gridCol w:w="3523"/>
              <w:gridCol w:w="11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8" w:type="pct"/>
                  <w:vAlign w:val="center"/>
                </w:tcPr>
                <w:p>
                  <w:pPr>
                    <w:adjustRightInd w:val="0"/>
                    <w:snapToGrid w:val="0"/>
                    <w:jc w:val="center"/>
                    <w:rPr>
                      <w:bCs/>
                      <w:sz w:val="18"/>
                      <w:szCs w:val="18"/>
                    </w:rPr>
                  </w:pPr>
                  <w:r>
                    <w:rPr>
                      <w:bCs/>
                      <w:sz w:val="18"/>
                      <w:szCs w:val="18"/>
                    </w:rPr>
                    <w:t>监测项目</w:t>
                  </w:r>
                </w:p>
              </w:tc>
              <w:tc>
                <w:tcPr>
                  <w:tcW w:w="491" w:type="pct"/>
                  <w:vAlign w:val="center"/>
                </w:tcPr>
                <w:p>
                  <w:pPr>
                    <w:adjustRightInd w:val="0"/>
                    <w:snapToGrid w:val="0"/>
                    <w:jc w:val="center"/>
                    <w:rPr>
                      <w:bCs/>
                      <w:sz w:val="18"/>
                      <w:szCs w:val="18"/>
                    </w:rPr>
                  </w:pPr>
                  <w:r>
                    <w:rPr>
                      <w:bCs/>
                      <w:sz w:val="18"/>
                      <w:szCs w:val="18"/>
                    </w:rPr>
                    <w:t>监测因子</w:t>
                  </w:r>
                </w:p>
              </w:tc>
              <w:tc>
                <w:tcPr>
                  <w:tcW w:w="646" w:type="pct"/>
                  <w:vAlign w:val="center"/>
                </w:tcPr>
                <w:p>
                  <w:pPr>
                    <w:adjustRightInd w:val="0"/>
                    <w:snapToGrid w:val="0"/>
                    <w:jc w:val="center"/>
                    <w:rPr>
                      <w:bCs/>
                      <w:sz w:val="18"/>
                      <w:szCs w:val="18"/>
                    </w:rPr>
                  </w:pPr>
                  <w:r>
                    <w:rPr>
                      <w:bCs/>
                      <w:sz w:val="18"/>
                      <w:szCs w:val="18"/>
                    </w:rPr>
                    <w:t>监测点位</w:t>
                  </w:r>
                </w:p>
              </w:tc>
              <w:tc>
                <w:tcPr>
                  <w:tcW w:w="474" w:type="pct"/>
                  <w:vAlign w:val="center"/>
                </w:tcPr>
                <w:p>
                  <w:pPr>
                    <w:adjustRightInd w:val="0"/>
                    <w:snapToGrid w:val="0"/>
                    <w:jc w:val="center"/>
                    <w:rPr>
                      <w:bCs/>
                      <w:sz w:val="18"/>
                      <w:szCs w:val="18"/>
                    </w:rPr>
                  </w:pPr>
                  <w:r>
                    <w:rPr>
                      <w:bCs/>
                      <w:sz w:val="18"/>
                      <w:szCs w:val="18"/>
                    </w:rPr>
                    <w:t>监测频率</w:t>
                  </w:r>
                </w:p>
              </w:tc>
              <w:tc>
                <w:tcPr>
                  <w:tcW w:w="2217" w:type="pct"/>
                  <w:vAlign w:val="center"/>
                </w:tcPr>
                <w:p>
                  <w:pPr>
                    <w:adjustRightInd w:val="0"/>
                    <w:snapToGrid w:val="0"/>
                    <w:jc w:val="center"/>
                    <w:rPr>
                      <w:bCs/>
                      <w:sz w:val="18"/>
                      <w:szCs w:val="18"/>
                    </w:rPr>
                  </w:pPr>
                  <w:r>
                    <w:rPr>
                      <w:bCs/>
                      <w:sz w:val="18"/>
                      <w:szCs w:val="18"/>
                    </w:rPr>
                    <w:t>执行标准</w:t>
                  </w:r>
                </w:p>
              </w:tc>
              <w:tc>
                <w:tcPr>
                  <w:tcW w:w="754" w:type="pct"/>
                  <w:vAlign w:val="center"/>
                </w:tcPr>
                <w:p>
                  <w:pPr>
                    <w:adjustRightInd w:val="0"/>
                    <w:snapToGrid w:val="0"/>
                    <w:jc w:val="center"/>
                    <w:rPr>
                      <w:bCs/>
                      <w:sz w:val="18"/>
                      <w:szCs w:val="18"/>
                    </w:rPr>
                  </w:pPr>
                  <w:r>
                    <w:rPr>
                      <w:bCs/>
                      <w:sz w:val="18"/>
                      <w:szCs w:val="18"/>
                    </w:rPr>
                    <w:t>监测机构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8" w:type="pct"/>
                  <w:vAlign w:val="center"/>
                </w:tcPr>
                <w:p>
                  <w:pPr>
                    <w:adjustRightInd w:val="0"/>
                    <w:snapToGrid w:val="0"/>
                    <w:jc w:val="center"/>
                    <w:rPr>
                      <w:bCs/>
                      <w:sz w:val="18"/>
                      <w:szCs w:val="18"/>
                    </w:rPr>
                  </w:pPr>
                  <w:r>
                    <w:rPr>
                      <w:bCs/>
                      <w:sz w:val="18"/>
                      <w:szCs w:val="18"/>
                    </w:rPr>
                    <w:t>噪声</w:t>
                  </w:r>
                </w:p>
              </w:tc>
              <w:tc>
                <w:tcPr>
                  <w:tcW w:w="491" w:type="pct"/>
                  <w:vAlign w:val="center"/>
                </w:tcPr>
                <w:p>
                  <w:pPr>
                    <w:adjustRightInd w:val="0"/>
                    <w:snapToGrid w:val="0"/>
                    <w:jc w:val="center"/>
                    <w:rPr>
                      <w:bCs/>
                      <w:sz w:val="18"/>
                      <w:szCs w:val="18"/>
                    </w:rPr>
                  </w:pPr>
                  <w:r>
                    <w:rPr>
                      <w:bCs/>
                      <w:sz w:val="18"/>
                      <w:szCs w:val="18"/>
                    </w:rPr>
                    <w:t>LAeq</w:t>
                  </w:r>
                </w:p>
              </w:tc>
              <w:tc>
                <w:tcPr>
                  <w:tcW w:w="646" w:type="pct"/>
                  <w:vAlign w:val="center"/>
                </w:tcPr>
                <w:p>
                  <w:pPr>
                    <w:adjustRightInd w:val="0"/>
                    <w:snapToGrid w:val="0"/>
                    <w:jc w:val="center"/>
                    <w:rPr>
                      <w:bCs/>
                      <w:sz w:val="18"/>
                      <w:szCs w:val="18"/>
                    </w:rPr>
                  </w:pPr>
                  <w:r>
                    <w:rPr>
                      <w:bCs/>
                      <w:sz w:val="18"/>
                      <w:szCs w:val="18"/>
                    </w:rPr>
                    <w:t>厂界四周外1m处</w:t>
                  </w:r>
                </w:p>
              </w:tc>
              <w:tc>
                <w:tcPr>
                  <w:tcW w:w="474" w:type="pct"/>
                  <w:vAlign w:val="center"/>
                </w:tcPr>
                <w:p>
                  <w:pPr>
                    <w:adjustRightInd w:val="0"/>
                    <w:snapToGrid w:val="0"/>
                    <w:jc w:val="center"/>
                    <w:rPr>
                      <w:bCs/>
                      <w:sz w:val="18"/>
                      <w:szCs w:val="18"/>
                    </w:rPr>
                  </w:pPr>
                  <w:r>
                    <w:rPr>
                      <w:bCs/>
                      <w:sz w:val="18"/>
                      <w:szCs w:val="18"/>
                    </w:rPr>
                    <w:t>每季度1次</w:t>
                  </w:r>
                </w:p>
              </w:tc>
              <w:tc>
                <w:tcPr>
                  <w:tcW w:w="2217" w:type="pct"/>
                  <w:vAlign w:val="center"/>
                </w:tcPr>
                <w:p>
                  <w:pPr>
                    <w:adjustRightInd w:val="0"/>
                    <w:snapToGrid w:val="0"/>
                    <w:jc w:val="center"/>
                    <w:rPr>
                      <w:bCs/>
                      <w:sz w:val="18"/>
                      <w:szCs w:val="18"/>
                    </w:rPr>
                  </w:pPr>
                  <w:r>
                    <w:rPr>
                      <w:bCs/>
                      <w:sz w:val="18"/>
                      <w:szCs w:val="18"/>
                    </w:rPr>
                    <w:t>《工业企业厂界环境噪声排放标准》（GB12348-2008）中1类标准</w:t>
                  </w:r>
                </w:p>
              </w:tc>
              <w:tc>
                <w:tcPr>
                  <w:tcW w:w="754" w:type="pct"/>
                  <w:vAlign w:val="center"/>
                </w:tcPr>
                <w:p>
                  <w:pPr>
                    <w:adjustRightInd w:val="0"/>
                    <w:snapToGrid w:val="0"/>
                    <w:jc w:val="center"/>
                    <w:rPr>
                      <w:bCs/>
                      <w:sz w:val="18"/>
                      <w:szCs w:val="18"/>
                    </w:rPr>
                  </w:pPr>
                  <w:r>
                    <w:rPr>
                      <w:bCs/>
                      <w:sz w:val="18"/>
                      <w:szCs w:val="18"/>
                    </w:rPr>
                    <w:t>有资质的环境监测单位</w:t>
                  </w:r>
                </w:p>
              </w:tc>
            </w:tr>
          </w:tbl>
          <w:p>
            <w:pPr>
              <w:adjustRightInd w:val="0"/>
              <w:snapToGrid w:val="0"/>
              <w:spacing w:line="360" w:lineRule="auto"/>
              <w:ind w:firstLine="420" w:firstLineChars="200"/>
              <w:rPr>
                <w:bCs/>
              </w:rPr>
            </w:pPr>
            <w:r>
              <w:rPr>
                <w:bCs/>
              </w:rPr>
              <w:t>4、固体废物</w:t>
            </w:r>
          </w:p>
          <w:p>
            <w:pPr>
              <w:pStyle w:val="13"/>
              <w:adjustRightInd w:val="0"/>
              <w:snapToGrid w:val="0"/>
              <w:spacing w:line="360" w:lineRule="auto"/>
              <w:ind w:firstLine="420" w:firstLineChars="200"/>
            </w:pPr>
            <w:r>
              <w:rPr>
                <w:rFonts w:hint="eastAsia"/>
              </w:rPr>
              <w:t>本项目产生固体废物主要为职工产生的生活垃圾、一般工业固体废物、危险废物。</w:t>
            </w:r>
          </w:p>
          <w:p>
            <w:pPr>
              <w:pStyle w:val="13"/>
              <w:adjustRightInd w:val="0"/>
              <w:snapToGrid w:val="0"/>
              <w:spacing w:line="360" w:lineRule="auto"/>
              <w:ind w:firstLine="420" w:firstLineChars="200"/>
            </w:pPr>
            <w:r>
              <w:rPr>
                <w:rFonts w:hint="eastAsia"/>
              </w:rPr>
              <w:t>（1）生活垃圾</w:t>
            </w:r>
          </w:p>
          <w:p>
            <w:pPr>
              <w:pStyle w:val="13"/>
              <w:adjustRightInd w:val="0"/>
              <w:snapToGrid w:val="0"/>
              <w:spacing w:line="360" w:lineRule="auto"/>
              <w:ind w:firstLine="420" w:firstLineChars="200"/>
            </w:pPr>
            <w:r>
              <w:rPr>
                <w:rFonts w:hint="eastAsia"/>
              </w:rPr>
              <w:t>本项目劳动定员</w:t>
            </w:r>
            <w:r>
              <w:t>8</w:t>
            </w:r>
            <w:r>
              <w:rPr>
                <w:rFonts w:hint="eastAsia"/>
              </w:rPr>
              <w:t>人，生活垃圾按0.5kg/人·d计算，则职工生活垃圾产生量为</w:t>
            </w:r>
            <w:r>
              <w:t>4</w:t>
            </w:r>
            <w:r>
              <w:rPr>
                <w:rFonts w:hint="eastAsia"/>
              </w:rPr>
              <w:t>kg/d（0</w:t>
            </w:r>
            <w:r>
              <w:t>.24</w:t>
            </w:r>
            <w:r>
              <w:rPr>
                <w:rFonts w:hint="eastAsia"/>
              </w:rPr>
              <w:t>t/a），厂区内集中收集，由环卫部门统一处理。</w:t>
            </w:r>
          </w:p>
          <w:p>
            <w:pPr>
              <w:pStyle w:val="13"/>
              <w:adjustRightInd w:val="0"/>
              <w:snapToGrid w:val="0"/>
              <w:spacing w:line="360" w:lineRule="auto"/>
              <w:ind w:firstLine="420" w:firstLineChars="200"/>
            </w:pPr>
            <w:r>
              <w:rPr>
                <w:rFonts w:hint="eastAsia"/>
              </w:rPr>
              <w:t>①厨余垃圾和废油脂</w:t>
            </w:r>
          </w:p>
          <w:p>
            <w:pPr>
              <w:pStyle w:val="13"/>
              <w:adjustRightInd w:val="0"/>
              <w:snapToGrid w:val="0"/>
              <w:spacing w:line="360" w:lineRule="auto"/>
              <w:ind w:firstLine="420" w:firstLineChars="200"/>
            </w:pPr>
            <w:r>
              <w:rPr>
                <w:rFonts w:hint="eastAsia"/>
              </w:rPr>
              <w:t>根据《餐厨垃圾处理技术规范》（CJJ 184-2012）中5.2.2，厨余垃圾产生系数为0.1kg/人·d，本项目劳动定员</w:t>
            </w:r>
            <w:r>
              <w:t>8</w:t>
            </w:r>
            <w:r>
              <w:rPr>
                <w:rFonts w:hint="eastAsia"/>
              </w:rPr>
              <w:t>人，则厨余垃圾产生量为</w:t>
            </w:r>
            <w:r>
              <w:t>0.8</w:t>
            </w:r>
            <w:r>
              <w:rPr>
                <w:rFonts w:hint="eastAsia"/>
              </w:rPr>
              <w:t>kg/d（</w:t>
            </w:r>
            <w:r>
              <w:t>0.048</w:t>
            </w:r>
            <w:r>
              <w:rPr>
                <w:rFonts w:hint="eastAsia"/>
              </w:rPr>
              <w:t>t/a）；废油脂产生量约为厨余垃圾5%，则废油脂产生量为</w:t>
            </w:r>
            <w:r>
              <w:t>0.002</w:t>
            </w:r>
            <w:r>
              <w:rPr>
                <w:rFonts w:hint="eastAsia"/>
              </w:rPr>
              <w:t>t/a。厨余垃圾交由环卫部门统一处理，废油脂于沉淀池收集后交由相关资质单位进行处理。</w:t>
            </w:r>
          </w:p>
          <w:p>
            <w:pPr>
              <w:pStyle w:val="13"/>
              <w:adjustRightInd w:val="0"/>
              <w:snapToGrid w:val="0"/>
              <w:spacing w:line="360" w:lineRule="auto"/>
              <w:ind w:firstLine="420" w:firstLineChars="200"/>
            </w:pPr>
            <w:r>
              <w:rPr>
                <w:rFonts w:hint="eastAsia"/>
              </w:rPr>
              <w:t>（2）一般工业固体废物</w:t>
            </w:r>
          </w:p>
          <w:p>
            <w:pPr>
              <w:pStyle w:val="13"/>
              <w:adjustRightInd w:val="0"/>
              <w:snapToGrid w:val="0"/>
              <w:spacing w:line="360" w:lineRule="auto"/>
              <w:ind w:firstLine="420" w:firstLineChars="200"/>
            </w:pPr>
            <w:r>
              <w:rPr>
                <w:rFonts w:hint="eastAsia"/>
              </w:rPr>
              <w:t>①布袋除尘器回收粉尘</w:t>
            </w:r>
          </w:p>
          <w:p>
            <w:pPr>
              <w:pStyle w:val="13"/>
              <w:adjustRightInd w:val="0"/>
              <w:snapToGrid w:val="0"/>
              <w:spacing w:line="360" w:lineRule="auto"/>
              <w:ind w:firstLine="420" w:firstLineChars="200"/>
            </w:pPr>
            <w:r>
              <w:rPr>
                <w:rFonts w:hint="eastAsia"/>
              </w:rPr>
              <w:t>项目布袋除尘器回收粉尘产生量约为</w:t>
            </w:r>
            <w:r>
              <w:t>1.66</w:t>
            </w:r>
            <w:r>
              <w:rPr>
                <w:rFonts w:hint="eastAsia"/>
              </w:rPr>
              <w:t>t/a，统一收集后，回用于生产。</w:t>
            </w:r>
          </w:p>
          <w:p>
            <w:pPr>
              <w:pStyle w:val="13"/>
              <w:adjustRightInd w:val="0"/>
              <w:snapToGrid w:val="0"/>
              <w:spacing w:line="360" w:lineRule="auto"/>
              <w:ind w:firstLine="420" w:firstLineChars="200"/>
            </w:pPr>
            <w:r>
              <w:rPr>
                <w:rFonts w:hint="eastAsia"/>
              </w:rPr>
              <w:t>②不合格石料</w:t>
            </w:r>
          </w:p>
          <w:p>
            <w:pPr>
              <w:pStyle w:val="13"/>
              <w:adjustRightInd w:val="0"/>
              <w:snapToGrid w:val="0"/>
              <w:spacing w:line="360" w:lineRule="auto"/>
              <w:ind w:firstLine="420" w:firstLineChars="200"/>
            </w:pPr>
            <w:r>
              <w:rPr>
                <w:rFonts w:hint="eastAsia"/>
              </w:rPr>
              <w:t>项目生产原料砂石经烘干筛分后，不合格石料不能进入生产线，收集至筛分机下方收集箱内，及时清理。类比同类项目，淘汰的不合格石料约3.5t/a。收集后暂存于厂区料仓内，返回厂家进行破碎处理。</w:t>
            </w:r>
          </w:p>
          <w:p>
            <w:pPr>
              <w:pStyle w:val="13"/>
              <w:adjustRightInd w:val="0"/>
              <w:snapToGrid w:val="0"/>
              <w:spacing w:line="360" w:lineRule="auto"/>
              <w:ind w:firstLine="420" w:firstLineChars="200"/>
            </w:pPr>
            <w:r>
              <w:rPr>
                <w:rFonts w:hint="eastAsia"/>
              </w:rPr>
              <w:t>③滴落沥青及拌合残渣</w:t>
            </w:r>
          </w:p>
          <w:p>
            <w:pPr>
              <w:pStyle w:val="13"/>
              <w:adjustRightInd w:val="0"/>
              <w:snapToGrid w:val="0"/>
              <w:spacing w:line="360" w:lineRule="auto"/>
              <w:ind w:firstLine="420" w:firstLineChars="200"/>
            </w:pPr>
            <w:r>
              <w:rPr>
                <w:rFonts w:hint="eastAsia"/>
              </w:rPr>
              <w:t>沥青管道输送过程接口处可能会产生少量沥青滴漏，拌合后成品卸料时可能会产生少量拌合残渣，类比同类项目，滴漏沥青及拌合残渣产生量约为0.02t/a，收集后作为原料回用于生产。</w:t>
            </w:r>
          </w:p>
          <w:p>
            <w:pPr>
              <w:pStyle w:val="13"/>
              <w:adjustRightInd w:val="0"/>
              <w:snapToGrid w:val="0"/>
              <w:spacing w:line="360" w:lineRule="auto"/>
              <w:ind w:firstLine="420" w:firstLineChars="200"/>
            </w:pPr>
            <w:r>
              <w:rPr>
                <w:rFonts w:hint="eastAsia"/>
              </w:rPr>
              <w:t>④废布袋</w:t>
            </w:r>
          </w:p>
          <w:p>
            <w:pPr>
              <w:pStyle w:val="13"/>
              <w:adjustRightInd w:val="0"/>
              <w:snapToGrid w:val="0"/>
              <w:spacing w:line="360" w:lineRule="auto"/>
              <w:ind w:firstLine="420" w:firstLineChars="200"/>
            </w:pPr>
            <w:r>
              <w:rPr>
                <w:rFonts w:hint="eastAsia"/>
              </w:rPr>
              <w:t>本项目生产使用除尘器，需要定期更换布袋，产生量约为0.1t/a，由厂家进行回收。</w:t>
            </w:r>
          </w:p>
          <w:p>
            <w:pPr>
              <w:pStyle w:val="13"/>
              <w:adjustRightInd w:val="0"/>
              <w:snapToGrid w:val="0"/>
              <w:spacing w:line="360" w:lineRule="auto"/>
              <w:ind w:firstLine="420" w:firstLineChars="200"/>
            </w:pPr>
            <w:r>
              <w:rPr>
                <w:rFonts w:hint="eastAsia"/>
              </w:rPr>
              <w:t>（2）危险废物</w:t>
            </w:r>
          </w:p>
          <w:p>
            <w:pPr>
              <w:pStyle w:val="13"/>
              <w:adjustRightInd w:val="0"/>
              <w:snapToGrid w:val="0"/>
              <w:spacing w:line="360" w:lineRule="auto"/>
              <w:ind w:firstLine="420" w:firstLineChars="200"/>
            </w:pPr>
            <w:r>
              <w:rPr>
                <w:rFonts w:hint="eastAsia"/>
              </w:rPr>
              <w:t>本项目采用活性炭吸附处理含苯并[a]芘的沥青烟，产生失效的活性炭物质，年产生量为0.</w:t>
            </w:r>
            <w:r>
              <w:t>4</w:t>
            </w:r>
            <w:r>
              <w:rPr>
                <w:rFonts w:hint="eastAsia"/>
              </w:rPr>
              <w:t>t/a。废活性炭为危险废物，危废类别HW49，危废代码900-041-49，含有或占染毒性、感染性危险废物的废弃包装物、容器、过滤吸附介质。本项目废活性炭暂存于危废暂存间，定期交由有危险废物处理资质单位处理。</w:t>
            </w:r>
          </w:p>
          <w:p>
            <w:pPr>
              <w:pStyle w:val="13"/>
              <w:adjustRightInd w:val="0"/>
              <w:snapToGrid w:val="0"/>
              <w:spacing w:line="360" w:lineRule="auto"/>
              <w:ind w:firstLine="420" w:firstLineChars="200"/>
            </w:pPr>
            <w:r>
              <w:rPr>
                <w:rFonts w:hint="eastAsia"/>
              </w:rPr>
              <w:t>（3）环境管理要求</w:t>
            </w:r>
          </w:p>
          <w:p>
            <w:pPr>
              <w:pStyle w:val="13"/>
              <w:adjustRightInd w:val="0"/>
              <w:snapToGrid w:val="0"/>
              <w:spacing w:line="360" w:lineRule="auto"/>
              <w:ind w:firstLine="420" w:firstLineChars="200"/>
            </w:pPr>
            <w:r>
              <w:rPr>
                <w:rFonts w:hint="eastAsia"/>
              </w:rPr>
              <w:t>①一般工业固体废物暂存区</w:t>
            </w:r>
          </w:p>
          <w:p>
            <w:pPr>
              <w:pStyle w:val="13"/>
              <w:adjustRightInd w:val="0"/>
              <w:snapToGrid w:val="0"/>
              <w:spacing w:line="360" w:lineRule="auto"/>
              <w:ind w:firstLine="420" w:firstLineChars="200"/>
            </w:pPr>
            <w:r>
              <w:rPr>
                <w:rFonts w:hint="eastAsia"/>
              </w:rPr>
              <w:t>一般固废物暂存区按照《一般工业固体废物贮存和填埋污染控制标准》（GB 18599-2020）设计。设置防风、防晒、防雨措施，周边设置导流渠，防止雨水径流进入贮存、处置场内。一般固废物暂存区按GB15562.2设置环境保护图形标志。建立检查维护和档案制度，定期检查维护导流渠等设施，发现有损坏可能或异常，及时采取必要措施，以保障正常运行，将入场的一般工业固体废物的种类和数量以及检查维护资料详细记录在案，长期保存。</w:t>
            </w:r>
          </w:p>
          <w:p>
            <w:pPr>
              <w:pStyle w:val="13"/>
              <w:adjustRightInd w:val="0"/>
              <w:snapToGrid w:val="0"/>
              <w:spacing w:line="360" w:lineRule="auto"/>
              <w:ind w:firstLine="420" w:firstLineChars="200"/>
            </w:pPr>
            <w:r>
              <w:rPr>
                <w:rFonts w:hint="eastAsia"/>
              </w:rPr>
              <w:t>②危险废物暂存区</w:t>
            </w:r>
          </w:p>
          <w:p>
            <w:pPr>
              <w:pStyle w:val="13"/>
              <w:adjustRightInd w:val="0"/>
              <w:snapToGrid w:val="0"/>
              <w:spacing w:line="360" w:lineRule="auto"/>
              <w:ind w:firstLine="420" w:firstLineChars="200"/>
            </w:pPr>
            <w:r>
              <w:rPr>
                <w:rFonts w:hint="eastAsia"/>
              </w:rPr>
              <w:t>在厂内建设危险固废贮存场所，并设立警示标志，场所建设要求应当符合《危险废物贮存污染控制标准》（GB 18597-2001 ），贮存场所应防渗、防淋、防起尘，危险废物应用封闭容器储存。贮存场所应选择地质结构稳定，避免易遭受严重自然灾害区域，远离易燃、易爆等危险品仓库、高压输电线路防护区域；地面进行基础防渗，建筑材料与所储存的危险废物相容；配备泄露液体收集装置、气体导出口及气体净化装置；设施内有安全照明设施和观察窗口；不同种危险废物分开存放，并设有隔离间隔断。</w:t>
            </w:r>
          </w:p>
          <w:p>
            <w:pPr>
              <w:pStyle w:val="13"/>
              <w:adjustRightInd w:val="0"/>
              <w:snapToGrid w:val="0"/>
              <w:spacing w:line="360" w:lineRule="auto"/>
              <w:ind w:firstLine="420" w:firstLineChars="200"/>
            </w:pPr>
            <w:r>
              <w:rPr>
                <w:rFonts w:hint="eastAsia"/>
              </w:rPr>
              <w:t>5、地下水、土壤影响分析</w:t>
            </w:r>
          </w:p>
          <w:p>
            <w:pPr>
              <w:pStyle w:val="13"/>
              <w:adjustRightInd w:val="0"/>
              <w:snapToGrid w:val="0"/>
              <w:spacing w:line="360" w:lineRule="auto"/>
              <w:ind w:firstLine="420" w:firstLineChars="200"/>
            </w:pPr>
            <w:r>
              <w:rPr>
                <w:rFonts w:hint="eastAsia"/>
              </w:rPr>
              <w:t>地下水、土壤保护与污染防治按照“源头控制、分区防治、污染监控、应急响应”的原则。项目运行过程中要建立健全地下水、土壤保护与污染防治的措施与方法；必须采取必要的监测制度，一旦发现地下水遭受污染，就应及时采取措施；尽量减少污染物进入土壤、地下含水层的机会和数量。</w:t>
            </w:r>
          </w:p>
          <w:p>
            <w:pPr>
              <w:pStyle w:val="13"/>
              <w:adjustRightInd w:val="0"/>
              <w:snapToGrid w:val="0"/>
              <w:spacing w:line="360" w:lineRule="auto"/>
              <w:ind w:firstLine="420" w:firstLineChars="200"/>
            </w:pPr>
            <w:r>
              <w:rPr>
                <w:rFonts w:hint="eastAsia"/>
              </w:rPr>
              <w:t>（1）分区防控措施</w:t>
            </w:r>
          </w:p>
          <w:p>
            <w:pPr>
              <w:pStyle w:val="13"/>
              <w:adjustRightInd w:val="0"/>
              <w:snapToGrid w:val="0"/>
              <w:spacing w:line="360" w:lineRule="auto"/>
              <w:ind w:firstLine="420" w:firstLineChars="200"/>
            </w:pPr>
            <w:r>
              <w:rPr>
                <w:rFonts w:hint="eastAsia"/>
              </w:rPr>
              <w:t>厂区划分为重点防渗区、一般防渗区和简单防渗区三类，具体划分如下：</w:t>
            </w:r>
          </w:p>
          <w:p>
            <w:pPr>
              <w:pStyle w:val="13"/>
              <w:adjustRightInd w:val="0"/>
              <w:snapToGrid w:val="0"/>
              <w:spacing w:line="360" w:lineRule="auto"/>
              <w:ind w:firstLine="420" w:firstLineChars="200"/>
            </w:pPr>
            <w:r>
              <w:rPr>
                <w:rFonts w:hint="eastAsia"/>
              </w:rPr>
              <w:t>重点防渗区：沥青搅拌站、防渗旱厕、危废暂存间；</w:t>
            </w:r>
          </w:p>
          <w:p>
            <w:pPr>
              <w:pStyle w:val="13"/>
              <w:adjustRightInd w:val="0"/>
              <w:snapToGrid w:val="0"/>
              <w:spacing w:line="360" w:lineRule="auto"/>
              <w:ind w:firstLine="420" w:firstLineChars="200"/>
            </w:pPr>
            <w:r>
              <w:rPr>
                <w:rFonts w:hint="eastAsia"/>
              </w:rPr>
              <w:t>一般防渗区包括：办公室、原料料仓。</w:t>
            </w:r>
          </w:p>
          <w:p>
            <w:pPr>
              <w:pStyle w:val="13"/>
              <w:adjustRightInd w:val="0"/>
              <w:snapToGrid w:val="0"/>
              <w:spacing w:line="360" w:lineRule="auto"/>
              <w:ind w:firstLine="420" w:firstLineChars="200"/>
            </w:pPr>
            <w:r>
              <w:rPr>
                <w:rFonts w:hint="eastAsia"/>
              </w:rPr>
              <w:t>①对重点防渗区采取的防渗措施</w:t>
            </w:r>
          </w:p>
          <w:p>
            <w:pPr>
              <w:pStyle w:val="13"/>
              <w:adjustRightInd w:val="0"/>
              <w:snapToGrid w:val="0"/>
              <w:spacing w:line="360" w:lineRule="auto"/>
              <w:ind w:firstLine="420" w:firstLineChars="200"/>
            </w:pPr>
            <w:r>
              <w:rPr>
                <w:rFonts w:hint="eastAsia"/>
              </w:rPr>
              <w:t>基础采用0.5m粘土铺设，并采用机械压实，粘土上铺设0.3m厚防腐混凝土层。</w:t>
            </w:r>
          </w:p>
          <w:p>
            <w:pPr>
              <w:pStyle w:val="13"/>
              <w:adjustRightInd w:val="0"/>
              <w:snapToGrid w:val="0"/>
              <w:spacing w:line="360" w:lineRule="auto"/>
              <w:ind w:firstLine="420" w:firstLineChars="200"/>
            </w:pPr>
            <w:r>
              <w:rPr>
                <w:rFonts w:hint="eastAsia"/>
              </w:rPr>
              <w:t>②对一般防渗区采取的防渗措施</w:t>
            </w:r>
          </w:p>
          <w:p>
            <w:pPr>
              <w:pStyle w:val="13"/>
              <w:adjustRightInd w:val="0"/>
              <w:snapToGrid w:val="0"/>
              <w:spacing w:line="360" w:lineRule="auto"/>
              <w:ind w:firstLine="420" w:firstLineChars="200"/>
            </w:pPr>
            <w:r>
              <w:rPr>
                <w:rFonts w:hint="eastAsia"/>
              </w:rPr>
              <w:t>对基础采用机械进行压死处理，基础上铺设0.3m厚混凝土层，对场地进行硬化处理。</w:t>
            </w:r>
          </w:p>
          <w:p>
            <w:pPr>
              <w:adjustRightInd w:val="0"/>
              <w:snapToGrid w:val="0"/>
              <w:spacing w:line="360" w:lineRule="auto"/>
              <w:ind w:firstLine="420" w:firstLineChars="200"/>
              <w:rPr>
                <w:rFonts w:hint="eastAsia"/>
                <w:color w:val="auto"/>
                <w:lang w:val="en-US" w:eastAsia="zh-CN"/>
              </w:rPr>
            </w:pPr>
            <w:r>
              <w:rPr>
                <w:rFonts w:hint="eastAsia"/>
                <w:color w:val="auto"/>
                <w:lang w:val="en-US" w:eastAsia="zh-CN"/>
              </w:rPr>
              <w:t>项目所在区域位于白山市石人镇小河口村，石人镇地处龙岗山与老岭中山低山区，长白山主峰西麓，老岭山脉西麓，地势东高西低。地形起伏较大，八山半水一点五分田，沟壑相间，山势陡峭，落差明显。水泉密布，地下水源丰富，泉水构成的榆木桥子河、小石棚子河大石棚子河3河交汇于东露天，汇集成石人河，直入浑江。</w:t>
            </w:r>
          </w:p>
          <w:p>
            <w:pPr>
              <w:adjustRightInd w:val="0"/>
              <w:snapToGrid w:val="0"/>
              <w:spacing w:line="360" w:lineRule="auto"/>
              <w:ind w:firstLine="420" w:firstLineChars="200"/>
              <w:rPr>
                <w:rFonts w:hint="default"/>
                <w:color w:val="auto"/>
                <w:lang w:val="en-US" w:eastAsia="zh-CN"/>
              </w:rPr>
            </w:pPr>
            <w:r>
              <w:rPr>
                <w:rFonts w:hint="eastAsia"/>
                <w:color w:val="auto"/>
                <w:lang w:val="en-US" w:eastAsia="zh-CN"/>
              </w:rPr>
              <w:t>项目所在区域土壤类型为草甸土，草甸土发育于地势低平、受地下水或潜水的直接浸润并生长草甸植物的土壤，属半水成土，其主要特征是有机质含量较高，腐殖质层较厚，土壤团粒结构较好，水分较充分。</w:t>
            </w:r>
          </w:p>
          <w:p>
            <w:pPr>
              <w:adjustRightInd w:val="0"/>
              <w:snapToGrid w:val="0"/>
              <w:spacing w:line="360" w:lineRule="auto"/>
              <w:ind w:firstLine="422" w:firstLineChars="200"/>
              <w:rPr>
                <w:color w:val="auto"/>
              </w:rPr>
            </w:pPr>
            <w:r>
              <w:rPr>
                <w:rFonts w:hint="eastAsia"/>
                <w:b/>
                <w:bCs/>
                <w:color w:val="auto"/>
                <w:lang w:val="en-US" w:eastAsia="zh-CN"/>
              </w:rPr>
              <w:t>目前企业地面未进行硬化防渗处理，建议企业按照分区防控措施进行防渗，</w:t>
            </w:r>
            <w:r>
              <w:rPr>
                <w:rFonts w:hint="eastAsia"/>
                <w:color w:val="auto"/>
              </w:rPr>
              <w:t>在采取有效的保护措施和污染防治措施的前提下，项目对地下水环、土壤环境的影响较小。</w:t>
            </w:r>
          </w:p>
          <w:p>
            <w:pPr>
              <w:adjustRightInd w:val="0"/>
              <w:snapToGrid w:val="0"/>
              <w:spacing w:line="360" w:lineRule="auto"/>
              <w:ind w:firstLine="420" w:firstLineChars="200"/>
              <w:rPr>
                <w:bCs/>
                <w:color w:val="auto"/>
              </w:rPr>
            </w:pPr>
            <w:r>
              <w:rPr>
                <w:bCs/>
                <w:color w:val="auto"/>
              </w:rPr>
              <w:t>6、环境风险</w:t>
            </w:r>
          </w:p>
          <w:p>
            <w:pPr>
              <w:adjustRightInd w:val="0"/>
              <w:snapToGrid w:val="0"/>
              <w:spacing w:line="360" w:lineRule="auto"/>
              <w:ind w:firstLine="420" w:firstLineChars="200"/>
              <w:rPr>
                <w:bCs/>
              </w:rPr>
            </w:pPr>
            <w:r>
              <w:rPr>
                <w:bCs/>
              </w:rPr>
              <w:t>（1）风险源分布情况</w:t>
            </w:r>
          </w:p>
          <w:p>
            <w:pPr>
              <w:adjustRightInd w:val="0"/>
              <w:snapToGrid w:val="0"/>
              <w:spacing w:line="360" w:lineRule="auto"/>
              <w:ind w:firstLine="420" w:firstLineChars="200"/>
              <w:rPr>
                <w:bCs/>
              </w:rPr>
            </w:pPr>
            <w:r>
              <w:rPr>
                <w:bCs/>
              </w:rPr>
              <w:t>根据《建设项目环境风险评价技术导则》（HJ 169-2018）中规定，根据物质不同的特性，危险物质可分为有毒物质、易燃物质和爆炸性物质三大类，风险评价对项目涉及到的物质进行危险性判定。本项目运行过程中使用或储存的涉及易燃物质主要为</w:t>
            </w:r>
            <w:r>
              <w:rPr>
                <w:rFonts w:hint="eastAsia"/>
                <w:bCs/>
              </w:rPr>
              <w:t>柴油</w:t>
            </w:r>
            <w:r>
              <w:rPr>
                <w:bCs/>
              </w:rPr>
              <w:t>、导热油等。</w:t>
            </w:r>
          </w:p>
          <w:p>
            <w:pPr>
              <w:adjustRightInd w:val="0"/>
              <w:snapToGrid w:val="0"/>
              <w:spacing w:line="360" w:lineRule="auto"/>
              <w:ind w:firstLine="420" w:firstLineChars="200"/>
              <w:rPr>
                <w:bCs/>
              </w:rPr>
            </w:pPr>
            <w:r>
              <w:rPr>
                <w:bCs/>
              </w:rPr>
              <w:t>厂区内设置1个热载体炉（导热油最大存在量0.5t）</w:t>
            </w:r>
            <w:r>
              <w:rPr>
                <w:rFonts w:hint="eastAsia"/>
                <w:bCs/>
              </w:rPr>
              <w:t>，燃料柴油不在厂区内进行存储；</w:t>
            </w:r>
            <w:r>
              <w:rPr>
                <w:bCs/>
              </w:rPr>
              <w:t>另外，虽然沥青未列入危险化学品，但仍存在一定的环境风险，厂内设有3个沥青罐（单个容积40t，站内最大储存量200t）。</w:t>
            </w:r>
          </w:p>
          <w:p>
            <w:pPr>
              <w:adjustRightInd w:val="0"/>
              <w:snapToGrid w:val="0"/>
              <w:spacing w:line="360" w:lineRule="auto"/>
              <w:ind w:firstLine="420" w:firstLineChars="200"/>
              <w:rPr>
                <w:bCs/>
              </w:rPr>
            </w:pPr>
            <w:r>
              <w:rPr>
                <w:bCs/>
              </w:rPr>
              <w:t>（2）影响途径</w:t>
            </w:r>
          </w:p>
          <w:p>
            <w:pPr>
              <w:adjustRightInd w:val="0"/>
              <w:snapToGrid w:val="0"/>
              <w:spacing w:line="360" w:lineRule="auto"/>
              <w:ind w:firstLine="420" w:firstLineChars="200"/>
              <w:rPr>
                <w:bCs/>
              </w:rPr>
            </w:pPr>
            <w:r>
              <w:rPr>
                <w:rFonts w:hint="eastAsia" w:ascii="宋体" w:hAnsi="宋体" w:cs="宋体"/>
                <w:bCs/>
              </w:rPr>
              <w:t>①</w:t>
            </w:r>
            <w:r>
              <w:rPr>
                <w:bCs/>
              </w:rPr>
              <w:t>沥青、油品等泄漏</w:t>
            </w:r>
          </w:p>
          <w:p>
            <w:pPr>
              <w:adjustRightInd w:val="0"/>
              <w:snapToGrid w:val="0"/>
              <w:spacing w:line="360" w:lineRule="auto"/>
              <w:ind w:firstLine="420" w:firstLineChars="200"/>
              <w:rPr>
                <w:bCs/>
              </w:rPr>
            </w:pPr>
            <w:r>
              <w:rPr>
                <w:bCs/>
              </w:rPr>
              <w:t>1）管道是储运系统的关键设备是事故多发部位。如管道变形过大、腐蚀过薄甚至穿孔、焊缝开裂、浮盘倾斜、密封损坏等都有可能引发沥青泄漏事故。</w:t>
            </w:r>
          </w:p>
          <w:p>
            <w:pPr>
              <w:adjustRightInd w:val="0"/>
              <w:snapToGrid w:val="0"/>
              <w:spacing w:line="360" w:lineRule="auto"/>
              <w:ind w:firstLine="420" w:firstLineChars="200"/>
              <w:rPr>
                <w:bCs/>
              </w:rPr>
            </w:pPr>
            <w:r>
              <w:rPr>
                <w:bCs/>
              </w:rPr>
              <w:t>2）在生产过程中作业不慎时产生的“跑、冒、滴、漏”现象可引发沥青、油品的泄漏事故。</w:t>
            </w:r>
          </w:p>
          <w:p>
            <w:pPr>
              <w:adjustRightInd w:val="0"/>
              <w:snapToGrid w:val="0"/>
              <w:spacing w:line="360" w:lineRule="auto"/>
              <w:ind w:firstLine="420" w:firstLineChars="200"/>
              <w:rPr>
                <w:bCs/>
              </w:rPr>
            </w:pPr>
            <w:r>
              <w:rPr>
                <w:rFonts w:hint="eastAsia" w:ascii="宋体" w:hAnsi="宋体" w:cs="宋体"/>
                <w:bCs/>
              </w:rPr>
              <w:t>②</w:t>
            </w:r>
            <w:r>
              <w:rPr>
                <w:bCs/>
              </w:rPr>
              <w:t>火灾事故</w:t>
            </w:r>
          </w:p>
          <w:p>
            <w:pPr>
              <w:adjustRightInd w:val="0"/>
              <w:snapToGrid w:val="0"/>
              <w:spacing w:line="360" w:lineRule="auto"/>
              <w:ind w:firstLine="420" w:firstLineChars="200"/>
              <w:rPr>
                <w:bCs/>
              </w:rPr>
            </w:pPr>
            <w:r>
              <w:rPr>
                <w:bCs/>
              </w:rPr>
              <w:t>本项目引发火灾事故的主要原因如下：管道、阀门、储罐和泵为主要火灾危险设备，若由于维护不当出现故障，造成高温沥青的泄漏以及油品的泄漏，再遇到明火源可能导致火灾。</w:t>
            </w:r>
          </w:p>
          <w:p>
            <w:pPr>
              <w:adjustRightInd w:val="0"/>
              <w:snapToGrid w:val="0"/>
              <w:spacing w:line="360" w:lineRule="auto"/>
              <w:ind w:firstLine="420" w:firstLineChars="200"/>
              <w:rPr>
                <w:bCs/>
              </w:rPr>
            </w:pPr>
            <w:r>
              <w:rPr>
                <w:bCs/>
              </w:rPr>
              <w:t>（3）环境风险防范措施及应急措施</w:t>
            </w:r>
          </w:p>
          <w:p>
            <w:pPr>
              <w:adjustRightInd w:val="0"/>
              <w:snapToGrid w:val="0"/>
              <w:spacing w:line="360" w:lineRule="auto"/>
              <w:ind w:firstLine="420" w:firstLineChars="200"/>
              <w:rPr>
                <w:bCs/>
              </w:rPr>
            </w:pPr>
            <w:r>
              <w:rPr>
                <w:bCs/>
              </w:rPr>
              <w:t>项目为防止事故的发生，应采取以下防范措施，其主要包括：</w:t>
            </w:r>
          </w:p>
          <w:p>
            <w:pPr>
              <w:adjustRightInd w:val="0"/>
              <w:snapToGrid w:val="0"/>
              <w:spacing w:line="360" w:lineRule="auto"/>
              <w:ind w:firstLine="420" w:firstLineChars="200"/>
              <w:rPr>
                <w:bCs/>
              </w:rPr>
            </w:pPr>
            <w:r>
              <w:rPr>
                <w:rFonts w:hint="eastAsia" w:ascii="宋体" w:hAnsi="宋体" w:cs="宋体"/>
                <w:bCs/>
              </w:rPr>
              <w:t>①</w:t>
            </w:r>
            <w:r>
              <w:rPr>
                <w:bCs/>
              </w:rPr>
              <w:t>平面布置：拟建项目生活区与生产设备沥青搅拌站、堆料场等区域分开布置，确保各个建构筑物能够满足安全防护的要求；</w:t>
            </w:r>
          </w:p>
          <w:p>
            <w:pPr>
              <w:adjustRightInd w:val="0"/>
              <w:snapToGrid w:val="0"/>
              <w:spacing w:line="360" w:lineRule="auto"/>
              <w:ind w:firstLine="420" w:firstLineChars="200"/>
              <w:rPr>
                <w:bCs/>
              </w:rPr>
            </w:pPr>
            <w:r>
              <w:rPr>
                <w:rFonts w:hint="eastAsia" w:ascii="宋体" w:hAnsi="宋体" w:cs="宋体"/>
                <w:bCs/>
              </w:rPr>
              <w:t>②</w:t>
            </w:r>
            <w:r>
              <w:rPr>
                <w:bCs/>
              </w:rPr>
              <w:t>工艺设备：工艺设备、运输设施及工艺系统选用高质、高效可靠性的产品。厂区内防爆区电气设备、器材的选型、设计安装及维护均需符合《爆炸火灾危电力装置设计规范》（GB50058-82）和《漏电保护器安装与运行》（GB13955-92）的规定；</w:t>
            </w:r>
          </w:p>
          <w:p>
            <w:pPr>
              <w:adjustRightInd w:val="0"/>
              <w:snapToGrid w:val="0"/>
              <w:spacing w:line="360" w:lineRule="auto"/>
              <w:ind w:firstLine="420" w:firstLineChars="200"/>
              <w:rPr>
                <w:bCs/>
              </w:rPr>
            </w:pPr>
            <w:r>
              <w:rPr>
                <w:rFonts w:hint="eastAsia" w:ascii="宋体" w:hAnsi="宋体" w:cs="宋体"/>
                <w:bCs/>
              </w:rPr>
              <w:t>③</w:t>
            </w:r>
            <w:r>
              <w:rPr>
                <w:bCs/>
              </w:rPr>
              <w:t>消防安全：建设单位应严格按照消防部门要求完善项目消防手续，落实消防措施。</w:t>
            </w:r>
          </w:p>
          <w:p>
            <w:pPr>
              <w:adjustRightInd w:val="0"/>
              <w:snapToGrid w:val="0"/>
              <w:spacing w:line="360" w:lineRule="auto"/>
              <w:ind w:firstLine="420" w:firstLineChars="200"/>
              <w:rPr>
                <w:bCs/>
              </w:rPr>
            </w:pPr>
            <w:r>
              <w:rPr>
                <w:bCs/>
              </w:rPr>
              <w:t>1）按有关规范设计设置有效的消防系统，做到以防为主，严格控制操作区内的明火，严禁吸烟和带入火柴和打火机等火种，设置“严禁烟火”、“严禁吸烟”等警告牌，避免火灾事故的发生；</w:t>
            </w:r>
          </w:p>
          <w:p>
            <w:pPr>
              <w:adjustRightInd w:val="0"/>
              <w:snapToGrid w:val="0"/>
              <w:spacing w:line="360" w:lineRule="auto"/>
              <w:ind w:firstLine="420" w:firstLineChars="200"/>
              <w:rPr>
                <w:bCs/>
              </w:rPr>
            </w:pPr>
            <w:r>
              <w:rPr>
                <w:bCs/>
              </w:rPr>
              <w:t>2）在厂区设置干粉灭火器、消防栓、消防水带、消防水枪等应急设施和装备，环境风险源、应急处置措施均设置标志牌，定期对应急设施进行排查并保存记录；</w:t>
            </w:r>
          </w:p>
          <w:p>
            <w:pPr>
              <w:adjustRightInd w:val="0"/>
              <w:snapToGrid w:val="0"/>
              <w:spacing w:line="360" w:lineRule="auto"/>
              <w:ind w:firstLine="420" w:firstLineChars="200"/>
              <w:rPr>
                <w:bCs/>
              </w:rPr>
            </w:pPr>
            <w:r>
              <w:rPr>
                <w:rFonts w:hint="eastAsia" w:ascii="宋体" w:hAnsi="宋体" w:cs="宋体"/>
                <w:bCs/>
              </w:rPr>
              <w:t>④</w:t>
            </w:r>
            <w:r>
              <w:rPr>
                <w:bCs/>
              </w:rPr>
              <w:t>油类和沥青防范措施：</w:t>
            </w:r>
          </w:p>
          <w:p>
            <w:pPr>
              <w:adjustRightInd w:val="0"/>
              <w:snapToGrid w:val="0"/>
              <w:spacing w:line="360" w:lineRule="auto"/>
              <w:ind w:firstLine="420" w:firstLineChars="200"/>
              <w:rPr>
                <w:bCs/>
              </w:rPr>
            </w:pPr>
            <w:r>
              <w:rPr>
                <w:bCs/>
              </w:rPr>
              <w:t>1）在可能发生油品泄漏积聚的场所，设置可燃气体报警装置；油罐安装液位报警器，减少管线接口，油罐的进出口管道采用金属软管连接等；</w:t>
            </w:r>
          </w:p>
          <w:p>
            <w:pPr>
              <w:adjustRightInd w:val="0"/>
              <w:snapToGrid w:val="0"/>
              <w:spacing w:line="360" w:lineRule="auto"/>
              <w:ind w:firstLine="420" w:firstLineChars="200"/>
              <w:rPr>
                <w:bCs/>
              </w:rPr>
            </w:pPr>
            <w:r>
              <w:rPr>
                <w:bCs/>
              </w:rPr>
              <w:t>2）运行过程对导热油、</w:t>
            </w:r>
            <w:r>
              <w:rPr>
                <w:rFonts w:hint="eastAsia"/>
                <w:bCs/>
              </w:rPr>
              <w:t>柴油</w:t>
            </w:r>
            <w:r>
              <w:rPr>
                <w:bCs/>
              </w:rPr>
              <w:t>、沥青密闭管路进行定期检查，油类管路设置紧急切断转换电动阀门，一旦发生泄漏后及时紧急关闭，以减少导热油、</w:t>
            </w:r>
            <w:r>
              <w:rPr>
                <w:rFonts w:hint="eastAsia"/>
                <w:bCs/>
              </w:rPr>
              <w:t>柴油</w:t>
            </w:r>
            <w:r>
              <w:rPr>
                <w:bCs/>
              </w:rPr>
              <w:t>泄漏量；</w:t>
            </w:r>
          </w:p>
          <w:p>
            <w:pPr>
              <w:adjustRightInd w:val="0"/>
              <w:snapToGrid w:val="0"/>
              <w:spacing w:line="360" w:lineRule="auto"/>
              <w:ind w:firstLine="420" w:firstLineChars="200"/>
              <w:rPr>
                <w:bCs/>
              </w:rPr>
            </w:pPr>
            <w:r>
              <w:rPr>
                <w:bCs/>
              </w:rPr>
              <w:t>3）拟建项目按最不利事件泄露情况下设置事故围堰，事故围堰容积应不小于发生泄漏事故情况下最大的泄漏容积。按分区防控的原则，要求在沥青储罐以泄油池区域基础采取防渗混凝土处理，并在沥青罐设置事故围堰。</w:t>
            </w:r>
          </w:p>
          <w:p>
            <w:pPr>
              <w:adjustRightInd w:val="0"/>
              <w:snapToGrid w:val="0"/>
              <w:spacing w:line="360" w:lineRule="auto"/>
              <w:ind w:firstLine="420" w:firstLineChars="200"/>
              <w:rPr>
                <w:bCs/>
              </w:rPr>
            </w:pPr>
            <w:r>
              <w:rPr>
                <w:bCs/>
              </w:rPr>
              <w:t>同时，要求事故围堰的底部、四周按相关要求进行防腐、防渗漏处理，事故围堰应设置事故状态溢流管道连接沥青罐区事故围堰；一旦发生溢出与渗漏事故，油类物质或者沥青将控制在事故围堰内，发生火灾或者爆炸事故时产生消防废水可围截在事故围堰内，将污染控制在厂区范围内，可有效防控泄露物质进入或者污染周边环境。事故状态下产生的消防废水以及事故废水，应交由具备处理资质单位进行处置，禁止直接排放环境。</w:t>
            </w:r>
          </w:p>
          <w:p>
            <w:pPr>
              <w:adjustRightInd w:val="0"/>
              <w:snapToGrid w:val="0"/>
              <w:spacing w:line="360" w:lineRule="auto"/>
              <w:ind w:firstLine="420" w:firstLineChars="200"/>
              <w:rPr>
                <w:bCs/>
              </w:rPr>
            </w:pPr>
            <w:r>
              <w:rPr>
                <w:bCs/>
              </w:rPr>
              <w:t>4）定期检测导热油的粘度、闪点、酸值和残炭等四项指标，当其中有两项指标超过规定限值（残炭不大于 1.5%，酸值不大于 0.5mgKOH/g、闪点变化率不大于 20%，粘度变化率不大于 15%）时，应考虑添加部分新油或全部换油；</w:t>
            </w:r>
          </w:p>
          <w:p>
            <w:pPr>
              <w:adjustRightInd w:val="0"/>
              <w:snapToGrid w:val="0"/>
              <w:spacing w:line="360" w:lineRule="auto"/>
              <w:ind w:firstLine="420" w:firstLineChars="200"/>
              <w:rPr>
                <w:bCs/>
              </w:rPr>
            </w:pPr>
            <w:r>
              <w:rPr>
                <w:bCs/>
              </w:rPr>
              <w:t>5）制定详细的安全生产计划，定期对企业安全、重点对油类系统进行全面检查，并设置安全管理人员，每天进行专门的安全检查；建立风险事故应急预案，应急预案应包括设立相应的应急指挥和组织机构、厂内应急计划、事故应急救援程序和措施、厂外应急协助计划和对外报警系统等内容；</w:t>
            </w:r>
          </w:p>
          <w:p>
            <w:pPr>
              <w:adjustRightInd w:val="0"/>
              <w:snapToGrid w:val="0"/>
              <w:spacing w:line="360" w:lineRule="auto"/>
              <w:ind w:firstLine="420" w:firstLineChars="200"/>
              <w:rPr>
                <w:bCs/>
              </w:rPr>
            </w:pPr>
            <w:r>
              <w:rPr>
                <w:bCs/>
              </w:rPr>
              <w:t>6）安全管理：各类事故及非正常生产情况的发生大多数与操作管理不当有直接关系，因此，必须建立健全的一整套严格的管理制度。加强储罐与管道系统的管理与维修，使整个储存系统处于密闭化，严格防止跑、冒、漏和滴现象发生；把每个工作人员在业务上、工作上与消防安全管理上的职责、责任明确起来；对各机电装置、安全设施、消防器材、管道阀门等，进行各种日常的、定期的、专业的防火安全检查，并将发现的问题落实到人，限期落实整改；建立夜间值班巡查制度，火险报告制度、安全奖惩制度等。</w:t>
            </w:r>
          </w:p>
          <w:p>
            <w:pPr>
              <w:adjustRightInd w:val="0"/>
              <w:snapToGrid w:val="0"/>
              <w:spacing w:line="360" w:lineRule="auto"/>
              <w:ind w:firstLine="420" w:firstLineChars="200"/>
              <w:rPr>
                <w:bCs/>
              </w:rPr>
            </w:pPr>
            <w:r>
              <w:rPr>
                <w:rFonts w:hint="eastAsia" w:ascii="宋体" w:hAnsi="宋体" w:cs="宋体"/>
                <w:bCs/>
              </w:rPr>
              <w:t>⑤</w:t>
            </w:r>
            <w:r>
              <w:rPr>
                <w:bCs/>
              </w:rPr>
              <w:t>突发事故应急措施</w:t>
            </w:r>
          </w:p>
          <w:p>
            <w:pPr>
              <w:adjustRightInd w:val="0"/>
              <w:snapToGrid w:val="0"/>
              <w:spacing w:line="360" w:lineRule="auto"/>
              <w:ind w:firstLine="420" w:firstLineChars="200"/>
              <w:rPr>
                <w:bCs/>
              </w:rPr>
            </w:pPr>
            <w:r>
              <w:rPr>
                <w:bCs/>
              </w:rPr>
              <w:t>根据关于印发《企业事业单位突发环境事件应急预案备案管理办法（试行）》的通知（环发〔2015〕4 号）要求，通过对污染事故的风险评价，各有关企业应制定重大环境污染事故发生的工作计划、消除事故隐患的实施及突发性事故应急办法等，并进行演练。本项目一旦出现突发事故，必须按事先拟定的应急方案进行紧急处理。应急预案的内容见表4-6。</w:t>
            </w:r>
          </w:p>
          <w:p>
            <w:pPr>
              <w:adjustRightInd w:val="0"/>
              <w:snapToGrid w:val="0"/>
              <w:spacing w:line="360" w:lineRule="auto"/>
              <w:jc w:val="center"/>
              <w:rPr>
                <w:bCs/>
              </w:rPr>
            </w:pPr>
            <w:r>
              <w:rPr>
                <w:bCs/>
              </w:rPr>
              <w:t>表4-6  应急预案纲要</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2389"/>
              <w:gridCol w:w="50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序号</w:t>
                  </w:r>
                </w:p>
              </w:tc>
              <w:tc>
                <w:tcPr>
                  <w:tcW w:w="1503" w:type="pct"/>
                  <w:vAlign w:val="center"/>
                </w:tcPr>
                <w:p>
                  <w:pPr>
                    <w:adjustRightInd w:val="0"/>
                    <w:snapToGrid w:val="0"/>
                    <w:jc w:val="center"/>
                    <w:rPr>
                      <w:bCs/>
                      <w:sz w:val="18"/>
                      <w:szCs w:val="18"/>
                    </w:rPr>
                  </w:pPr>
                  <w:r>
                    <w:rPr>
                      <w:bCs/>
                      <w:sz w:val="18"/>
                      <w:szCs w:val="18"/>
                    </w:rPr>
                    <w:t>项目</w:t>
                  </w:r>
                </w:p>
              </w:tc>
              <w:tc>
                <w:tcPr>
                  <w:tcW w:w="3180" w:type="pct"/>
                  <w:vAlign w:val="center"/>
                </w:tcPr>
                <w:p>
                  <w:pPr>
                    <w:adjustRightInd w:val="0"/>
                    <w:snapToGrid w:val="0"/>
                    <w:jc w:val="center"/>
                    <w:rPr>
                      <w:bCs/>
                      <w:sz w:val="18"/>
                      <w:szCs w:val="18"/>
                    </w:rPr>
                  </w:pPr>
                  <w:r>
                    <w:rPr>
                      <w:bCs/>
                      <w:sz w:val="18"/>
                      <w:szCs w:val="18"/>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316" w:type="pct"/>
                  <w:vAlign w:val="center"/>
                </w:tcPr>
                <w:p>
                  <w:pPr>
                    <w:adjustRightInd w:val="0"/>
                    <w:snapToGrid w:val="0"/>
                    <w:jc w:val="center"/>
                    <w:rPr>
                      <w:bCs/>
                      <w:sz w:val="18"/>
                      <w:szCs w:val="18"/>
                    </w:rPr>
                  </w:pPr>
                  <w:r>
                    <w:rPr>
                      <w:bCs/>
                      <w:sz w:val="18"/>
                      <w:szCs w:val="18"/>
                    </w:rPr>
                    <w:t>1</w:t>
                  </w:r>
                </w:p>
              </w:tc>
              <w:tc>
                <w:tcPr>
                  <w:tcW w:w="1503" w:type="pct"/>
                  <w:vAlign w:val="center"/>
                </w:tcPr>
                <w:p>
                  <w:pPr>
                    <w:adjustRightInd w:val="0"/>
                    <w:snapToGrid w:val="0"/>
                    <w:jc w:val="center"/>
                    <w:rPr>
                      <w:bCs/>
                      <w:sz w:val="18"/>
                      <w:szCs w:val="18"/>
                    </w:rPr>
                  </w:pPr>
                  <w:r>
                    <w:rPr>
                      <w:bCs/>
                      <w:sz w:val="18"/>
                      <w:szCs w:val="18"/>
                    </w:rPr>
                    <w:t>应急计划区</w:t>
                  </w:r>
                </w:p>
              </w:tc>
              <w:tc>
                <w:tcPr>
                  <w:tcW w:w="3180" w:type="pct"/>
                  <w:vAlign w:val="center"/>
                </w:tcPr>
                <w:p>
                  <w:pPr>
                    <w:adjustRightInd w:val="0"/>
                    <w:snapToGrid w:val="0"/>
                    <w:jc w:val="center"/>
                    <w:rPr>
                      <w:bCs/>
                      <w:sz w:val="18"/>
                      <w:szCs w:val="18"/>
                    </w:rPr>
                  </w:pPr>
                  <w:r>
                    <w:rPr>
                      <w:bCs/>
                      <w:sz w:val="18"/>
                      <w:szCs w:val="18"/>
                    </w:rPr>
                    <w:t>危险目标、装置区、环境保护目标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2</w:t>
                  </w:r>
                </w:p>
              </w:tc>
              <w:tc>
                <w:tcPr>
                  <w:tcW w:w="1503" w:type="pct"/>
                  <w:vAlign w:val="center"/>
                </w:tcPr>
                <w:p>
                  <w:pPr>
                    <w:adjustRightInd w:val="0"/>
                    <w:snapToGrid w:val="0"/>
                    <w:jc w:val="center"/>
                    <w:rPr>
                      <w:bCs/>
                      <w:sz w:val="18"/>
                      <w:szCs w:val="18"/>
                    </w:rPr>
                  </w:pPr>
                  <w:r>
                    <w:rPr>
                      <w:bCs/>
                      <w:sz w:val="18"/>
                      <w:szCs w:val="18"/>
                    </w:rPr>
                    <w:t>应急组织机构、人员</w:t>
                  </w:r>
                </w:p>
              </w:tc>
              <w:tc>
                <w:tcPr>
                  <w:tcW w:w="3180" w:type="pct"/>
                  <w:vAlign w:val="center"/>
                </w:tcPr>
                <w:p>
                  <w:pPr>
                    <w:adjustRightInd w:val="0"/>
                    <w:snapToGrid w:val="0"/>
                    <w:jc w:val="center"/>
                    <w:rPr>
                      <w:bCs/>
                      <w:sz w:val="18"/>
                      <w:szCs w:val="18"/>
                    </w:rPr>
                  </w:pPr>
                  <w:r>
                    <w:rPr>
                      <w:bCs/>
                      <w:sz w:val="18"/>
                      <w:szCs w:val="18"/>
                    </w:rPr>
                    <w:t>工厂、地区应急组织机构、人员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3</w:t>
                  </w:r>
                </w:p>
              </w:tc>
              <w:tc>
                <w:tcPr>
                  <w:tcW w:w="1503" w:type="pct"/>
                  <w:vAlign w:val="center"/>
                </w:tcPr>
                <w:p>
                  <w:pPr>
                    <w:adjustRightInd w:val="0"/>
                    <w:snapToGrid w:val="0"/>
                    <w:jc w:val="center"/>
                    <w:rPr>
                      <w:bCs/>
                      <w:sz w:val="18"/>
                      <w:szCs w:val="18"/>
                    </w:rPr>
                  </w:pPr>
                  <w:r>
                    <w:rPr>
                      <w:bCs/>
                      <w:sz w:val="18"/>
                      <w:szCs w:val="18"/>
                    </w:rPr>
                    <w:t>预案分级影响条件</w:t>
                  </w:r>
                </w:p>
              </w:tc>
              <w:tc>
                <w:tcPr>
                  <w:tcW w:w="3180" w:type="pct"/>
                  <w:vAlign w:val="center"/>
                </w:tcPr>
                <w:p>
                  <w:pPr>
                    <w:adjustRightInd w:val="0"/>
                    <w:snapToGrid w:val="0"/>
                    <w:jc w:val="center"/>
                    <w:rPr>
                      <w:bCs/>
                      <w:sz w:val="18"/>
                      <w:szCs w:val="18"/>
                    </w:rPr>
                  </w:pPr>
                  <w:r>
                    <w:rPr>
                      <w:bCs/>
                      <w:sz w:val="18"/>
                      <w:szCs w:val="18"/>
                    </w:rPr>
                    <w:t>规定预案的级别和分级影响程序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4</w:t>
                  </w:r>
                </w:p>
              </w:tc>
              <w:tc>
                <w:tcPr>
                  <w:tcW w:w="1503" w:type="pct"/>
                  <w:vAlign w:val="center"/>
                </w:tcPr>
                <w:p>
                  <w:pPr>
                    <w:adjustRightInd w:val="0"/>
                    <w:snapToGrid w:val="0"/>
                    <w:jc w:val="center"/>
                    <w:rPr>
                      <w:bCs/>
                      <w:sz w:val="18"/>
                      <w:szCs w:val="18"/>
                    </w:rPr>
                  </w:pPr>
                  <w:r>
                    <w:rPr>
                      <w:bCs/>
                      <w:sz w:val="18"/>
                      <w:szCs w:val="18"/>
                    </w:rPr>
                    <w:t>应急救援保障</w:t>
                  </w:r>
                </w:p>
              </w:tc>
              <w:tc>
                <w:tcPr>
                  <w:tcW w:w="3180" w:type="pct"/>
                  <w:vAlign w:val="center"/>
                </w:tcPr>
                <w:p>
                  <w:pPr>
                    <w:adjustRightInd w:val="0"/>
                    <w:snapToGrid w:val="0"/>
                    <w:jc w:val="center"/>
                    <w:rPr>
                      <w:bCs/>
                      <w:sz w:val="18"/>
                      <w:szCs w:val="18"/>
                    </w:rPr>
                  </w:pPr>
                  <w:r>
                    <w:rPr>
                      <w:bCs/>
                      <w:sz w:val="18"/>
                      <w:szCs w:val="18"/>
                    </w:rPr>
                    <w:t>应急设施，设备与器材等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5</w:t>
                  </w:r>
                </w:p>
              </w:tc>
              <w:tc>
                <w:tcPr>
                  <w:tcW w:w="1503" w:type="pct"/>
                  <w:vAlign w:val="center"/>
                </w:tcPr>
                <w:p>
                  <w:pPr>
                    <w:adjustRightInd w:val="0"/>
                    <w:snapToGrid w:val="0"/>
                    <w:jc w:val="center"/>
                    <w:rPr>
                      <w:bCs/>
                      <w:sz w:val="18"/>
                      <w:szCs w:val="18"/>
                    </w:rPr>
                  </w:pPr>
                  <w:r>
                    <w:rPr>
                      <w:bCs/>
                      <w:sz w:val="18"/>
                      <w:szCs w:val="18"/>
                    </w:rPr>
                    <w:t>报警、通讯联络方式</w:t>
                  </w:r>
                </w:p>
              </w:tc>
              <w:tc>
                <w:tcPr>
                  <w:tcW w:w="3180" w:type="pct"/>
                  <w:vAlign w:val="center"/>
                </w:tcPr>
                <w:p>
                  <w:pPr>
                    <w:adjustRightInd w:val="0"/>
                    <w:snapToGrid w:val="0"/>
                    <w:jc w:val="center"/>
                    <w:rPr>
                      <w:bCs/>
                      <w:sz w:val="18"/>
                      <w:szCs w:val="18"/>
                    </w:rPr>
                  </w:pPr>
                  <w:r>
                    <w:rPr>
                      <w:bCs/>
                      <w:sz w:val="18"/>
                      <w:szCs w:val="18"/>
                    </w:rPr>
                    <w:t>规定应急状态下的报警通讯方式、通知方式和交通保障、管制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316" w:type="pct"/>
                  <w:vAlign w:val="center"/>
                </w:tcPr>
                <w:p>
                  <w:pPr>
                    <w:adjustRightInd w:val="0"/>
                    <w:snapToGrid w:val="0"/>
                    <w:jc w:val="center"/>
                    <w:rPr>
                      <w:bCs/>
                      <w:sz w:val="18"/>
                      <w:szCs w:val="18"/>
                    </w:rPr>
                  </w:pPr>
                  <w:r>
                    <w:rPr>
                      <w:bCs/>
                      <w:sz w:val="18"/>
                      <w:szCs w:val="18"/>
                    </w:rPr>
                    <w:t>6</w:t>
                  </w:r>
                </w:p>
              </w:tc>
              <w:tc>
                <w:tcPr>
                  <w:tcW w:w="1503" w:type="pct"/>
                  <w:vAlign w:val="center"/>
                </w:tcPr>
                <w:p>
                  <w:pPr>
                    <w:adjustRightInd w:val="0"/>
                    <w:snapToGrid w:val="0"/>
                    <w:jc w:val="center"/>
                    <w:rPr>
                      <w:bCs/>
                      <w:sz w:val="18"/>
                      <w:szCs w:val="18"/>
                    </w:rPr>
                  </w:pPr>
                  <w:r>
                    <w:rPr>
                      <w:bCs/>
                      <w:sz w:val="18"/>
                      <w:szCs w:val="18"/>
                    </w:rPr>
                    <w:t>应急环境监测、抢救、救援及控制措施</w:t>
                  </w:r>
                </w:p>
              </w:tc>
              <w:tc>
                <w:tcPr>
                  <w:tcW w:w="3180" w:type="pct"/>
                  <w:vAlign w:val="center"/>
                </w:tcPr>
                <w:p>
                  <w:pPr>
                    <w:adjustRightInd w:val="0"/>
                    <w:snapToGrid w:val="0"/>
                    <w:jc w:val="center"/>
                    <w:rPr>
                      <w:bCs/>
                      <w:sz w:val="18"/>
                      <w:szCs w:val="18"/>
                    </w:rPr>
                  </w:pPr>
                  <w:r>
                    <w:rPr>
                      <w:bCs/>
                      <w:sz w:val="18"/>
                      <w:szCs w:val="18"/>
                    </w:rPr>
                    <w:t>由专业队伍负责对事故现场进行侦察监测，对事故性</w:t>
                  </w:r>
                </w:p>
                <w:p>
                  <w:pPr>
                    <w:adjustRightInd w:val="0"/>
                    <w:snapToGrid w:val="0"/>
                    <w:jc w:val="center"/>
                    <w:rPr>
                      <w:bCs/>
                      <w:sz w:val="18"/>
                      <w:szCs w:val="18"/>
                    </w:rPr>
                  </w:pPr>
                  <w:r>
                    <w:rPr>
                      <w:bCs/>
                      <w:sz w:val="18"/>
                      <w:szCs w:val="18"/>
                    </w:rPr>
                    <w:t>质、参数后果进行评估，为指挥部门提供决策依据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316" w:type="pct"/>
                  <w:vAlign w:val="center"/>
                </w:tcPr>
                <w:p>
                  <w:pPr>
                    <w:adjustRightInd w:val="0"/>
                    <w:snapToGrid w:val="0"/>
                    <w:jc w:val="center"/>
                    <w:rPr>
                      <w:bCs/>
                      <w:sz w:val="18"/>
                      <w:szCs w:val="18"/>
                    </w:rPr>
                  </w:pPr>
                  <w:r>
                    <w:rPr>
                      <w:bCs/>
                      <w:sz w:val="18"/>
                      <w:szCs w:val="18"/>
                    </w:rPr>
                    <w:t>7</w:t>
                  </w:r>
                </w:p>
              </w:tc>
              <w:tc>
                <w:tcPr>
                  <w:tcW w:w="1503" w:type="pct"/>
                  <w:vAlign w:val="center"/>
                </w:tcPr>
                <w:p>
                  <w:pPr>
                    <w:adjustRightInd w:val="0"/>
                    <w:snapToGrid w:val="0"/>
                    <w:jc w:val="center"/>
                    <w:rPr>
                      <w:bCs/>
                      <w:sz w:val="18"/>
                      <w:szCs w:val="18"/>
                    </w:rPr>
                  </w:pPr>
                  <w:r>
                    <w:rPr>
                      <w:bCs/>
                      <w:sz w:val="18"/>
                      <w:szCs w:val="18"/>
                    </w:rPr>
                    <w:t>应急监测、防护措施、清除泄漏措施和器材</w:t>
                  </w:r>
                </w:p>
              </w:tc>
              <w:tc>
                <w:tcPr>
                  <w:tcW w:w="3180" w:type="pct"/>
                  <w:vAlign w:val="center"/>
                </w:tcPr>
                <w:p>
                  <w:pPr>
                    <w:adjustRightInd w:val="0"/>
                    <w:snapToGrid w:val="0"/>
                    <w:jc w:val="center"/>
                    <w:rPr>
                      <w:bCs/>
                      <w:sz w:val="18"/>
                      <w:szCs w:val="18"/>
                    </w:rPr>
                  </w:pPr>
                  <w:r>
                    <w:rPr>
                      <w:bCs/>
                      <w:sz w:val="18"/>
                      <w:szCs w:val="18"/>
                    </w:rPr>
                    <w:t>事故现场、邻近区域、控制防火区域、控制清除污染措施及相设施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16" w:type="pct"/>
                  <w:vAlign w:val="center"/>
                </w:tcPr>
                <w:p>
                  <w:pPr>
                    <w:adjustRightInd w:val="0"/>
                    <w:snapToGrid w:val="0"/>
                    <w:jc w:val="center"/>
                    <w:rPr>
                      <w:bCs/>
                      <w:sz w:val="18"/>
                      <w:szCs w:val="18"/>
                    </w:rPr>
                  </w:pPr>
                  <w:r>
                    <w:rPr>
                      <w:bCs/>
                      <w:sz w:val="18"/>
                      <w:szCs w:val="18"/>
                    </w:rPr>
                    <w:t>8</w:t>
                  </w:r>
                </w:p>
              </w:tc>
              <w:tc>
                <w:tcPr>
                  <w:tcW w:w="1503" w:type="pct"/>
                  <w:vAlign w:val="center"/>
                </w:tcPr>
                <w:p>
                  <w:pPr>
                    <w:adjustRightInd w:val="0"/>
                    <w:snapToGrid w:val="0"/>
                    <w:jc w:val="center"/>
                    <w:rPr>
                      <w:bCs/>
                      <w:sz w:val="18"/>
                      <w:szCs w:val="18"/>
                    </w:rPr>
                  </w:pPr>
                  <w:r>
                    <w:rPr>
                      <w:bCs/>
                      <w:sz w:val="18"/>
                      <w:szCs w:val="18"/>
                    </w:rPr>
                    <w:t>人员紧急撤离、疏散，撤离组织计划</w:t>
                  </w:r>
                </w:p>
              </w:tc>
              <w:tc>
                <w:tcPr>
                  <w:tcW w:w="3180" w:type="pct"/>
                  <w:vAlign w:val="center"/>
                </w:tcPr>
                <w:p>
                  <w:pPr>
                    <w:adjustRightInd w:val="0"/>
                    <w:snapToGrid w:val="0"/>
                    <w:jc w:val="center"/>
                    <w:rPr>
                      <w:bCs/>
                      <w:sz w:val="18"/>
                      <w:szCs w:val="18"/>
                    </w:rPr>
                  </w:pPr>
                  <w:r>
                    <w:rPr>
                      <w:bCs/>
                      <w:sz w:val="18"/>
                      <w:szCs w:val="18"/>
                    </w:rPr>
                    <w:t>事故现场、工厂邻近区、受事故影响的区域人员撤离组织计划及救护，中毒人员医疗救护与公众健康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316" w:type="pct"/>
                  <w:vAlign w:val="center"/>
                </w:tcPr>
                <w:p>
                  <w:pPr>
                    <w:adjustRightInd w:val="0"/>
                    <w:snapToGrid w:val="0"/>
                    <w:jc w:val="center"/>
                    <w:rPr>
                      <w:bCs/>
                      <w:sz w:val="18"/>
                      <w:szCs w:val="18"/>
                    </w:rPr>
                  </w:pPr>
                  <w:r>
                    <w:rPr>
                      <w:bCs/>
                      <w:sz w:val="18"/>
                      <w:szCs w:val="18"/>
                    </w:rPr>
                    <w:t>9</w:t>
                  </w:r>
                </w:p>
              </w:tc>
              <w:tc>
                <w:tcPr>
                  <w:tcW w:w="1503" w:type="pct"/>
                  <w:vAlign w:val="center"/>
                </w:tcPr>
                <w:p>
                  <w:pPr>
                    <w:adjustRightInd w:val="0"/>
                    <w:snapToGrid w:val="0"/>
                    <w:jc w:val="center"/>
                    <w:rPr>
                      <w:bCs/>
                      <w:sz w:val="18"/>
                      <w:szCs w:val="18"/>
                    </w:rPr>
                  </w:pPr>
                  <w:r>
                    <w:rPr>
                      <w:bCs/>
                      <w:sz w:val="18"/>
                      <w:szCs w:val="18"/>
                    </w:rPr>
                    <w:t>事故应急救援关闭程序与恢复措施</w:t>
                  </w:r>
                </w:p>
              </w:tc>
              <w:tc>
                <w:tcPr>
                  <w:tcW w:w="3180" w:type="pct"/>
                  <w:vAlign w:val="center"/>
                </w:tcPr>
                <w:p>
                  <w:pPr>
                    <w:adjustRightInd w:val="0"/>
                    <w:snapToGrid w:val="0"/>
                    <w:jc w:val="center"/>
                    <w:rPr>
                      <w:bCs/>
                      <w:sz w:val="18"/>
                      <w:szCs w:val="18"/>
                    </w:rPr>
                  </w:pPr>
                  <w:r>
                    <w:rPr>
                      <w:bCs/>
                      <w:sz w:val="18"/>
                      <w:szCs w:val="18"/>
                    </w:rPr>
                    <w:t>规定应急状态终止程序；事故现场善后处理，恢复措施；邻近区域解除事故警戒及善后恢复措施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10</w:t>
                  </w:r>
                </w:p>
              </w:tc>
              <w:tc>
                <w:tcPr>
                  <w:tcW w:w="1503" w:type="pct"/>
                  <w:vAlign w:val="center"/>
                </w:tcPr>
                <w:p>
                  <w:pPr>
                    <w:adjustRightInd w:val="0"/>
                    <w:snapToGrid w:val="0"/>
                    <w:jc w:val="center"/>
                    <w:rPr>
                      <w:bCs/>
                      <w:sz w:val="18"/>
                      <w:szCs w:val="18"/>
                    </w:rPr>
                  </w:pPr>
                  <w:r>
                    <w:rPr>
                      <w:bCs/>
                      <w:sz w:val="18"/>
                      <w:szCs w:val="18"/>
                    </w:rPr>
                    <w:t>应急培训计划</w:t>
                  </w:r>
                </w:p>
              </w:tc>
              <w:tc>
                <w:tcPr>
                  <w:tcW w:w="3180" w:type="pct"/>
                  <w:vAlign w:val="center"/>
                </w:tcPr>
                <w:p>
                  <w:pPr>
                    <w:adjustRightInd w:val="0"/>
                    <w:snapToGrid w:val="0"/>
                    <w:jc w:val="center"/>
                    <w:rPr>
                      <w:bCs/>
                      <w:sz w:val="18"/>
                      <w:szCs w:val="18"/>
                    </w:rPr>
                  </w:pPr>
                  <w:r>
                    <w:rPr>
                      <w:bCs/>
                      <w:sz w:val="18"/>
                      <w:szCs w:val="18"/>
                    </w:rPr>
                    <w:t>应急计划制定后，平时安排人员培训与演练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 w:type="pct"/>
                  <w:vAlign w:val="center"/>
                </w:tcPr>
                <w:p>
                  <w:pPr>
                    <w:adjustRightInd w:val="0"/>
                    <w:snapToGrid w:val="0"/>
                    <w:jc w:val="center"/>
                    <w:rPr>
                      <w:bCs/>
                      <w:sz w:val="18"/>
                      <w:szCs w:val="18"/>
                    </w:rPr>
                  </w:pPr>
                  <w:r>
                    <w:rPr>
                      <w:bCs/>
                      <w:sz w:val="18"/>
                      <w:szCs w:val="18"/>
                    </w:rPr>
                    <w:t>11</w:t>
                  </w:r>
                </w:p>
              </w:tc>
              <w:tc>
                <w:tcPr>
                  <w:tcW w:w="1503" w:type="pct"/>
                  <w:vAlign w:val="center"/>
                </w:tcPr>
                <w:p>
                  <w:pPr>
                    <w:adjustRightInd w:val="0"/>
                    <w:snapToGrid w:val="0"/>
                    <w:jc w:val="center"/>
                    <w:rPr>
                      <w:bCs/>
                      <w:sz w:val="18"/>
                      <w:szCs w:val="18"/>
                    </w:rPr>
                  </w:pPr>
                  <w:r>
                    <w:rPr>
                      <w:bCs/>
                      <w:sz w:val="18"/>
                      <w:szCs w:val="18"/>
                    </w:rPr>
                    <w:t>公众教育和信息</w:t>
                  </w:r>
                </w:p>
              </w:tc>
              <w:tc>
                <w:tcPr>
                  <w:tcW w:w="3180" w:type="pct"/>
                  <w:vAlign w:val="center"/>
                </w:tcPr>
                <w:p>
                  <w:pPr>
                    <w:adjustRightInd w:val="0"/>
                    <w:snapToGrid w:val="0"/>
                    <w:jc w:val="center"/>
                    <w:rPr>
                      <w:bCs/>
                      <w:sz w:val="18"/>
                      <w:szCs w:val="18"/>
                    </w:rPr>
                  </w:pPr>
                  <w:r>
                    <w:rPr>
                      <w:bCs/>
                      <w:sz w:val="18"/>
                      <w:szCs w:val="18"/>
                    </w:rPr>
                    <w:t>对工厂邻近地区开展公众教育，培训和发布有关信息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316" w:type="pct"/>
                  <w:vAlign w:val="center"/>
                </w:tcPr>
                <w:p>
                  <w:pPr>
                    <w:adjustRightInd w:val="0"/>
                    <w:snapToGrid w:val="0"/>
                    <w:jc w:val="center"/>
                    <w:rPr>
                      <w:bCs/>
                      <w:sz w:val="18"/>
                      <w:szCs w:val="18"/>
                    </w:rPr>
                  </w:pPr>
                  <w:r>
                    <w:rPr>
                      <w:bCs/>
                      <w:sz w:val="18"/>
                      <w:szCs w:val="18"/>
                    </w:rPr>
                    <w:t>12</w:t>
                  </w:r>
                </w:p>
              </w:tc>
              <w:tc>
                <w:tcPr>
                  <w:tcW w:w="1503" w:type="pct"/>
                  <w:vAlign w:val="center"/>
                </w:tcPr>
                <w:p>
                  <w:pPr>
                    <w:adjustRightInd w:val="0"/>
                    <w:snapToGrid w:val="0"/>
                    <w:jc w:val="center"/>
                    <w:rPr>
                      <w:bCs/>
                      <w:sz w:val="18"/>
                      <w:szCs w:val="18"/>
                    </w:rPr>
                  </w:pPr>
                  <w:r>
                    <w:rPr>
                      <w:bCs/>
                      <w:sz w:val="18"/>
                      <w:szCs w:val="18"/>
                    </w:rPr>
                    <w:t>记录和报告</w:t>
                  </w:r>
                </w:p>
              </w:tc>
              <w:tc>
                <w:tcPr>
                  <w:tcW w:w="3180" w:type="pct"/>
                  <w:vAlign w:val="center"/>
                </w:tcPr>
                <w:p>
                  <w:pPr>
                    <w:adjustRightInd w:val="0"/>
                    <w:snapToGrid w:val="0"/>
                    <w:jc w:val="center"/>
                    <w:rPr>
                      <w:bCs/>
                      <w:sz w:val="18"/>
                      <w:szCs w:val="18"/>
                    </w:rPr>
                  </w:pPr>
                  <w:r>
                    <w:rPr>
                      <w:bCs/>
                      <w:sz w:val="18"/>
                      <w:szCs w:val="18"/>
                    </w:rPr>
                    <w:t>设置应急事故专门记录，建档案和专门报告制度，设置专门部门负责管理</w:t>
                  </w:r>
                </w:p>
              </w:tc>
            </w:tr>
          </w:tbl>
          <w:p>
            <w:pPr>
              <w:adjustRightInd w:val="0"/>
              <w:snapToGrid w:val="0"/>
              <w:spacing w:line="360" w:lineRule="auto"/>
              <w:ind w:firstLine="420" w:firstLineChars="200"/>
              <w:rPr>
                <w:bCs/>
              </w:rPr>
            </w:pPr>
          </w:p>
          <w:p>
            <w:pPr>
              <w:adjustRightInd w:val="0"/>
              <w:snapToGrid w:val="0"/>
              <w:spacing w:line="360" w:lineRule="auto"/>
              <w:ind w:firstLine="420" w:firstLineChars="200"/>
              <w:rPr>
                <w:bCs/>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ind w:firstLine="380" w:firstLineChars="200"/>
              <w:rPr>
                <w:bCs/>
                <w:spacing w:val="-10"/>
              </w:rPr>
            </w:pPr>
          </w:p>
          <w:p>
            <w:pPr>
              <w:adjustRightInd w:val="0"/>
              <w:snapToGrid w:val="0"/>
              <w:spacing w:line="360" w:lineRule="auto"/>
              <w:rPr>
                <w:bCs/>
                <w:spacing w:val="-10"/>
              </w:rPr>
            </w:pPr>
          </w:p>
        </w:tc>
      </w:tr>
    </w:tbl>
    <w:p>
      <w:pPr>
        <w:spacing w:line="360" w:lineRule="auto"/>
        <w:rPr>
          <w:rFonts w:ascii="宋体" w:cs="宋体"/>
          <w:b/>
          <w:sz w:val="28"/>
          <w:szCs w:val="28"/>
          <w:lang w:bidi="ar"/>
        </w:rPr>
        <w:sectPr>
          <w:pgSz w:w="11915" w:h="16840"/>
          <w:pgMar w:top="1702" w:right="1531" w:bottom="2127" w:left="1531" w:header="851" w:footer="851" w:gutter="0"/>
          <w:cols w:space="425" w:num="1"/>
          <w:docGrid w:type="lines" w:linePitch="312" w:charSpace="0"/>
        </w:sectPr>
      </w:pPr>
    </w:p>
    <w:p>
      <w:pPr>
        <w:pStyle w:val="8"/>
        <w:jc w:val="center"/>
        <w:outlineLvl w:val="0"/>
        <w:rPr>
          <w:rFonts w:hint="default" w:ascii="黑体" w:eastAsia="黑体" w:cs="黑体"/>
          <w:sz w:val="30"/>
          <w:szCs w:val="30"/>
          <w:highlight w:val="none"/>
        </w:rPr>
      </w:pPr>
      <w:r>
        <w:rPr>
          <w:rFonts w:ascii="黑体" w:eastAsia="黑体" w:cs="黑体"/>
          <w:snapToGrid w:val="0"/>
          <w:sz w:val="30"/>
          <w:szCs w:val="30"/>
          <w:highlight w:val="none"/>
        </w:rPr>
        <w:t>五、</w:t>
      </w:r>
      <w:bookmarkStart w:id="2" w:name="_Hlk54167917"/>
      <w:r>
        <w:rPr>
          <w:rFonts w:ascii="黑体" w:eastAsia="黑体" w:cs="黑体"/>
          <w:snapToGrid w:val="0"/>
          <w:sz w:val="30"/>
          <w:szCs w:val="30"/>
          <w:highlight w:val="none"/>
        </w:rPr>
        <w:t>环境保护措施监督检查清单</w:t>
      </w:r>
      <w:bookmarkEnd w:id="2"/>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79"/>
        <w:gridCol w:w="1701"/>
        <w:gridCol w:w="1276"/>
        <w:gridCol w:w="2268"/>
        <w:gridCol w:w="18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tcBorders>
              <w:top w:val="single" w:color="auto" w:sz="8" w:space="0"/>
              <w:left w:val="single" w:color="auto" w:sz="8" w:space="0"/>
              <w:bottom w:val="single" w:color="auto" w:sz="4" w:space="0"/>
              <w:right w:val="single" w:color="auto" w:sz="4" w:space="0"/>
              <w:tl2br w:val="single" w:color="auto" w:sz="4" w:space="0"/>
            </w:tcBorders>
            <w:shd w:val="clear" w:color="auto" w:fill="auto"/>
            <w:vAlign w:val="center"/>
          </w:tcPr>
          <w:p>
            <w:pPr>
              <w:adjustRightInd w:val="0"/>
              <w:snapToGrid w:val="0"/>
              <w:ind w:firstLine="840"/>
              <w:jc w:val="center"/>
            </w:pPr>
            <w:r>
              <w:rPr>
                <w:lang w:bidi="ar"/>
              </w:rPr>
              <w:t>内容</w:t>
            </w:r>
          </w:p>
          <w:p>
            <w:pPr>
              <w:adjustRightInd w:val="0"/>
              <w:snapToGrid w:val="0"/>
              <w:jc w:val="center"/>
            </w:pPr>
            <w:r>
              <w:rPr>
                <w:lang w:bidi="ar"/>
              </w:rPr>
              <w:t>要素</w:t>
            </w:r>
          </w:p>
        </w:tc>
        <w:tc>
          <w:tcPr>
            <w:tcW w:w="1701"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排放口(编号、</w:t>
            </w:r>
          </w:p>
          <w:p>
            <w:pPr>
              <w:adjustRightInd w:val="0"/>
              <w:snapToGrid w:val="0"/>
              <w:jc w:val="center"/>
            </w:pPr>
            <w:r>
              <w:rPr>
                <w:lang w:bidi="ar"/>
              </w:rPr>
              <w:t>名称)/污染源</w:t>
            </w:r>
          </w:p>
        </w:tc>
        <w:tc>
          <w:tcPr>
            <w:tcW w:w="1276"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污染物项目</w:t>
            </w:r>
          </w:p>
        </w:tc>
        <w:tc>
          <w:tcPr>
            <w:tcW w:w="2268" w:type="dxa"/>
            <w:tcBorders>
              <w:top w:val="single" w:color="auto" w:sz="8" w:space="0"/>
              <w:left w:val="single" w:color="auto" w:sz="4" w:space="0"/>
              <w:bottom w:val="single" w:color="auto" w:sz="4" w:space="0"/>
              <w:right w:val="single" w:color="auto" w:sz="4" w:space="0"/>
            </w:tcBorders>
            <w:shd w:val="clear" w:color="auto" w:fill="auto"/>
            <w:vAlign w:val="center"/>
          </w:tcPr>
          <w:p>
            <w:pPr>
              <w:adjustRightInd w:val="0"/>
              <w:snapToGrid w:val="0"/>
              <w:jc w:val="center"/>
            </w:pPr>
            <w:r>
              <w:rPr>
                <w:lang w:bidi="ar"/>
              </w:rPr>
              <w:t>环境保护措施</w:t>
            </w:r>
          </w:p>
        </w:tc>
        <w:tc>
          <w:tcPr>
            <w:tcW w:w="1876" w:type="dxa"/>
            <w:tcBorders>
              <w:top w:val="single" w:color="auto" w:sz="8" w:space="0"/>
              <w:left w:val="single" w:color="auto" w:sz="4" w:space="0"/>
              <w:bottom w:val="single" w:color="auto" w:sz="4" w:space="0"/>
              <w:right w:val="single" w:color="auto" w:sz="8" w:space="0"/>
            </w:tcBorders>
            <w:shd w:val="clear" w:color="auto" w:fill="auto"/>
            <w:vAlign w:val="center"/>
          </w:tcPr>
          <w:p>
            <w:pPr>
              <w:adjustRightInd w:val="0"/>
              <w:snapToGrid w:val="0"/>
              <w:jc w:val="center"/>
            </w:pPr>
            <w:r>
              <w:rPr>
                <w:lang w:bidi="ar"/>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大气环境</w:t>
            </w:r>
          </w:p>
        </w:tc>
        <w:tc>
          <w:tcPr>
            <w:tcW w:w="1701"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1#排气筒（导热油炉烟气）</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烟尘</w:t>
            </w:r>
          </w:p>
        </w:tc>
        <w:tc>
          <w:tcPr>
            <w:tcW w:w="2268"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rPr>
                <w:rFonts w:hint="eastAsia"/>
              </w:rPr>
              <w:t>布袋除尘器（去除效率9</w:t>
            </w:r>
            <w:r>
              <w:t>9</w:t>
            </w:r>
            <w:r>
              <w:rPr>
                <w:rFonts w:hint="eastAsia"/>
              </w:rPr>
              <w:t>%）+</w:t>
            </w:r>
            <w:r>
              <w:t>15m</w:t>
            </w:r>
            <w:r>
              <w:rPr>
                <w:rFonts w:hint="eastAsia"/>
              </w:rPr>
              <w:t>高排气筒</w:t>
            </w:r>
          </w:p>
        </w:tc>
        <w:tc>
          <w:tcPr>
            <w:tcW w:w="1876" w:type="dxa"/>
            <w:vMerge w:val="restart"/>
            <w:tcBorders>
              <w:top w:val="single" w:color="auto" w:sz="4" w:space="0"/>
              <w:left w:val="single" w:color="auto" w:sz="4" w:space="0"/>
              <w:right w:val="single" w:color="auto" w:sz="8" w:space="0"/>
            </w:tcBorders>
            <w:shd w:val="clear" w:color="auto" w:fill="auto"/>
            <w:vAlign w:val="center"/>
          </w:tcPr>
          <w:p>
            <w:pPr>
              <w:adjustRightInd w:val="0"/>
              <w:snapToGrid w:val="0"/>
              <w:jc w:val="center"/>
            </w:pPr>
            <w:r>
              <w:rPr>
                <w:rFonts w:hint="eastAsia"/>
              </w:rPr>
              <w:t>《锅炉大气污染物排放标准》（GB13271-2014）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SO</w:t>
            </w:r>
            <w:r>
              <w:rPr>
                <w:vertAlign w:val="subscript"/>
              </w:rPr>
              <w:t>2</w:t>
            </w:r>
          </w:p>
        </w:tc>
        <w:tc>
          <w:tcPr>
            <w:tcW w:w="2268"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NO</w:t>
            </w:r>
            <w:r>
              <w:rPr>
                <w:vertAlign w:val="subscript"/>
              </w:rPr>
              <w:t>X</w:t>
            </w:r>
          </w:p>
        </w:tc>
        <w:tc>
          <w:tcPr>
            <w:tcW w:w="2268"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bottom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2#排气筒（烘干滚筒燃烧烟气</w:t>
            </w:r>
            <w:r>
              <w:rPr>
                <w:rFonts w:hint="eastAsia"/>
                <w:lang w:eastAsia="zh-CN"/>
              </w:rPr>
              <w:t>、</w:t>
            </w:r>
            <w:r>
              <w:rPr>
                <w:rFonts w:hint="eastAsia"/>
                <w:lang w:val="en-US" w:eastAsia="zh-CN"/>
              </w:rPr>
              <w:t>石料筛分工艺粉尘、</w:t>
            </w:r>
            <w:r>
              <w:t>混合搅拌过程沥青烟气）</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SO</w:t>
            </w:r>
            <w:r>
              <w:rPr>
                <w:vertAlign w:val="subscript"/>
              </w:rPr>
              <w:t>2</w:t>
            </w:r>
          </w:p>
        </w:tc>
        <w:tc>
          <w:tcPr>
            <w:tcW w:w="2268"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rPr>
                <w:rFonts w:hint="eastAsia" w:eastAsia="宋体"/>
                <w:lang w:eastAsia="zh-CN"/>
              </w:rPr>
            </w:pPr>
            <w:r>
              <w:rPr>
                <w:rFonts w:hint="eastAsia"/>
              </w:rPr>
              <w:t>布袋除尘器（去除效率9</w:t>
            </w:r>
            <w:r>
              <w:t>9</w:t>
            </w:r>
            <w:r>
              <w:rPr>
                <w:rFonts w:hint="eastAsia"/>
              </w:rPr>
              <w:t>%）+</w:t>
            </w:r>
            <w:r>
              <w:rPr>
                <w:rFonts w:hint="eastAsia"/>
                <w:lang w:val="en-US" w:eastAsia="zh-CN"/>
              </w:rPr>
              <w:t>低氮燃烧</w:t>
            </w:r>
            <w:r>
              <w:rPr>
                <w:rFonts w:hint="eastAsia"/>
              </w:rPr>
              <w:t>（去除效率7</w:t>
            </w:r>
            <w:r>
              <w:t>0</w:t>
            </w:r>
            <w:r>
              <w:rPr>
                <w:rFonts w:hint="eastAsia"/>
              </w:rPr>
              <w:t>%）+</w:t>
            </w:r>
            <w:r>
              <w:t>15m</w:t>
            </w:r>
            <w:r>
              <w:rPr>
                <w:rFonts w:hint="eastAsia"/>
              </w:rPr>
              <w:t>高排气筒</w:t>
            </w:r>
            <w:r>
              <w:rPr>
                <w:rFonts w:hint="eastAsia"/>
                <w:lang w:eastAsia="zh-CN"/>
              </w:rPr>
              <w:t>；</w:t>
            </w:r>
          </w:p>
        </w:tc>
        <w:tc>
          <w:tcPr>
            <w:tcW w:w="1876" w:type="dxa"/>
            <w:tcBorders>
              <w:top w:val="single" w:color="auto" w:sz="4" w:space="0"/>
              <w:left w:val="single" w:color="auto" w:sz="4" w:space="0"/>
              <w:right w:val="single" w:color="auto" w:sz="8" w:space="0"/>
            </w:tcBorders>
            <w:shd w:val="clear" w:color="auto" w:fill="auto"/>
            <w:vAlign w:val="center"/>
          </w:tcPr>
          <w:p>
            <w:pPr>
              <w:adjustRightInd w:val="0"/>
              <w:snapToGrid w:val="0"/>
              <w:jc w:val="center"/>
            </w:pPr>
            <w:r>
              <w:t>《工业炉窑大气污染物排放标准》（GB9078-1996）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NO</w:t>
            </w:r>
            <w:r>
              <w:rPr>
                <w:vertAlign w:val="subscript"/>
              </w:rPr>
              <w:t>X</w:t>
            </w:r>
          </w:p>
        </w:tc>
        <w:tc>
          <w:tcPr>
            <w:tcW w:w="2268"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876" w:type="dxa"/>
            <w:vMerge w:val="restart"/>
            <w:tcBorders>
              <w:left w:val="single" w:color="auto" w:sz="4" w:space="0"/>
              <w:right w:val="single" w:color="auto" w:sz="8" w:space="0"/>
            </w:tcBorders>
            <w:shd w:val="clear" w:color="auto" w:fill="auto"/>
            <w:vAlign w:val="center"/>
          </w:tcPr>
          <w:p>
            <w:pPr>
              <w:adjustRightInd w:val="0"/>
              <w:snapToGrid w:val="0"/>
              <w:jc w:val="center"/>
            </w:pPr>
            <w: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rPr>
                <w:rFonts w:hint="eastAsia" w:eastAsia="宋体"/>
                <w:lang w:eastAsia="zh-CN"/>
              </w:rPr>
            </w:pPr>
            <w:r>
              <w:rPr>
                <w:rFonts w:hint="eastAsia"/>
                <w:lang w:val="en-US" w:eastAsia="zh-CN"/>
              </w:rPr>
              <w:t>烟尘</w:t>
            </w:r>
          </w:p>
        </w:tc>
        <w:tc>
          <w:tcPr>
            <w:tcW w:w="2268"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bottom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粉尘</w:t>
            </w:r>
          </w:p>
        </w:tc>
        <w:tc>
          <w:tcPr>
            <w:tcW w:w="2268" w:type="dxa"/>
            <w:tcBorders>
              <w:top w:val="single" w:color="auto" w:sz="4" w:space="0"/>
              <w:left w:val="single" w:color="auto" w:sz="4" w:space="0"/>
              <w:right w:val="single" w:color="auto" w:sz="4" w:space="0"/>
            </w:tcBorders>
            <w:shd w:val="clear" w:color="auto" w:fill="auto"/>
            <w:vAlign w:val="center"/>
          </w:tcPr>
          <w:p>
            <w:pPr>
              <w:adjustRightInd w:val="0"/>
              <w:snapToGrid w:val="0"/>
            </w:pPr>
            <w:r>
              <w:rPr>
                <w:rFonts w:hint="eastAsia"/>
              </w:rPr>
              <w:t>与烘干滚筒燃烧烟气由布袋除尘器（去除率99%）共同处理后，经同一排口（2#排气筒）排出</w:t>
            </w:r>
          </w:p>
        </w:tc>
        <w:tc>
          <w:tcPr>
            <w:tcW w:w="1876" w:type="dxa"/>
            <w:tcBorders>
              <w:top w:val="single" w:color="auto" w:sz="4" w:space="0"/>
              <w:left w:val="single" w:color="auto" w:sz="4" w:space="0"/>
              <w:right w:val="single" w:color="auto" w:sz="8" w:space="0"/>
            </w:tcBorders>
            <w:shd w:val="clear" w:color="auto" w:fill="auto"/>
            <w:vAlign w:val="center"/>
          </w:tcPr>
          <w:p>
            <w:pPr>
              <w:adjustRightInd w:val="0"/>
              <w:snapToGrid w:val="0"/>
              <w:jc w:val="center"/>
            </w:pPr>
            <w: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沥青烟</w:t>
            </w:r>
          </w:p>
        </w:tc>
        <w:tc>
          <w:tcPr>
            <w:tcW w:w="2268"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pPr>
            <w:r>
              <w:rPr>
                <w:rFonts w:hint="eastAsia"/>
              </w:rPr>
              <w:t>混合搅拌后产生的沥青烟气于出料口处经集气罩（风机风量40000m</w:t>
            </w:r>
            <w:r>
              <w:rPr>
                <w:rFonts w:hint="eastAsia"/>
                <w:vertAlign w:val="superscript"/>
              </w:rPr>
              <w:t>3</w:t>
            </w:r>
            <w:r>
              <w:rPr>
                <w:rFonts w:hint="eastAsia"/>
              </w:rPr>
              <w:t>/h）收集后，集气率85%，采用活性炭进行吸附净化处理，净化效率达98.5%，处理后尾气经</w:t>
            </w:r>
            <w:r>
              <w:t>2</w:t>
            </w:r>
            <w:r>
              <w:rPr>
                <w:rFonts w:hint="eastAsia"/>
              </w:rPr>
              <w:t>#排气筒排放</w:t>
            </w:r>
          </w:p>
        </w:tc>
        <w:tc>
          <w:tcPr>
            <w:tcW w:w="1876" w:type="dxa"/>
            <w:vMerge w:val="restart"/>
            <w:tcBorders>
              <w:top w:val="single" w:color="auto" w:sz="4" w:space="0"/>
              <w:left w:val="single" w:color="auto" w:sz="4" w:space="0"/>
              <w:right w:val="single" w:color="auto" w:sz="8" w:space="0"/>
            </w:tcBorders>
            <w:shd w:val="clear" w:color="auto" w:fill="auto"/>
            <w:vAlign w:val="center"/>
          </w:tcPr>
          <w:p>
            <w:pPr>
              <w:adjustRightInd w:val="0"/>
              <w:snapToGrid w:val="0"/>
              <w:jc w:val="center"/>
            </w:pPr>
            <w: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lang w:bidi="ar"/>
              </w:rPr>
            </w:pPr>
          </w:p>
        </w:tc>
        <w:tc>
          <w:tcPr>
            <w:tcW w:w="1701"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苯并[a]芘</w:t>
            </w:r>
          </w:p>
        </w:tc>
        <w:tc>
          <w:tcPr>
            <w:tcW w:w="2268"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pPr>
          </w:p>
        </w:tc>
        <w:tc>
          <w:tcPr>
            <w:tcW w:w="1876" w:type="dxa"/>
            <w:vMerge w:val="continue"/>
            <w:tcBorders>
              <w:left w:val="single" w:color="auto" w:sz="4" w:space="0"/>
              <w:bottom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tc>
        <w:tc>
          <w:tcPr>
            <w:tcW w:w="1701"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沥青烟无组织废气</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沥青烟</w:t>
            </w:r>
          </w:p>
        </w:tc>
        <w:tc>
          <w:tcPr>
            <w:tcW w:w="2268"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未收集的少量废气无组织排放，加强管理</w:t>
            </w:r>
          </w:p>
        </w:tc>
        <w:tc>
          <w:tcPr>
            <w:tcW w:w="1876" w:type="dxa"/>
            <w:vMerge w:val="restart"/>
            <w:tcBorders>
              <w:top w:val="single" w:color="auto" w:sz="4" w:space="0"/>
              <w:left w:val="single" w:color="auto" w:sz="4" w:space="0"/>
              <w:right w:val="single" w:color="auto" w:sz="8" w:space="0"/>
            </w:tcBorders>
            <w:shd w:val="clear" w:color="auto" w:fill="auto"/>
            <w:vAlign w:val="center"/>
          </w:tcPr>
          <w:p>
            <w:pPr>
              <w:adjustRightInd w:val="0"/>
              <w:snapToGrid w:val="0"/>
              <w:jc w:val="center"/>
            </w:pPr>
            <w: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tc>
        <w:tc>
          <w:tcPr>
            <w:tcW w:w="1701"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苯并[a]芘</w:t>
            </w:r>
          </w:p>
        </w:tc>
        <w:tc>
          <w:tcPr>
            <w:tcW w:w="2268"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tc>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沥青混凝土生产线投料运输</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粉尘</w:t>
            </w:r>
          </w:p>
        </w:tc>
        <w:tc>
          <w:tcPr>
            <w:tcW w:w="226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路面硬化、及时清扫、洒水，料仓封闭、洒水降尘</w:t>
            </w:r>
          </w:p>
        </w:tc>
        <w:tc>
          <w:tcPr>
            <w:tcW w:w="1876" w:type="dxa"/>
            <w:vMerge w:val="continue"/>
            <w:tcBorders>
              <w:left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tc>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运输车辆扬尘</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粉尘</w:t>
            </w:r>
          </w:p>
        </w:tc>
        <w:tc>
          <w:tcPr>
            <w:tcW w:w="226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路面硬化、及时清扫、洒水</w:t>
            </w:r>
          </w:p>
        </w:tc>
        <w:tc>
          <w:tcPr>
            <w:tcW w:w="1876" w:type="dxa"/>
            <w:vMerge w:val="continue"/>
            <w:tcBorders>
              <w:left w:val="single" w:color="auto" w:sz="4" w:space="0"/>
              <w:bottom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地表水环境</w:t>
            </w:r>
          </w:p>
        </w:tc>
        <w:tc>
          <w:tcPr>
            <w:tcW w:w="1701"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生活污水</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COD</w:t>
            </w:r>
          </w:p>
        </w:tc>
        <w:tc>
          <w:tcPr>
            <w:tcW w:w="2268" w:type="dxa"/>
            <w:vMerge w:val="restart"/>
            <w:tcBorders>
              <w:top w:val="single" w:color="auto" w:sz="4" w:space="0"/>
              <w:left w:val="single" w:color="auto" w:sz="4" w:space="0"/>
              <w:right w:val="single" w:color="auto" w:sz="4" w:space="0"/>
            </w:tcBorders>
            <w:shd w:val="clear" w:color="auto" w:fill="auto"/>
            <w:vAlign w:val="center"/>
          </w:tcPr>
          <w:p>
            <w:pPr>
              <w:adjustRightInd w:val="0"/>
              <w:snapToGrid w:val="0"/>
              <w:jc w:val="center"/>
            </w:pPr>
            <w:r>
              <w:t>排入厂区防渗旱厕，定期清掏用作农肥，不外排</w:t>
            </w:r>
            <w:r>
              <w:rPr>
                <w:rFonts w:hint="eastAsia"/>
              </w:rPr>
              <w:t>（食堂废水经沉淀池处理后排入防渗旱厕）</w:t>
            </w:r>
          </w:p>
        </w:tc>
        <w:tc>
          <w:tcPr>
            <w:tcW w:w="1876" w:type="dxa"/>
            <w:vMerge w:val="restart"/>
            <w:tcBorders>
              <w:top w:val="single" w:color="auto" w:sz="4" w:space="0"/>
              <w:left w:val="single" w:color="auto" w:sz="4" w:space="0"/>
              <w:right w:val="single" w:color="auto" w:sz="8" w:space="0"/>
            </w:tcBorders>
            <w:shd w:val="clear" w:color="auto" w:fill="auto"/>
            <w:vAlign w:val="center"/>
          </w:tcPr>
          <w:p>
            <w:pPr>
              <w:adjustRightInd w:val="0"/>
              <w:snapToGrid w:val="0"/>
              <w:jc w:val="center"/>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jc w:val="cente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BOD</w:t>
            </w:r>
            <w:r>
              <w:rPr>
                <w:vertAlign w:val="subscript"/>
              </w:rPr>
              <w:t>5</w:t>
            </w:r>
          </w:p>
        </w:tc>
        <w:tc>
          <w:tcPr>
            <w:tcW w:w="2268"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jc w:val="center"/>
            </w:pPr>
          </w:p>
        </w:tc>
        <w:tc>
          <w:tcPr>
            <w:tcW w:w="1701"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NH</w:t>
            </w:r>
            <w:r>
              <w:rPr>
                <w:vertAlign w:val="subscript"/>
              </w:rPr>
              <w:t>3</w:t>
            </w:r>
            <w:r>
              <w:t>-N</w:t>
            </w:r>
          </w:p>
        </w:tc>
        <w:tc>
          <w:tcPr>
            <w:tcW w:w="2268" w:type="dxa"/>
            <w:vMerge w:val="continue"/>
            <w:tcBorders>
              <w:left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jc w:val="center"/>
            </w:pPr>
          </w:p>
        </w:tc>
        <w:tc>
          <w:tcPr>
            <w:tcW w:w="1701"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SS</w:t>
            </w:r>
          </w:p>
        </w:tc>
        <w:tc>
          <w:tcPr>
            <w:tcW w:w="2268" w:type="dxa"/>
            <w:vMerge w:val="continue"/>
            <w:tcBorders>
              <w:left w:val="single" w:color="auto" w:sz="4" w:space="0"/>
              <w:bottom w:val="single" w:color="auto" w:sz="4" w:space="0"/>
              <w:right w:val="single" w:color="auto" w:sz="4" w:space="0"/>
            </w:tcBorders>
            <w:shd w:val="clear" w:color="auto" w:fill="auto"/>
            <w:vAlign w:val="center"/>
          </w:tcPr>
          <w:p>
            <w:pPr>
              <w:adjustRightInd w:val="0"/>
              <w:snapToGrid w:val="0"/>
              <w:jc w:val="center"/>
            </w:pPr>
          </w:p>
        </w:tc>
        <w:tc>
          <w:tcPr>
            <w:tcW w:w="1876" w:type="dxa"/>
            <w:vMerge w:val="continue"/>
            <w:tcBorders>
              <w:left w:val="single" w:color="auto" w:sz="4" w:space="0"/>
              <w:bottom w:val="single" w:color="auto" w:sz="4" w:space="0"/>
              <w:right w:val="single" w:color="auto" w:sz="8" w:space="0"/>
            </w:tcBorders>
            <w:shd w:val="clear" w:color="auto" w:fill="auto"/>
            <w:vAlign w:val="center"/>
          </w:tcPr>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声环境</w:t>
            </w:r>
          </w:p>
        </w:tc>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搅拌站、输送机、风机、泵类等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设备运行噪声</w:t>
            </w:r>
          </w:p>
        </w:tc>
        <w:tc>
          <w:tcPr>
            <w:tcW w:w="226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合理布局，选用低噪声设备，加防震底座进行基础减震等</w:t>
            </w:r>
          </w:p>
        </w:tc>
        <w:tc>
          <w:tcPr>
            <w:tcW w:w="1876"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《工业企业厂界环境噪声排放标准》（GB12348-2008）中1类标准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电磁辐射</w:t>
            </w:r>
          </w:p>
        </w:tc>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w:t>
            </w:r>
          </w:p>
        </w:tc>
        <w:tc>
          <w:tcPr>
            <w:tcW w:w="2268"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jc w:val="center"/>
            </w:pPr>
            <w:r>
              <w:t>/</w:t>
            </w:r>
          </w:p>
        </w:tc>
        <w:tc>
          <w:tcPr>
            <w:tcW w:w="1876" w:type="dxa"/>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固体废物</w:t>
            </w:r>
          </w:p>
        </w:tc>
        <w:tc>
          <w:tcPr>
            <w:tcW w:w="7121"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pPr>
            <w:r>
              <w:t>本项目产生固体废物主要为职工产生的生活垃圾、一般工业固体废物、危险废物。</w:t>
            </w:r>
          </w:p>
          <w:p>
            <w:pPr>
              <w:adjustRightInd w:val="0"/>
              <w:snapToGrid w:val="0"/>
              <w:spacing w:line="360" w:lineRule="auto"/>
              <w:ind w:firstLine="420" w:firstLineChars="200"/>
            </w:pPr>
            <w:r>
              <w:t>（1）生活垃圾</w:t>
            </w:r>
          </w:p>
          <w:p>
            <w:pPr>
              <w:adjustRightInd w:val="0"/>
              <w:snapToGrid w:val="0"/>
              <w:spacing w:line="360" w:lineRule="auto"/>
              <w:ind w:firstLine="420" w:firstLineChars="200"/>
            </w:pPr>
            <w:r>
              <w:t>本项目职工生活垃圾于厂区内集中收集，由环卫部门统一处理。</w:t>
            </w:r>
          </w:p>
          <w:p>
            <w:pPr>
              <w:adjustRightInd w:val="0"/>
              <w:snapToGrid w:val="0"/>
              <w:spacing w:line="360" w:lineRule="auto"/>
              <w:ind w:firstLine="420" w:firstLineChars="200"/>
            </w:pPr>
            <w:r>
              <w:rPr>
                <w:rFonts w:hint="eastAsia" w:ascii="宋体" w:hAnsi="宋体" w:cs="宋体"/>
              </w:rPr>
              <w:t>①</w:t>
            </w:r>
            <w:r>
              <w:t>厨余垃圾和废油脂</w:t>
            </w:r>
          </w:p>
          <w:p>
            <w:pPr>
              <w:adjustRightInd w:val="0"/>
              <w:snapToGrid w:val="0"/>
              <w:spacing w:line="360" w:lineRule="auto"/>
              <w:ind w:firstLine="420" w:firstLineChars="200"/>
            </w:pPr>
            <w:r>
              <w:t>厨余垃圾交由环卫部门统一处理，废油脂于沉淀池收集后交由相关资质单位进行处理。</w:t>
            </w:r>
          </w:p>
          <w:p>
            <w:pPr>
              <w:adjustRightInd w:val="0"/>
              <w:snapToGrid w:val="0"/>
              <w:spacing w:line="360" w:lineRule="auto"/>
              <w:ind w:firstLine="420" w:firstLineChars="200"/>
            </w:pPr>
            <w:r>
              <w:t>（2）一般工业固体废物</w:t>
            </w:r>
          </w:p>
          <w:p>
            <w:pPr>
              <w:adjustRightInd w:val="0"/>
              <w:snapToGrid w:val="0"/>
              <w:spacing w:line="360" w:lineRule="auto"/>
              <w:ind w:firstLine="420" w:firstLineChars="200"/>
            </w:pPr>
            <w:r>
              <w:rPr>
                <w:rFonts w:hint="eastAsia" w:ascii="宋体" w:hAnsi="宋体" w:cs="宋体"/>
              </w:rPr>
              <w:t>①</w:t>
            </w:r>
            <w:r>
              <w:t>布袋除尘器回收粉尘</w:t>
            </w:r>
          </w:p>
          <w:p>
            <w:pPr>
              <w:adjustRightInd w:val="0"/>
              <w:snapToGrid w:val="0"/>
              <w:spacing w:line="360" w:lineRule="auto"/>
              <w:ind w:firstLine="420" w:firstLineChars="200"/>
            </w:pPr>
            <w:r>
              <w:t>项目布袋除尘器回收粉尘经统一收集后，回用于生产。</w:t>
            </w:r>
          </w:p>
          <w:p>
            <w:pPr>
              <w:adjustRightInd w:val="0"/>
              <w:snapToGrid w:val="0"/>
              <w:spacing w:line="360" w:lineRule="auto"/>
              <w:ind w:firstLine="420" w:firstLineChars="200"/>
            </w:pPr>
            <w:r>
              <w:rPr>
                <w:rFonts w:hint="eastAsia" w:ascii="宋体" w:hAnsi="宋体" w:cs="宋体"/>
              </w:rPr>
              <w:t>②</w:t>
            </w:r>
            <w:r>
              <w:t>不合格石料</w:t>
            </w:r>
          </w:p>
          <w:p>
            <w:pPr>
              <w:adjustRightInd w:val="0"/>
              <w:snapToGrid w:val="0"/>
              <w:spacing w:line="360" w:lineRule="auto"/>
              <w:ind w:firstLine="420" w:firstLineChars="200"/>
            </w:pPr>
            <w:r>
              <w:t>项目不合格石料收集后暂存于厂区料仓内，返回厂家进行破碎处理。</w:t>
            </w:r>
          </w:p>
          <w:p>
            <w:pPr>
              <w:adjustRightInd w:val="0"/>
              <w:snapToGrid w:val="0"/>
              <w:spacing w:line="360" w:lineRule="auto"/>
              <w:ind w:firstLine="420" w:firstLineChars="200"/>
            </w:pPr>
            <w:r>
              <w:rPr>
                <w:rFonts w:hint="eastAsia" w:ascii="宋体" w:hAnsi="宋体" w:cs="宋体"/>
              </w:rPr>
              <w:t>③</w:t>
            </w:r>
            <w:r>
              <w:t>滴落沥青及拌合残渣</w:t>
            </w:r>
          </w:p>
          <w:p>
            <w:pPr>
              <w:adjustRightInd w:val="0"/>
              <w:snapToGrid w:val="0"/>
              <w:spacing w:line="360" w:lineRule="auto"/>
              <w:ind w:firstLine="420" w:firstLineChars="200"/>
            </w:pPr>
            <w:r>
              <w:t>沥青管道输送过程接口处可能会产生少量沥青滴漏，拌合后成品卸料时可能会产生少量拌合残渣，收集后作为原料回用于生产。</w:t>
            </w:r>
          </w:p>
          <w:p>
            <w:pPr>
              <w:adjustRightInd w:val="0"/>
              <w:snapToGrid w:val="0"/>
              <w:spacing w:line="360" w:lineRule="auto"/>
              <w:ind w:firstLine="420" w:firstLineChars="200"/>
            </w:pPr>
            <w:r>
              <w:rPr>
                <w:rFonts w:hint="eastAsia" w:ascii="宋体" w:hAnsi="宋体" w:cs="宋体"/>
              </w:rPr>
              <w:t>④</w:t>
            </w:r>
            <w:r>
              <w:t>废布袋</w:t>
            </w:r>
          </w:p>
          <w:p>
            <w:pPr>
              <w:adjustRightInd w:val="0"/>
              <w:snapToGrid w:val="0"/>
              <w:spacing w:line="360" w:lineRule="auto"/>
              <w:ind w:firstLine="420" w:firstLineChars="200"/>
            </w:pPr>
            <w:r>
              <w:t>本项目生产使用除尘器，需要定期更换布袋，由厂家进行回收。</w:t>
            </w:r>
          </w:p>
          <w:p>
            <w:pPr>
              <w:adjustRightInd w:val="0"/>
              <w:snapToGrid w:val="0"/>
              <w:spacing w:line="360" w:lineRule="auto"/>
              <w:ind w:firstLine="420" w:firstLineChars="200"/>
            </w:pPr>
            <w:r>
              <w:t>（2）危险废物</w:t>
            </w:r>
          </w:p>
          <w:p>
            <w:pPr>
              <w:adjustRightInd w:val="0"/>
              <w:snapToGrid w:val="0"/>
              <w:spacing w:line="360" w:lineRule="auto"/>
              <w:ind w:firstLine="420" w:firstLineChars="200"/>
            </w:pPr>
            <w:r>
              <w:t>本项目采用活性炭吸附处理含苯并[a]芘的沥青烟，产生失效的活性炭物质，废活性炭为危险废物，暂存于危废暂存间，定期交由有危险废物处理资质单位处理。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土壤及地下水</w:t>
            </w:r>
          </w:p>
          <w:p>
            <w:pPr>
              <w:adjustRightInd w:val="0"/>
              <w:snapToGrid w:val="0"/>
              <w:jc w:val="center"/>
            </w:pPr>
            <w:r>
              <w:rPr>
                <w:lang w:bidi="ar"/>
              </w:rPr>
              <w:t>污染防治措施</w:t>
            </w:r>
          </w:p>
        </w:tc>
        <w:tc>
          <w:tcPr>
            <w:tcW w:w="7121"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pStyle w:val="13"/>
              <w:adjustRightInd w:val="0"/>
              <w:snapToGrid w:val="0"/>
              <w:spacing w:line="360" w:lineRule="auto"/>
              <w:ind w:firstLine="420" w:firstLineChars="200"/>
            </w:pPr>
            <w:r>
              <w:t>地下水、土壤保护与污染防治按照“源头控制、分区防治、污染监控、应急响应”的原则。项目运行过程中要建立健全地下水、土壤保护与污染防治的措施与方法；必须采取必要的监测制度，一旦发现地下水遭受污染，就应及时采取措施；尽量减少污染物进入土壤、地下含水层的机会和数量。</w:t>
            </w:r>
          </w:p>
          <w:p>
            <w:pPr>
              <w:pStyle w:val="13"/>
              <w:adjustRightInd w:val="0"/>
              <w:snapToGrid w:val="0"/>
              <w:spacing w:line="360" w:lineRule="auto"/>
              <w:ind w:firstLine="420" w:firstLineChars="200"/>
            </w:pPr>
            <w:r>
              <w:t>（1）分区防控措施</w:t>
            </w:r>
          </w:p>
          <w:p>
            <w:pPr>
              <w:pStyle w:val="13"/>
              <w:adjustRightInd w:val="0"/>
              <w:snapToGrid w:val="0"/>
              <w:spacing w:line="360" w:lineRule="auto"/>
              <w:ind w:firstLine="420" w:firstLineChars="200"/>
            </w:pPr>
            <w:r>
              <w:t>厂区划分为重点防渗区、一般防渗区和简单防渗区三类，具体划分如下：</w:t>
            </w:r>
          </w:p>
          <w:p>
            <w:pPr>
              <w:pStyle w:val="13"/>
              <w:adjustRightInd w:val="0"/>
              <w:snapToGrid w:val="0"/>
              <w:spacing w:line="360" w:lineRule="auto"/>
              <w:ind w:firstLine="420" w:firstLineChars="200"/>
            </w:pPr>
            <w:r>
              <w:t>重点防渗区：沥青搅拌站、防渗旱厕、危废暂存间；</w:t>
            </w:r>
          </w:p>
          <w:p>
            <w:pPr>
              <w:pStyle w:val="13"/>
              <w:adjustRightInd w:val="0"/>
              <w:snapToGrid w:val="0"/>
              <w:spacing w:line="360" w:lineRule="auto"/>
              <w:ind w:firstLine="420" w:firstLineChars="200"/>
            </w:pPr>
            <w:r>
              <w:t>一般防渗区包括：办公室、原料料仓。</w:t>
            </w:r>
          </w:p>
          <w:p>
            <w:pPr>
              <w:pStyle w:val="13"/>
              <w:adjustRightInd w:val="0"/>
              <w:snapToGrid w:val="0"/>
              <w:spacing w:line="360" w:lineRule="auto"/>
              <w:ind w:firstLine="420" w:firstLineChars="200"/>
            </w:pPr>
            <w:r>
              <w:rPr>
                <w:rFonts w:hint="eastAsia" w:ascii="宋体" w:hAnsi="宋体" w:cs="宋体"/>
              </w:rPr>
              <w:t>①</w:t>
            </w:r>
            <w:r>
              <w:t>对重点防渗区采取的防渗措施</w:t>
            </w:r>
          </w:p>
          <w:p>
            <w:pPr>
              <w:pStyle w:val="13"/>
              <w:adjustRightInd w:val="0"/>
              <w:snapToGrid w:val="0"/>
              <w:spacing w:line="360" w:lineRule="auto"/>
              <w:ind w:firstLine="420" w:firstLineChars="200"/>
            </w:pPr>
            <w:r>
              <w:t>基础采用0.5m粘土铺设，并采用机械压实，粘土上铺设0.3m厚防腐混凝土层。</w:t>
            </w:r>
          </w:p>
          <w:p>
            <w:pPr>
              <w:pStyle w:val="13"/>
              <w:adjustRightInd w:val="0"/>
              <w:snapToGrid w:val="0"/>
              <w:spacing w:line="360" w:lineRule="auto"/>
              <w:ind w:firstLine="420" w:firstLineChars="200"/>
            </w:pPr>
            <w:r>
              <w:rPr>
                <w:rFonts w:hint="eastAsia" w:ascii="宋体" w:hAnsi="宋体" w:cs="宋体"/>
              </w:rPr>
              <w:t>②</w:t>
            </w:r>
            <w:r>
              <w:t>对一般防渗区采取的防渗措施</w:t>
            </w:r>
          </w:p>
          <w:p>
            <w:pPr>
              <w:adjustRightInd w:val="0"/>
              <w:snapToGrid w:val="0"/>
              <w:spacing w:line="360" w:lineRule="auto"/>
              <w:ind w:firstLine="200"/>
            </w:pPr>
            <w:r>
              <w:t>对基础采用机械进行压死处理，基础上铺设0.3m厚混凝土层，对场地进行硬化处理。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pPr>
            <w:r>
              <w:rPr>
                <w:lang w:bidi="ar"/>
              </w:rPr>
              <w:t>生态保护措施</w:t>
            </w:r>
          </w:p>
        </w:tc>
        <w:tc>
          <w:tcPr>
            <w:tcW w:w="7121"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jc w:val="center"/>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679" w:type="dxa"/>
            <w:tcBorders>
              <w:top w:val="single" w:color="auto" w:sz="4" w:space="0"/>
              <w:left w:val="single" w:color="auto" w:sz="8" w:space="0"/>
              <w:bottom w:val="single" w:color="auto" w:sz="4" w:space="0"/>
              <w:right w:val="single" w:color="auto" w:sz="4" w:space="0"/>
            </w:tcBorders>
            <w:shd w:val="clear" w:color="auto" w:fill="auto"/>
            <w:vAlign w:val="center"/>
          </w:tcPr>
          <w:p>
            <w:pPr>
              <w:adjustRightInd w:val="0"/>
              <w:snapToGrid w:val="0"/>
              <w:jc w:val="center"/>
              <w:rPr>
                <w:spacing w:val="-8"/>
              </w:rPr>
            </w:pPr>
            <w:r>
              <w:rPr>
                <w:spacing w:val="-8"/>
                <w:lang w:bidi="ar"/>
              </w:rPr>
              <w:t>环境风险</w:t>
            </w:r>
          </w:p>
          <w:p>
            <w:pPr>
              <w:adjustRightInd w:val="0"/>
              <w:snapToGrid w:val="0"/>
              <w:jc w:val="center"/>
              <w:rPr>
                <w:spacing w:val="-8"/>
              </w:rPr>
            </w:pPr>
            <w:r>
              <w:rPr>
                <w:spacing w:val="-8"/>
                <w:lang w:bidi="ar"/>
              </w:rPr>
              <w:t>防范措施</w:t>
            </w:r>
          </w:p>
        </w:tc>
        <w:tc>
          <w:tcPr>
            <w:tcW w:w="7121" w:type="dxa"/>
            <w:gridSpan w:val="4"/>
            <w:tcBorders>
              <w:top w:val="single" w:color="auto" w:sz="4" w:space="0"/>
              <w:left w:val="single" w:color="auto" w:sz="4" w:space="0"/>
              <w:bottom w:val="single" w:color="auto" w:sz="4" w:space="0"/>
              <w:right w:val="single" w:color="auto" w:sz="8" w:space="0"/>
            </w:tcBorders>
            <w:shd w:val="clear" w:color="auto" w:fill="auto"/>
            <w:vAlign w:val="center"/>
          </w:tcPr>
          <w:p>
            <w:pPr>
              <w:adjustRightInd w:val="0"/>
              <w:snapToGrid w:val="0"/>
              <w:spacing w:line="360" w:lineRule="auto"/>
              <w:ind w:firstLine="420" w:firstLineChars="200"/>
              <w:rPr>
                <w:bCs/>
              </w:rPr>
            </w:pPr>
            <w:r>
              <w:rPr>
                <w:rFonts w:hint="eastAsia" w:ascii="宋体" w:hAnsi="宋体" w:cs="宋体"/>
                <w:bCs/>
              </w:rPr>
              <w:t>①</w:t>
            </w:r>
            <w:r>
              <w:rPr>
                <w:bCs/>
              </w:rPr>
              <w:t>平面布置：拟建项目生活区与生产设备沥青搅拌站、堆料场等区域分开布置，确保各个建构筑物能够满足安全防护的要求；</w:t>
            </w:r>
          </w:p>
          <w:p>
            <w:pPr>
              <w:adjustRightInd w:val="0"/>
              <w:snapToGrid w:val="0"/>
              <w:spacing w:line="360" w:lineRule="auto"/>
              <w:ind w:firstLine="420" w:firstLineChars="200"/>
              <w:rPr>
                <w:bCs/>
              </w:rPr>
            </w:pPr>
            <w:r>
              <w:rPr>
                <w:rFonts w:hint="eastAsia" w:ascii="宋体" w:hAnsi="宋体" w:cs="宋体"/>
                <w:bCs/>
              </w:rPr>
              <w:t>②</w:t>
            </w:r>
            <w:r>
              <w:rPr>
                <w:bCs/>
              </w:rPr>
              <w:t>工艺设备：工艺设备、运输设施及工艺系统选用高质、高效可靠性的产品。厂区内防爆区电气设备、器材的选型、设计安装及维护均需符合《爆炸火灾危电力装置设计规范》（GB50058-82）和《漏电保护器安装与运行》（GB13955-92）的规定；</w:t>
            </w:r>
          </w:p>
          <w:p>
            <w:pPr>
              <w:adjustRightInd w:val="0"/>
              <w:snapToGrid w:val="0"/>
              <w:spacing w:line="360" w:lineRule="auto"/>
              <w:ind w:firstLine="420" w:firstLineChars="200"/>
              <w:rPr>
                <w:bCs/>
              </w:rPr>
            </w:pPr>
            <w:r>
              <w:rPr>
                <w:rFonts w:hint="eastAsia" w:ascii="宋体" w:hAnsi="宋体" w:cs="宋体"/>
                <w:bCs/>
              </w:rPr>
              <w:t>③</w:t>
            </w:r>
            <w:r>
              <w:rPr>
                <w:bCs/>
              </w:rPr>
              <w:t>消防安全：建设单位应严格按照消防部门要求完善项目消防手续，落实消防措施。</w:t>
            </w:r>
          </w:p>
          <w:p>
            <w:pPr>
              <w:adjustRightInd w:val="0"/>
              <w:snapToGrid w:val="0"/>
              <w:spacing w:line="360" w:lineRule="auto"/>
              <w:ind w:firstLine="420" w:firstLineChars="200"/>
              <w:rPr>
                <w:bCs/>
              </w:rPr>
            </w:pPr>
            <w:r>
              <w:rPr>
                <w:bCs/>
              </w:rPr>
              <w:t>1）按有关规范设计设置有效的消防系统，做到以防为主，严格控制操作区内的明火，严禁吸烟和带入火柴和打火机等火种，设置“严禁烟火”、“严禁吸烟”等警告牌，避免火灾事故的发生；</w:t>
            </w:r>
          </w:p>
          <w:p>
            <w:pPr>
              <w:adjustRightInd w:val="0"/>
              <w:snapToGrid w:val="0"/>
              <w:spacing w:line="360" w:lineRule="auto"/>
              <w:ind w:firstLine="420" w:firstLineChars="200"/>
              <w:rPr>
                <w:bCs/>
              </w:rPr>
            </w:pPr>
            <w:r>
              <w:rPr>
                <w:bCs/>
              </w:rPr>
              <w:t>2）在厂区设置干粉灭火器、消防栓、消防水带、消防水枪等应急设施和装备，环境风险源、应急处置措施均设置标志牌，定期对应急设施进行排查并保存记录；</w:t>
            </w:r>
          </w:p>
          <w:p>
            <w:pPr>
              <w:adjustRightInd w:val="0"/>
              <w:snapToGrid w:val="0"/>
              <w:spacing w:line="360" w:lineRule="auto"/>
              <w:ind w:firstLine="420" w:firstLineChars="200"/>
              <w:rPr>
                <w:bCs/>
              </w:rPr>
            </w:pPr>
            <w:r>
              <w:rPr>
                <w:rFonts w:hint="eastAsia" w:ascii="宋体" w:hAnsi="宋体" w:cs="宋体"/>
                <w:bCs/>
              </w:rPr>
              <w:t>④</w:t>
            </w:r>
            <w:r>
              <w:rPr>
                <w:bCs/>
              </w:rPr>
              <w:t>油类和沥青防范措施：</w:t>
            </w:r>
          </w:p>
          <w:p>
            <w:pPr>
              <w:adjustRightInd w:val="0"/>
              <w:snapToGrid w:val="0"/>
              <w:spacing w:line="360" w:lineRule="auto"/>
              <w:ind w:firstLine="420" w:firstLineChars="200"/>
              <w:rPr>
                <w:bCs/>
              </w:rPr>
            </w:pPr>
            <w:r>
              <w:rPr>
                <w:bCs/>
              </w:rPr>
              <w:t>1）在可能发生油品泄漏积聚的场所，设置可燃气体报警装置；油罐安装液位报警器，减少管线接口，油罐的进出口管道采用金属软管连接等；</w:t>
            </w:r>
          </w:p>
          <w:p>
            <w:pPr>
              <w:adjustRightInd w:val="0"/>
              <w:snapToGrid w:val="0"/>
              <w:spacing w:line="360" w:lineRule="auto"/>
              <w:ind w:firstLine="420" w:firstLineChars="200"/>
              <w:rPr>
                <w:bCs/>
              </w:rPr>
            </w:pPr>
            <w:r>
              <w:rPr>
                <w:bCs/>
              </w:rPr>
              <w:t>2）运行过程对导热油、</w:t>
            </w:r>
            <w:r>
              <w:rPr>
                <w:rFonts w:hint="eastAsia"/>
                <w:bCs/>
              </w:rPr>
              <w:t>柴</w:t>
            </w:r>
            <w:r>
              <w:rPr>
                <w:bCs/>
              </w:rPr>
              <w:t>油、沥青密闭管路进行定期检查，油类管路设置紧急切断转换电动阀门，一旦发生泄漏后及时紧急关闭，以减少导热油、</w:t>
            </w:r>
            <w:r>
              <w:rPr>
                <w:rFonts w:hint="eastAsia"/>
                <w:bCs/>
              </w:rPr>
              <w:t>柴</w:t>
            </w:r>
            <w:r>
              <w:rPr>
                <w:bCs/>
              </w:rPr>
              <w:t>油泄漏量；</w:t>
            </w:r>
          </w:p>
          <w:p>
            <w:pPr>
              <w:adjustRightInd w:val="0"/>
              <w:snapToGrid w:val="0"/>
              <w:spacing w:line="360" w:lineRule="auto"/>
              <w:ind w:firstLine="420" w:firstLineChars="200"/>
              <w:rPr>
                <w:bCs/>
              </w:rPr>
            </w:pPr>
            <w:r>
              <w:rPr>
                <w:bCs/>
              </w:rPr>
              <w:t>3）拟建项目按最不利事件泄露情况下设置事故围堰，事故围堰容积应不小于发生泄漏事故情况下最大的泄漏容积。按分区防控的原则，要求在沥青储罐以泄油池区域基础采取防渗混凝土处理，并在沥青罐设置事故围堰。</w:t>
            </w:r>
          </w:p>
          <w:p>
            <w:pPr>
              <w:adjustRightInd w:val="0"/>
              <w:snapToGrid w:val="0"/>
              <w:spacing w:line="360" w:lineRule="auto"/>
              <w:ind w:firstLine="420" w:firstLineChars="200"/>
              <w:rPr>
                <w:bCs/>
              </w:rPr>
            </w:pPr>
            <w:r>
              <w:rPr>
                <w:bCs/>
              </w:rPr>
              <w:t>同时，要求事故围堰的底部、四周按相关要求进行防腐、防渗漏处理，事故围堰应设置事故状态溢流管道连接沥青罐区事故围堰；一旦发生溢出与渗漏事故，油类物质或者沥青将控制在事故围堰内，发生火灾或者爆炸事故时产生消防废水可围截在事故围堰内，将污染控制在厂区范围内，可有效防控泄露物质进入或者污染周边环境。事故状态下产生的消防废水以及事故废水，应交由具备处理资质单位进行处置，禁止直接排放环境。</w:t>
            </w:r>
          </w:p>
          <w:p>
            <w:pPr>
              <w:adjustRightInd w:val="0"/>
              <w:snapToGrid w:val="0"/>
              <w:spacing w:line="360" w:lineRule="auto"/>
              <w:ind w:firstLine="420" w:firstLineChars="200"/>
              <w:rPr>
                <w:bCs/>
              </w:rPr>
            </w:pPr>
            <w:r>
              <w:rPr>
                <w:bCs/>
              </w:rPr>
              <w:t>4）定期检测导热油的粘度、闪点、酸值和残炭等四项指标，当其中有两项指标超过规定限值（残炭不大于 1.5%，酸值不大于 0.5mgKOH/g、闪点变化率不大于 20%，粘度变化率不大于 15%）时，应考虑添加部分新油或全部换油；</w:t>
            </w:r>
          </w:p>
          <w:p>
            <w:pPr>
              <w:adjustRightInd w:val="0"/>
              <w:snapToGrid w:val="0"/>
              <w:spacing w:line="360" w:lineRule="auto"/>
              <w:ind w:firstLine="420" w:firstLineChars="200"/>
              <w:rPr>
                <w:bCs/>
              </w:rPr>
            </w:pPr>
            <w:r>
              <w:rPr>
                <w:bCs/>
              </w:rPr>
              <w:t>5）制定详细的安全生产计划，定期对企业安全、重点对油类系统进行全面检查，并设置安全管理人员，每天进行专门的安全检查；建立风险事故应急预案，应急预案应包括设立相应的应急指挥和组织机构、厂内应急计划、事故应急救援程序和措施、厂外应急协助计划和对外报警系统等内容；</w:t>
            </w:r>
          </w:p>
          <w:p>
            <w:pPr>
              <w:adjustRightInd w:val="0"/>
              <w:snapToGrid w:val="0"/>
              <w:spacing w:line="360" w:lineRule="auto"/>
              <w:ind w:firstLine="420" w:firstLineChars="200"/>
              <w:rPr>
                <w:bCs/>
              </w:rPr>
            </w:pPr>
            <w:r>
              <w:rPr>
                <w:bCs/>
              </w:rPr>
              <w:t>6）安全管理：各类事故及非正常生产情况的发生大多数与操作管理不当有直接关系，因此，必须建立健全的一整套严格的管理制度。加强储罐与管道系统的管理与维修，使整个储存系统处于密闭化，严格防止跑、冒、漏和滴现象发生；把每个工作人员在业务上、工作上与消防安全管理上的职责、责任明确起来；对各机电装置、安全设施、消防器材、管道阀门等，进行各种日常的、定期的、专业的防火安全检查，并将发现的问题落实到人，限期落实整改；建立夜间值班巡查制度，火险报告制度、安全奖惩制度等。</w:t>
            </w:r>
          </w:p>
          <w:p>
            <w:pPr>
              <w:adjustRightInd w:val="0"/>
              <w:snapToGrid w:val="0"/>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679" w:type="dxa"/>
            <w:tcBorders>
              <w:top w:val="single" w:color="auto" w:sz="4" w:space="0"/>
              <w:left w:val="single" w:color="auto" w:sz="8" w:space="0"/>
              <w:bottom w:val="single" w:color="auto" w:sz="8" w:space="0"/>
              <w:right w:val="single" w:color="auto" w:sz="4" w:space="0"/>
            </w:tcBorders>
            <w:shd w:val="clear" w:color="auto" w:fill="auto"/>
            <w:vAlign w:val="center"/>
          </w:tcPr>
          <w:p>
            <w:pPr>
              <w:adjustRightInd w:val="0"/>
              <w:snapToGrid w:val="0"/>
              <w:jc w:val="center"/>
              <w:rPr>
                <w:spacing w:val="-8"/>
              </w:rPr>
            </w:pPr>
            <w:r>
              <w:rPr>
                <w:spacing w:val="-8"/>
                <w:lang w:bidi="ar"/>
              </w:rPr>
              <w:t>其他环境</w:t>
            </w:r>
          </w:p>
          <w:p>
            <w:pPr>
              <w:adjustRightInd w:val="0"/>
              <w:snapToGrid w:val="0"/>
              <w:jc w:val="center"/>
              <w:rPr>
                <w:spacing w:val="-8"/>
              </w:rPr>
            </w:pPr>
            <w:r>
              <w:rPr>
                <w:spacing w:val="-8"/>
                <w:lang w:bidi="ar"/>
              </w:rPr>
              <w:t>管理要求</w:t>
            </w:r>
          </w:p>
        </w:tc>
        <w:tc>
          <w:tcPr>
            <w:tcW w:w="7121" w:type="dxa"/>
            <w:gridSpan w:val="4"/>
            <w:tcBorders>
              <w:top w:val="single" w:color="auto" w:sz="4" w:space="0"/>
              <w:left w:val="single" w:color="auto" w:sz="4" w:space="0"/>
              <w:bottom w:val="single" w:color="auto" w:sz="8" w:space="0"/>
              <w:right w:val="single" w:color="auto" w:sz="8" w:space="0"/>
            </w:tcBorders>
            <w:shd w:val="clear" w:color="auto" w:fill="auto"/>
            <w:vAlign w:val="center"/>
          </w:tcPr>
          <w:p>
            <w:pPr>
              <w:adjustRightInd w:val="0"/>
              <w:snapToGrid w:val="0"/>
            </w:pPr>
            <w:r>
              <w:t>/</w:t>
            </w:r>
          </w:p>
        </w:tc>
      </w:tr>
    </w:tbl>
    <w:p>
      <w:pPr>
        <w:pStyle w:val="8"/>
        <w:jc w:val="center"/>
        <w:outlineLvl w:val="0"/>
        <w:rPr>
          <w:rFonts w:hint="default" w:ascii="黑体" w:eastAsia="黑体" w:cs="黑体"/>
          <w:sz w:val="30"/>
          <w:szCs w:val="30"/>
        </w:rPr>
      </w:pPr>
      <w:r>
        <w:rPr>
          <w:snapToGrid w:val="0"/>
          <w:lang w:bidi="ar"/>
        </w:rPr>
        <w:br w:type="page"/>
      </w:r>
      <w:r>
        <w:rPr>
          <w:rFonts w:ascii="黑体" w:eastAsia="黑体" w:cs="黑体"/>
          <w:snapToGrid w:val="0"/>
          <w:sz w:val="30"/>
          <w:szCs w:val="30"/>
        </w:rPr>
        <w:t>六、结论</w:t>
      </w:r>
    </w:p>
    <w:tbl>
      <w:tblPr>
        <w:tblStyle w:val="1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cBorders>
            <w:shd w:val="clear" w:color="auto" w:fill="auto"/>
          </w:tcPr>
          <w:p>
            <w:pPr>
              <w:adjustRightInd w:val="0"/>
              <w:snapToGrid w:val="0"/>
              <w:spacing w:line="360" w:lineRule="auto"/>
              <w:ind w:firstLine="420" w:firstLineChars="200"/>
            </w:pPr>
          </w:p>
          <w:p>
            <w:pPr>
              <w:adjustRightInd w:val="0"/>
              <w:snapToGrid w:val="0"/>
              <w:spacing w:line="360" w:lineRule="auto"/>
              <w:ind w:firstLine="420" w:firstLineChars="200"/>
            </w:pPr>
            <w:r>
              <w:t>本项目建设符合国家相关产业政策、环保政策要求。项目所在区域无重大环境制约要素</w:t>
            </w:r>
            <w:r>
              <w:rPr>
                <w:rFonts w:hint="eastAsia"/>
              </w:rPr>
              <w:t>，</w:t>
            </w:r>
            <w:r>
              <w:t>环境质量现状较好。建设单位在运营过程中充分落实本环评提出的各项污染防治</w:t>
            </w:r>
            <w:r>
              <w:rPr>
                <w:rFonts w:hint="eastAsia"/>
              </w:rPr>
              <w:t>措施</w:t>
            </w:r>
            <w:r>
              <w:t>后，各污染物可实现达标排放，对环境的影响较小，对区域环境不会造成明显不利影响。因此，评价认为从环保角度本项目建设可行。</w:t>
            </w:r>
          </w:p>
        </w:tc>
      </w:tr>
    </w:tbl>
    <w:p>
      <w:pPr>
        <w:rPr>
          <w:rFonts w:ascii="宋体"/>
          <w:lang w:bidi="ar"/>
        </w:rPr>
        <w:sectPr>
          <w:pgSz w:w="11906" w:h="16838"/>
          <w:pgMar w:top="1702" w:right="1531" w:bottom="1702" w:left="1531" w:header="851" w:footer="851" w:gutter="0"/>
          <w:cols w:space="425" w:num="1"/>
          <w:docGrid w:type="lines" w:linePitch="312" w:charSpace="0"/>
        </w:sectPr>
      </w:pPr>
    </w:p>
    <w:p>
      <w:pPr>
        <w:pStyle w:val="8"/>
        <w:adjustRightInd w:val="0"/>
        <w:snapToGrid w:val="0"/>
        <w:spacing w:beforeAutospacing="0" w:afterAutospacing="0" w:line="360" w:lineRule="auto"/>
        <w:jc w:val="center"/>
        <w:rPr>
          <w:rFonts w:hint="default" w:ascii="Times New Roman" w:hAnsi="Times New Roman"/>
          <w:b/>
          <w:bCs/>
          <w:snapToGrid w:val="0"/>
          <w:szCs w:val="24"/>
        </w:rPr>
      </w:pPr>
      <w:r>
        <w:rPr>
          <w:rFonts w:ascii="Times New Roman" w:hAnsi="Times New Roman"/>
          <w:b/>
          <w:bCs/>
          <w:snapToGrid w:val="0"/>
          <w:szCs w:val="24"/>
        </w:rPr>
        <w:t>大气专项评价</w:t>
      </w:r>
    </w:p>
    <w:p>
      <w:pPr>
        <w:adjustRightInd w:val="0"/>
        <w:snapToGrid w:val="0"/>
        <w:spacing w:line="360" w:lineRule="auto"/>
        <w:ind w:firstLine="420" w:firstLineChars="200"/>
        <w:rPr>
          <w:bCs/>
        </w:rPr>
      </w:pPr>
      <w:r>
        <w:rPr>
          <w:bCs/>
        </w:rPr>
        <w:t>1、废气产排情况</w:t>
      </w:r>
    </w:p>
    <w:p>
      <w:pPr>
        <w:adjustRightInd w:val="0"/>
        <w:snapToGrid w:val="0"/>
        <w:spacing w:line="360" w:lineRule="auto"/>
        <w:ind w:firstLine="420" w:firstLineChars="200"/>
        <w:rPr>
          <w:bCs/>
        </w:rPr>
      </w:pPr>
      <w:r>
        <w:rPr>
          <w:rFonts w:hint="eastAsia" w:ascii="宋体" w:hAnsi="宋体"/>
          <w:bCs/>
        </w:rPr>
        <w:t>①</w:t>
      </w:r>
      <w:r>
        <w:rPr>
          <w:rFonts w:ascii="宋体" w:hAnsi="宋体"/>
          <w:bCs/>
        </w:rPr>
        <w:t>导热油炉烟气</w:t>
      </w:r>
    </w:p>
    <w:p>
      <w:pPr>
        <w:adjustRightInd w:val="0"/>
        <w:snapToGrid w:val="0"/>
        <w:spacing w:line="360" w:lineRule="auto"/>
        <w:ind w:firstLine="420" w:firstLineChars="200"/>
        <w:rPr>
          <w:bCs/>
        </w:rPr>
      </w:pPr>
      <w:r>
        <w:rPr>
          <w:rFonts w:ascii="宋体" w:hAnsi="宋体"/>
          <w:bCs/>
        </w:rPr>
        <w:t>本项目在生产过程中安装</w:t>
      </w:r>
      <w:r>
        <w:rPr>
          <w:bCs/>
        </w:rPr>
        <w:t>1</w:t>
      </w:r>
      <w:r>
        <w:rPr>
          <w:rFonts w:ascii="宋体" w:hAnsi="宋体"/>
          <w:bCs/>
        </w:rPr>
        <w:t>台导热油炉对沥青</w:t>
      </w:r>
      <w:r>
        <w:rPr>
          <w:rFonts w:hint="eastAsia" w:ascii="宋体" w:hAnsi="宋体"/>
          <w:bCs/>
        </w:rPr>
        <w:t>进行</w:t>
      </w:r>
      <w:r>
        <w:rPr>
          <w:rFonts w:ascii="宋体" w:hAnsi="宋体"/>
          <w:bCs/>
        </w:rPr>
        <w:t>加热，导热油炉以</w:t>
      </w:r>
      <w:r>
        <w:rPr>
          <w:rFonts w:hint="eastAsia" w:ascii="宋体" w:hAnsi="宋体"/>
          <w:bCs/>
        </w:rPr>
        <w:t>柴</w:t>
      </w:r>
      <w:r>
        <w:rPr>
          <w:rFonts w:ascii="宋体" w:hAnsi="宋体"/>
          <w:bCs/>
        </w:rPr>
        <w:t>油为燃料，年燃</w:t>
      </w:r>
      <w:r>
        <w:rPr>
          <w:rFonts w:hint="eastAsia" w:ascii="宋体" w:hAnsi="宋体"/>
          <w:bCs/>
        </w:rPr>
        <w:t>柴</w:t>
      </w:r>
      <w:r>
        <w:rPr>
          <w:rFonts w:ascii="宋体" w:hAnsi="宋体"/>
          <w:bCs/>
        </w:rPr>
        <w:t>油量</w:t>
      </w:r>
      <w:r>
        <w:rPr>
          <w:bCs/>
        </w:rPr>
        <w:t>15t</w:t>
      </w:r>
      <w:r>
        <w:rPr>
          <w:rFonts w:ascii="宋体" w:hAnsi="宋体"/>
          <w:bCs/>
        </w:rPr>
        <w:t>，</w:t>
      </w:r>
      <w:r>
        <w:rPr>
          <w:rFonts w:hint="eastAsia" w:ascii="宋体" w:hAnsi="宋体"/>
          <w:bCs/>
        </w:rPr>
        <w:t>含硫率</w:t>
      </w:r>
      <w:r>
        <w:rPr>
          <w:rFonts w:hint="eastAsia"/>
          <w:bCs/>
        </w:rPr>
        <w:t>0</w:t>
      </w:r>
      <w:r>
        <w:rPr>
          <w:bCs/>
        </w:rPr>
        <w:t>.15</w:t>
      </w:r>
      <w:r>
        <w:rPr>
          <w:rFonts w:hint="eastAsia"/>
          <w:bCs/>
        </w:rPr>
        <w:t>%</w:t>
      </w:r>
      <w:r>
        <w:rPr>
          <w:rFonts w:hint="eastAsia" w:ascii="宋体" w:hAnsi="宋体"/>
          <w:bCs/>
        </w:rPr>
        <w:t>；</w:t>
      </w:r>
      <w:r>
        <w:rPr>
          <w:rFonts w:ascii="宋体" w:hAnsi="宋体"/>
          <w:bCs/>
        </w:rPr>
        <w:t>以导热油为传热导体，导热油循环使用，不排放</w:t>
      </w:r>
      <w:r>
        <w:rPr>
          <w:rFonts w:hint="eastAsia" w:ascii="宋体" w:hAnsi="宋体"/>
          <w:bCs/>
        </w:rPr>
        <w:t>。</w:t>
      </w:r>
      <w:r>
        <w:rPr>
          <w:rFonts w:ascii="宋体" w:hAnsi="宋体"/>
          <w:bCs/>
        </w:rPr>
        <w:t>导热油炉烟气中主要污染物为烟尘、</w:t>
      </w:r>
      <w:r>
        <w:rPr>
          <w:bCs/>
        </w:rPr>
        <w:t>SO</w:t>
      </w:r>
      <w:r>
        <w:rPr>
          <w:bCs/>
          <w:vertAlign w:val="subscript"/>
        </w:rPr>
        <w:t>2</w:t>
      </w:r>
      <w:r>
        <w:rPr>
          <w:rFonts w:ascii="宋体" w:hAnsi="宋体"/>
          <w:bCs/>
        </w:rPr>
        <w:t>和</w:t>
      </w:r>
      <w:r>
        <w:rPr>
          <w:bCs/>
        </w:rPr>
        <w:t>NO</w:t>
      </w:r>
      <w:r>
        <w:rPr>
          <w:bCs/>
          <w:vertAlign w:val="subscript"/>
        </w:rPr>
        <w:t>x</w:t>
      </w:r>
      <w:r>
        <w:rPr>
          <w:rFonts w:hint="eastAsia" w:ascii="宋体" w:hAnsi="宋体"/>
          <w:bCs/>
        </w:rPr>
        <w:t>，烟气由布袋除尘器处理后，尾气经</w:t>
      </w:r>
      <w:r>
        <w:rPr>
          <w:rFonts w:hint="eastAsia"/>
          <w:bCs/>
        </w:rPr>
        <w:t>1</w:t>
      </w:r>
      <w:r>
        <w:rPr>
          <w:bCs/>
        </w:rPr>
        <w:t>5m</w:t>
      </w:r>
      <w:r>
        <w:rPr>
          <w:rFonts w:hint="eastAsia" w:ascii="宋体" w:hAnsi="宋体"/>
          <w:bCs/>
        </w:rPr>
        <w:t>高排气筒排放。</w:t>
      </w:r>
    </w:p>
    <w:p>
      <w:pPr>
        <w:adjustRightInd w:val="0"/>
        <w:snapToGrid w:val="0"/>
        <w:spacing w:line="360" w:lineRule="auto"/>
        <w:ind w:firstLine="420" w:firstLineChars="200"/>
        <w:rPr>
          <w:bCs/>
        </w:rPr>
      </w:pPr>
      <w:r>
        <w:rPr>
          <w:rFonts w:hint="eastAsia" w:ascii="宋体" w:hAnsi="宋体"/>
          <w:bCs/>
        </w:rPr>
        <w:t>根据</w:t>
      </w:r>
      <w:r>
        <w:rPr>
          <w:rFonts w:ascii="宋体" w:hAnsi="宋体"/>
          <w:bCs/>
        </w:rPr>
        <w:t>《第二次全国污染源普查产排污核算系数手册（试用版）》中</w:t>
      </w:r>
      <w:r>
        <w:rPr>
          <w:rFonts w:hint="eastAsia" w:ascii="宋体" w:hAnsi="宋体"/>
          <w:bCs/>
        </w:rPr>
        <w:t>“</w:t>
      </w:r>
      <w:r>
        <w:rPr>
          <w:rFonts w:hint="eastAsia"/>
          <w:bCs/>
        </w:rPr>
        <w:t>4</w:t>
      </w:r>
      <w:r>
        <w:rPr>
          <w:bCs/>
        </w:rPr>
        <w:t xml:space="preserve">430 </w:t>
      </w:r>
      <w:r>
        <w:rPr>
          <w:rFonts w:hint="eastAsia" w:ascii="宋体" w:hAnsi="宋体"/>
          <w:bCs/>
        </w:rPr>
        <w:t>工业锅炉（热力供应）行业系数手册”</w:t>
      </w:r>
      <w:r>
        <w:rPr>
          <w:bCs/>
        </w:rPr>
        <w:t>—</w:t>
      </w:r>
      <w:r>
        <w:rPr>
          <w:rFonts w:hint="eastAsia" w:ascii="宋体" w:hAnsi="宋体"/>
          <w:bCs/>
        </w:rPr>
        <w:t>燃油工业锅炉产污系数详见下表。</w:t>
      </w:r>
    </w:p>
    <w:p>
      <w:pPr>
        <w:adjustRightInd w:val="0"/>
        <w:snapToGrid w:val="0"/>
        <w:spacing w:line="360" w:lineRule="auto"/>
        <w:jc w:val="center"/>
        <w:rPr>
          <w:bCs/>
        </w:rPr>
      </w:pPr>
      <w:r>
        <w:rPr>
          <w:rFonts w:hint="eastAsia" w:ascii="宋体" w:hAnsi="宋体"/>
          <w:bCs/>
        </w:rPr>
        <w:t>表</w:t>
      </w:r>
      <w:r>
        <w:rPr>
          <w:rFonts w:hint="eastAsia"/>
          <w:bCs/>
        </w:rPr>
        <w:t>1</w:t>
      </w:r>
      <w:r>
        <w:rPr>
          <w:bCs/>
        </w:rPr>
        <w:t xml:space="preserve">  </w:t>
      </w:r>
      <w:r>
        <w:rPr>
          <w:rFonts w:hint="eastAsia" w:ascii="宋体" w:hAnsi="宋体"/>
          <w:bCs/>
        </w:rPr>
        <w:t>燃油工业锅炉产污系数表</w:t>
      </w:r>
    </w:p>
    <w:tbl>
      <w:tblPr>
        <w:tblStyle w:val="10"/>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978"/>
        <w:gridCol w:w="1228"/>
        <w:gridCol w:w="1200"/>
        <w:gridCol w:w="983"/>
        <w:gridCol w:w="1954"/>
        <w:gridCol w:w="1185"/>
        <w:gridCol w:w="97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575"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原料名称</w:t>
            </w:r>
          </w:p>
        </w:tc>
        <w:tc>
          <w:tcPr>
            <w:tcW w:w="722"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污染物指标</w:t>
            </w:r>
          </w:p>
        </w:tc>
        <w:tc>
          <w:tcPr>
            <w:tcW w:w="706"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单位</w:t>
            </w:r>
          </w:p>
        </w:tc>
        <w:tc>
          <w:tcPr>
            <w:tcW w:w="578"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产污系数</w:t>
            </w:r>
          </w:p>
        </w:tc>
        <w:tc>
          <w:tcPr>
            <w:tcW w:w="1149"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末端治理技术名称</w:t>
            </w:r>
          </w:p>
        </w:tc>
        <w:tc>
          <w:tcPr>
            <w:tcW w:w="697" w:type="pct"/>
            <w:tcBorders>
              <w:top w:val="single" w:color="000000" w:sz="12"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去除效率%</w:t>
            </w:r>
          </w:p>
        </w:tc>
        <w:tc>
          <w:tcPr>
            <w:tcW w:w="574" w:type="pct"/>
            <w:tcBorders>
              <w:top w:val="single" w:color="000000" w:sz="12" w:space="0"/>
              <w:left w:val="nil"/>
              <w:bottom w:val="single" w:color="000000" w:sz="4" w:space="0"/>
              <w:right w:val="nil"/>
            </w:tcBorders>
            <w:vAlign w:val="center"/>
          </w:tcPr>
          <w:p>
            <w:pPr>
              <w:pStyle w:val="24"/>
              <w:snapToGrid w:val="0"/>
              <w:spacing w:line="240" w:lineRule="auto"/>
              <w:ind w:firstLine="0"/>
              <w:jc w:val="center"/>
              <w:rPr>
                <w:bCs/>
                <w:sz w:val="18"/>
                <w:szCs w:val="18"/>
              </w:rPr>
            </w:pPr>
            <w:r>
              <w:rPr>
                <w:bCs/>
                <w:sz w:val="18"/>
                <w:szCs w:val="18"/>
              </w:rPr>
              <w:t>排污系数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575" w:type="pct"/>
            <w:vMerge w:val="restart"/>
            <w:tcBorders>
              <w:top w:val="single" w:color="000000" w:sz="12"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柴油</w:t>
            </w:r>
          </w:p>
        </w:tc>
        <w:tc>
          <w:tcPr>
            <w:tcW w:w="722"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工业废气量</w:t>
            </w:r>
          </w:p>
        </w:tc>
        <w:tc>
          <w:tcPr>
            <w:tcW w:w="706"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N</w:t>
            </w:r>
            <w:r>
              <w:rPr>
                <w:bCs/>
                <w:sz w:val="18"/>
                <w:szCs w:val="18"/>
              </w:rPr>
              <w:t>m</w:t>
            </w:r>
            <w:r>
              <w:rPr>
                <w:bCs/>
                <w:sz w:val="18"/>
                <w:szCs w:val="18"/>
                <w:vertAlign w:val="superscript"/>
              </w:rPr>
              <w:t>3</w:t>
            </w:r>
            <w:r>
              <w:rPr>
                <w:bCs/>
                <w:sz w:val="18"/>
                <w:szCs w:val="18"/>
              </w:rPr>
              <w:t xml:space="preserve">/t </w:t>
            </w:r>
            <w:r>
              <w:rPr>
                <w:rFonts w:hint="eastAsia"/>
                <w:bCs/>
                <w:sz w:val="18"/>
                <w:szCs w:val="18"/>
              </w:rPr>
              <w:t>原料</w:t>
            </w:r>
          </w:p>
        </w:tc>
        <w:tc>
          <w:tcPr>
            <w:tcW w:w="578"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7804</w:t>
            </w:r>
          </w:p>
        </w:tc>
        <w:tc>
          <w:tcPr>
            <w:tcW w:w="1149"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w:t>
            </w:r>
          </w:p>
        </w:tc>
        <w:tc>
          <w:tcPr>
            <w:tcW w:w="697" w:type="pct"/>
            <w:tcBorders>
              <w:top w:val="single" w:color="000000" w:sz="12"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0</w:t>
            </w:r>
          </w:p>
        </w:tc>
        <w:tc>
          <w:tcPr>
            <w:tcW w:w="574" w:type="pct"/>
            <w:tcBorders>
              <w:top w:val="single" w:color="000000" w:sz="12" w:space="0"/>
              <w:left w:val="nil"/>
              <w:bottom w:val="single" w:color="000000" w:sz="4" w:space="0"/>
              <w:right w:val="nil"/>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7804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575" w:type="pct"/>
            <w:vMerge w:val="continue"/>
            <w:tcBorders>
              <w:top w:val="single" w:color="000000" w:sz="12" w:space="0"/>
              <w:left w:val="nil"/>
              <w:bottom w:val="single" w:color="000000" w:sz="12" w:space="0"/>
              <w:right w:val="single" w:color="000000" w:sz="4" w:space="0"/>
            </w:tcBorders>
            <w:vAlign w:val="center"/>
          </w:tcPr>
          <w:p>
            <w:pPr>
              <w:widowControl/>
              <w:adjustRightInd w:val="0"/>
              <w:snapToGrid w:val="0"/>
              <w:jc w:val="center"/>
              <w:rPr>
                <w:bCs/>
                <w:kern w:val="24"/>
                <w:sz w:val="18"/>
                <w:szCs w:val="18"/>
              </w:rPr>
            </w:pPr>
          </w:p>
        </w:tc>
        <w:tc>
          <w:tcPr>
            <w:tcW w:w="722"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烟尘</w:t>
            </w:r>
          </w:p>
        </w:tc>
        <w:tc>
          <w:tcPr>
            <w:tcW w:w="706"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hint="eastAsia"/>
                <w:bCs/>
                <w:sz w:val="18"/>
                <w:szCs w:val="18"/>
              </w:rPr>
              <w:t>原料</w:t>
            </w:r>
          </w:p>
        </w:tc>
        <w:tc>
          <w:tcPr>
            <w:tcW w:w="578"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0</w:t>
            </w:r>
            <w:r>
              <w:rPr>
                <w:bCs/>
                <w:sz w:val="18"/>
                <w:szCs w:val="18"/>
              </w:rPr>
              <w:t>.26</w:t>
            </w:r>
          </w:p>
        </w:tc>
        <w:tc>
          <w:tcPr>
            <w:tcW w:w="1149"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布袋除尘器</w:t>
            </w:r>
          </w:p>
        </w:tc>
        <w:tc>
          <w:tcPr>
            <w:tcW w:w="697" w:type="pct"/>
            <w:tcBorders>
              <w:top w:val="single" w:color="000000" w:sz="4"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bCs/>
                <w:sz w:val="18"/>
                <w:szCs w:val="18"/>
              </w:rPr>
              <w:t>99</w:t>
            </w:r>
          </w:p>
        </w:tc>
        <w:tc>
          <w:tcPr>
            <w:tcW w:w="574"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Cs/>
                <w:sz w:val="18"/>
                <w:szCs w:val="18"/>
              </w:rPr>
            </w:pPr>
            <w:r>
              <w:rPr>
                <w:bCs/>
                <w:sz w:val="18"/>
                <w:szCs w:val="18"/>
              </w:rPr>
              <w:t>0.0026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575" w:type="pct"/>
            <w:vMerge w:val="continue"/>
            <w:tcBorders>
              <w:top w:val="single" w:color="000000" w:sz="12" w:space="0"/>
              <w:left w:val="nil"/>
              <w:bottom w:val="single" w:color="000000" w:sz="12" w:space="0"/>
              <w:right w:val="single" w:color="000000" w:sz="4" w:space="0"/>
            </w:tcBorders>
            <w:vAlign w:val="center"/>
          </w:tcPr>
          <w:p>
            <w:pPr>
              <w:widowControl/>
              <w:adjustRightInd w:val="0"/>
              <w:snapToGrid w:val="0"/>
              <w:jc w:val="center"/>
              <w:rPr>
                <w:bCs/>
                <w:kern w:val="24"/>
                <w:sz w:val="18"/>
                <w:szCs w:val="18"/>
              </w:rPr>
            </w:pPr>
          </w:p>
        </w:tc>
        <w:tc>
          <w:tcPr>
            <w:tcW w:w="722"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二氧化硫</w:t>
            </w:r>
          </w:p>
        </w:tc>
        <w:tc>
          <w:tcPr>
            <w:tcW w:w="706"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hint="eastAsia"/>
                <w:bCs/>
                <w:sz w:val="18"/>
                <w:szCs w:val="18"/>
              </w:rPr>
              <w:t>原料</w:t>
            </w:r>
          </w:p>
        </w:tc>
        <w:tc>
          <w:tcPr>
            <w:tcW w:w="578"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9S</w:t>
            </w:r>
          </w:p>
        </w:tc>
        <w:tc>
          <w:tcPr>
            <w:tcW w:w="1149"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w:t>
            </w:r>
          </w:p>
        </w:tc>
        <w:tc>
          <w:tcPr>
            <w:tcW w:w="697" w:type="pct"/>
            <w:tcBorders>
              <w:top w:val="single" w:color="000000" w:sz="4"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0</w:t>
            </w:r>
          </w:p>
        </w:tc>
        <w:tc>
          <w:tcPr>
            <w:tcW w:w="574"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9S</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575" w:type="pct"/>
            <w:vMerge w:val="continue"/>
            <w:tcBorders>
              <w:top w:val="single" w:color="000000" w:sz="12" w:space="0"/>
              <w:left w:val="nil"/>
              <w:bottom w:val="single" w:color="000000" w:sz="12" w:space="0"/>
              <w:right w:val="single" w:color="000000" w:sz="4" w:space="0"/>
            </w:tcBorders>
            <w:vAlign w:val="center"/>
          </w:tcPr>
          <w:p>
            <w:pPr>
              <w:widowControl/>
              <w:adjustRightInd w:val="0"/>
              <w:snapToGrid w:val="0"/>
              <w:jc w:val="center"/>
              <w:rPr>
                <w:bCs/>
                <w:kern w:val="24"/>
                <w:sz w:val="18"/>
                <w:szCs w:val="18"/>
              </w:rPr>
            </w:pPr>
          </w:p>
        </w:tc>
        <w:tc>
          <w:tcPr>
            <w:tcW w:w="722"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氮氧化物</w:t>
            </w:r>
          </w:p>
        </w:tc>
        <w:tc>
          <w:tcPr>
            <w:tcW w:w="706"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hint="eastAsia"/>
                <w:bCs/>
                <w:sz w:val="18"/>
                <w:szCs w:val="18"/>
              </w:rPr>
              <w:t>原料</w:t>
            </w:r>
          </w:p>
        </w:tc>
        <w:tc>
          <w:tcPr>
            <w:tcW w:w="578"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3</w:t>
            </w:r>
            <w:r>
              <w:rPr>
                <w:bCs/>
                <w:sz w:val="18"/>
                <w:szCs w:val="18"/>
              </w:rPr>
              <w:t>.03</w:t>
            </w:r>
          </w:p>
        </w:tc>
        <w:tc>
          <w:tcPr>
            <w:tcW w:w="1149"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w:t>
            </w:r>
          </w:p>
        </w:tc>
        <w:tc>
          <w:tcPr>
            <w:tcW w:w="697" w:type="pct"/>
            <w:tcBorders>
              <w:top w:val="single" w:color="000000" w:sz="4" w:space="0"/>
              <w:left w:val="nil"/>
              <w:bottom w:val="single" w:color="000000" w:sz="12"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0</w:t>
            </w:r>
          </w:p>
        </w:tc>
        <w:tc>
          <w:tcPr>
            <w:tcW w:w="574" w:type="pct"/>
            <w:tcBorders>
              <w:top w:val="single" w:color="000000" w:sz="4" w:space="0"/>
              <w:left w:val="nil"/>
              <w:bottom w:val="single" w:color="000000" w:sz="12" w:space="0"/>
              <w:right w:val="nil"/>
            </w:tcBorders>
            <w:vAlign w:val="center"/>
          </w:tcPr>
          <w:p>
            <w:pPr>
              <w:pStyle w:val="24"/>
              <w:snapToGrid w:val="0"/>
              <w:spacing w:line="240" w:lineRule="auto"/>
              <w:ind w:firstLine="0"/>
              <w:jc w:val="center"/>
              <w:rPr>
                <w:bCs/>
                <w:sz w:val="18"/>
                <w:szCs w:val="18"/>
              </w:rPr>
            </w:pPr>
            <w:r>
              <w:rPr>
                <w:rFonts w:hint="eastAsia"/>
                <w:bCs/>
                <w:sz w:val="18"/>
                <w:szCs w:val="18"/>
              </w:rPr>
              <w:t>3</w:t>
            </w:r>
            <w:r>
              <w:rPr>
                <w:bCs/>
                <w:sz w:val="18"/>
                <w:szCs w:val="18"/>
              </w:rPr>
              <w:t>.03</w:t>
            </w:r>
          </w:p>
        </w:tc>
      </w:tr>
    </w:tbl>
    <w:p>
      <w:pPr>
        <w:adjustRightInd w:val="0"/>
        <w:snapToGrid w:val="0"/>
        <w:spacing w:line="360" w:lineRule="auto"/>
        <w:ind w:firstLine="420" w:firstLineChars="200"/>
        <w:rPr>
          <w:bCs/>
        </w:rPr>
      </w:pPr>
      <w:r>
        <w:rPr>
          <w:rFonts w:hint="eastAsia" w:ascii="宋体" w:hAnsi="宋体"/>
          <w:bCs/>
        </w:rPr>
        <w:t>本项目</w:t>
      </w:r>
      <w:r>
        <w:rPr>
          <w:rFonts w:ascii="宋体" w:hAnsi="宋体"/>
          <w:bCs/>
        </w:rPr>
        <w:t>导热油炉烟气污染物产生及排放情况详见下表。</w:t>
      </w:r>
    </w:p>
    <w:p>
      <w:pPr>
        <w:adjustRightInd w:val="0"/>
        <w:snapToGrid w:val="0"/>
        <w:spacing w:line="360" w:lineRule="auto"/>
        <w:jc w:val="center"/>
        <w:rPr>
          <w:bCs/>
        </w:rPr>
      </w:pPr>
      <w:r>
        <w:rPr>
          <w:rFonts w:ascii="宋体" w:hAnsi="宋体"/>
          <w:bCs/>
        </w:rPr>
        <w:t>表</w:t>
      </w:r>
      <w:r>
        <w:rPr>
          <w:bCs/>
        </w:rPr>
        <w:t xml:space="preserve">2  </w:t>
      </w:r>
      <w:r>
        <w:rPr>
          <w:rFonts w:ascii="宋体" w:hAnsi="宋体"/>
          <w:bCs/>
        </w:rPr>
        <w:t>导热油炉烟气污染物产生及排放情况一览表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1"/>
        <w:gridCol w:w="988"/>
        <w:gridCol w:w="1111"/>
        <w:gridCol w:w="772"/>
        <w:gridCol w:w="1329"/>
        <w:gridCol w:w="961"/>
        <w:gridCol w:w="668"/>
        <w:gridCol w:w="1329"/>
        <w:gridCol w:w="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45" w:type="pct"/>
            <w:vAlign w:val="center"/>
          </w:tcPr>
          <w:p>
            <w:pPr>
              <w:adjustRightInd w:val="0"/>
              <w:snapToGrid w:val="0"/>
              <w:jc w:val="center"/>
              <w:rPr>
                <w:sz w:val="18"/>
                <w:szCs w:val="18"/>
              </w:rPr>
            </w:pPr>
            <w:r>
              <w:rPr>
                <w:sz w:val="18"/>
                <w:szCs w:val="18"/>
              </w:rPr>
              <w:t>污染源</w:t>
            </w:r>
          </w:p>
        </w:tc>
        <w:tc>
          <w:tcPr>
            <w:tcW w:w="567" w:type="pct"/>
            <w:vAlign w:val="center"/>
          </w:tcPr>
          <w:p>
            <w:pPr>
              <w:adjustRightInd w:val="0"/>
              <w:snapToGrid w:val="0"/>
              <w:jc w:val="center"/>
              <w:rPr>
                <w:sz w:val="18"/>
                <w:szCs w:val="18"/>
              </w:rPr>
            </w:pPr>
            <w:r>
              <w:rPr>
                <w:sz w:val="18"/>
                <w:szCs w:val="18"/>
              </w:rPr>
              <w:t>排气筒高（m</w:t>
            </w:r>
            <w:r>
              <w:rPr>
                <w:rFonts w:ascii="宋体" w:hAnsi="宋体"/>
                <w:sz w:val="18"/>
                <w:szCs w:val="18"/>
              </w:rPr>
              <w:t>）</w:t>
            </w:r>
          </w:p>
        </w:tc>
        <w:tc>
          <w:tcPr>
            <w:tcW w:w="637" w:type="pct"/>
            <w:vAlign w:val="center"/>
          </w:tcPr>
          <w:p>
            <w:pPr>
              <w:adjustRightInd w:val="0"/>
              <w:snapToGrid w:val="0"/>
              <w:jc w:val="center"/>
              <w:rPr>
                <w:sz w:val="18"/>
                <w:szCs w:val="18"/>
              </w:rPr>
            </w:pPr>
            <w:r>
              <w:rPr>
                <w:sz w:val="18"/>
                <w:szCs w:val="18"/>
              </w:rPr>
              <w:t>烟气量（m</w:t>
            </w:r>
            <w:r>
              <w:rPr>
                <w:sz w:val="18"/>
                <w:szCs w:val="18"/>
                <w:vertAlign w:val="superscript"/>
              </w:rPr>
              <w:t>3</w:t>
            </w:r>
            <w:r>
              <w:rPr>
                <w:sz w:val="18"/>
                <w:szCs w:val="18"/>
              </w:rPr>
              <w:t>/a</w:t>
            </w:r>
            <w:r>
              <w:rPr>
                <w:rFonts w:ascii="宋体" w:hAnsi="宋体"/>
                <w:sz w:val="18"/>
                <w:szCs w:val="18"/>
              </w:rPr>
              <w:t>）</w:t>
            </w:r>
          </w:p>
        </w:tc>
        <w:tc>
          <w:tcPr>
            <w:tcW w:w="443" w:type="pct"/>
            <w:vAlign w:val="center"/>
          </w:tcPr>
          <w:p>
            <w:pPr>
              <w:adjustRightInd w:val="0"/>
              <w:snapToGrid w:val="0"/>
              <w:jc w:val="center"/>
              <w:rPr>
                <w:sz w:val="18"/>
                <w:szCs w:val="18"/>
              </w:rPr>
            </w:pPr>
            <w:r>
              <w:rPr>
                <w:sz w:val="18"/>
                <w:szCs w:val="18"/>
              </w:rPr>
              <w:t>污染物名称</w:t>
            </w:r>
          </w:p>
        </w:tc>
        <w:tc>
          <w:tcPr>
            <w:tcW w:w="762" w:type="pct"/>
            <w:vAlign w:val="center"/>
          </w:tcPr>
          <w:p>
            <w:pPr>
              <w:adjustRightInd w:val="0"/>
              <w:snapToGrid w:val="0"/>
              <w:jc w:val="center"/>
              <w:rPr>
                <w:sz w:val="18"/>
                <w:szCs w:val="18"/>
              </w:rPr>
            </w:pPr>
            <w:r>
              <w:rPr>
                <w:sz w:val="18"/>
                <w:szCs w:val="18"/>
              </w:rPr>
              <w:t>产生浓度（mg/m</w:t>
            </w:r>
            <w:r>
              <w:rPr>
                <w:sz w:val="18"/>
                <w:szCs w:val="18"/>
                <w:vertAlign w:val="superscript"/>
              </w:rPr>
              <w:t>3</w:t>
            </w:r>
            <w:r>
              <w:rPr>
                <w:sz w:val="18"/>
                <w:szCs w:val="18"/>
              </w:rPr>
              <w:t>）</w:t>
            </w:r>
          </w:p>
        </w:tc>
        <w:tc>
          <w:tcPr>
            <w:tcW w:w="551" w:type="pct"/>
            <w:vAlign w:val="center"/>
          </w:tcPr>
          <w:p>
            <w:pPr>
              <w:adjustRightInd w:val="0"/>
              <w:snapToGrid w:val="0"/>
              <w:jc w:val="center"/>
              <w:rPr>
                <w:sz w:val="18"/>
                <w:szCs w:val="18"/>
              </w:rPr>
            </w:pPr>
            <w:r>
              <w:rPr>
                <w:sz w:val="18"/>
                <w:szCs w:val="18"/>
              </w:rPr>
              <w:t>产生量（t/a</w:t>
            </w:r>
            <w:r>
              <w:rPr>
                <w:rFonts w:ascii="宋体" w:hAnsi="宋体"/>
                <w:sz w:val="18"/>
                <w:szCs w:val="18"/>
              </w:rPr>
              <w:t>）</w:t>
            </w:r>
          </w:p>
        </w:tc>
        <w:tc>
          <w:tcPr>
            <w:tcW w:w="383" w:type="pct"/>
            <w:vAlign w:val="center"/>
          </w:tcPr>
          <w:p>
            <w:pPr>
              <w:adjustRightInd w:val="0"/>
              <w:snapToGrid w:val="0"/>
              <w:jc w:val="center"/>
              <w:rPr>
                <w:sz w:val="18"/>
                <w:szCs w:val="18"/>
              </w:rPr>
            </w:pPr>
            <w:r>
              <w:rPr>
                <w:sz w:val="18"/>
                <w:szCs w:val="18"/>
              </w:rPr>
              <w:t>治理措施</w:t>
            </w:r>
          </w:p>
        </w:tc>
        <w:tc>
          <w:tcPr>
            <w:tcW w:w="762" w:type="pct"/>
            <w:vAlign w:val="center"/>
          </w:tcPr>
          <w:p>
            <w:pPr>
              <w:adjustRightInd w:val="0"/>
              <w:snapToGrid w:val="0"/>
              <w:jc w:val="center"/>
              <w:rPr>
                <w:sz w:val="18"/>
                <w:szCs w:val="18"/>
              </w:rPr>
            </w:pPr>
            <w:r>
              <w:rPr>
                <w:sz w:val="18"/>
                <w:szCs w:val="18"/>
              </w:rPr>
              <w:t>排放浓度（mg/m</w:t>
            </w:r>
            <w:r>
              <w:rPr>
                <w:sz w:val="18"/>
                <w:szCs w:val="18"/>
                <w:vertAlign w:val="superscript"/>
              </w:rPr>
              <w:t>3</w:t>
            </w:r>
            <w:r>
              <w:rPr>
                <w:sz w:val="18"/>
                <w:szCs w:val="18"/>
              </w:rPr>
              <w:t>）</w:t>
            </w:r>
          </w:p>
        </w:tc>
        <w:tc>
          <w:tcPr>
            <w:tcW w:w="550" w:type="pct"/>
            <w:vAlign w:val="center"/>
          </w:tcPr>
          <w:p>
            <w:pPr>
              <w:adjustRightInd w:val="0"/>
              <w:snapToGrid w:val="0"/>
              <w:jc w:val="center"/>
              <w:rPr>
                <w:sz w:val="18"/>
                <w:szCs w:val="18"/>
              </w:rPr>
            </w:pPr>
            <w:r>
              <w:rPr>
                <w:sz w:val="18"/>
                <w:szCs w:val="18"/>
              </w:rPr>
              <w:t>排放量（t/a</w:t>
            </w:r>
            <w:r>
              <w:rPr>
                <w:rFonts w:ascii="宋体" w:hAnsi="宋体"/>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vMerge w:val="restart"/>
            <w:vAlign w:val="center"/>
          </w:tcPr>
          <w:p>
            <w:pPr>
              <w:adjustRightInd w:val="0"/>
              <w:snapToGrid w:val="0"/>
              <w:jc w:val="center"/>
              <w:rPr>
                <w:sz w:val="18"/>
                <w:szCs w:val="18"/>
              </w:rPr>
            </w:pPr>
            <w:r>
              <w:rPr>
                <w:sz w:val="18"/>
                <w:szCs w:val="18"/>
              </w:rPr>
              <w:t>导热油炉</w:t>
            </w:r>
          </w:p>
        </w:tc>
        <w:tc>
          <w:tcPr>
            <w:tcW w:w="567" w:type="pct"/>
            <w:vMerge w:val="restart"/>
            <w:vAlign w:val="center"/>
          </w:tcPr>
          <w:p>
            <w:pPr>
              <w:adjustRightInd w:val="0"/>
              <w:snapToGrid w:val="0"/>
              <w:jc w:val="center"/>
              <w:rPr>
                <w:sz w:val="18"/>
                <w:szCs w:val="18"/>
              </w:rPr>
            </w:pPr>
            <w:r>
              <w:rPr>
                <w:sz w:val="18"/>
                <w:szCs w:val="18"/>
              </w:rPr>
              <w:t>15</w:t>
            </w:r>
          </w:p>
        </w:tc>
        <w:tc>
          <w:tcPr>
            <w:tcW w:w="637" w:type="pct"/>
            <w:vMerge w:val="restart"/>
            <w:vAlign w:val="center"/>
          </w:tcPr>
          <w:p>
            <w:pPr>
              <w:adjustRightInd w:val="0"/>
              <w:snapToGrid w:val="0"/>
              <w:jc w:val="center"/>
              <w:rPr>
                <w:sz w:val="18"/>
                <w:szCs w:val="18"/>
              </w:rPr>
            </w:pPr>
            <w:r>
              <w:rPr>
                <w:rFonts w:hint="eastAsia"/>
                <w:sz w:val="18"/>
                <w:szCs w:val="18"/>
              </w:rPr>
              <w:t>2</w:t>
            </w:r>
            <w:r>
              <w:rPr>
                <w:sz w:val="18"/>
                <w:szCs w:val="18"/>
              </w:rPr>
              <w:t>67060</w:t>
            </w:r>
          </w:p>
        </w:tc>
        <w:tc>
          <w:tcPr>
            <w:tcW w:w="443" w:type="pct"/>
            <w:vAlign w:val="center"/>
          </w:tcPr>
          <w:p>
            <w:pPr>
              <w:adjustRightInd w:val="0"/>
              <w:snapToGrid w:val="0"/>
              <w:jc w:val="center"/>
              <w:rPr>
                <w:sz w:val="18"/>
                <w:szCs w:val="18"/>
              </w:rPr>
            </w:pPr>
            <w:r>
              <w:rPr>
                <w:sz w:val="18"/>
                <w:szCs w:val="18"/>
              </w:rPr>
              <w:t>烟尘</w:t>
            </w:r>
          </w:p>
        </w:tc>
        <w:tc>
          <w:tcPr>
            <w:tcW w:w="762" w:type="pct"/>
            <w:vAlign w:val="center"/>
          </w:tcPr>
          <w:p>
            <w:pPr>
              <w:adjustRightInd w:val="0"/>
              <w:snapToGrid w:val="0"/>
              <w:jc w:val="center"/>
              <w:rPr>
                <w:sz w:val="18"/>
                <w:szCs w:val="18"/>
              </w:rPr>
            </w:pPr>
            <w:r>
              <w:rPr>
                <w:rFonts w:hint="eastAsia"/>
                <w:sz w:val="18"/>
                <w:szCs w:val="18"/>
              </w:rPr>
              <w:t>1</w:t>
            </w:r>
            <w:r>
              <w:rPr>
                <w:sz w:val="18"/>
                <w:szCs w:val="18"/>
              </w:rPr>
              <w:t>4.603</w:t>
            </w:r>
          </w:p>
        </w:tc>
        <w:tc>
          <w:tcPr>
            <w:tcW w:w="551"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.004</w:t>
            </w:r>
          </w:p>
        </w:tc>
        <w:tc>
          <w:tcPr>
            <w:tcW w:w="383" w:type="pct"/>
            <w:vAlign w:val="center"/>
          </w:tcPr>
          <w:p>
            <w:pPr>
              <w:adjustRightInd w:val="0"/>
              <w:snapToGrid w:val="0"/>
              <w:jc w:val="center"/>
              <w:rPr>
                <w:sz w:val="18"/>
                <w:szCs w:val="18"/>
              </w:rPr>
            </w:pPr>
            <w:r>
              <w:rPr>
                <w:rFonts w:hint="eastAsia"/>
                <w:sz w:val="18"/>
                <w:szCs w:val="18"/>
              </w:rPr>
              <w:t>布袋除尘器</w:t>
            </w:r>
          </w:p>
        </w:tc>
        <w:tc>
          <w:tcPr>
            <w:tcW w:w="762" w:type="pct"/>
            <w:vAlign w:val="center"/>
          </w:tcPr>
          <w:p>
            <w:pPr>
              <w:adjustRightInd w:val="0"/>
              <w:snapToGrid w:val="0"/>
              <w:jc w:val="center"/>
              <w:rPr>
                <w:sz w:val="18"/>
                <w:szCs w:val="18"/>
              </w:rPr>
            </w:pPr>
            <w:r>
              <w:rPr>
                <w:rFonts w:hint="eastAsia"/>
                <w:sz w:val="18"/>
                <w:szCs w:val="18"/>
              </w:rPr>
              <w:t>0</w:t>
            </w:r>
            <w:r>
              <w:rPr>
                <w:sz w:val="18"/>
                <w:szCs w:val="18"/>
              </w:rPr>
              <w:t>.146</w:t>
            </w:r>
          </w:p>
        </w:tc>
        <w:tc>
          <w:tcPr>
            <w:tcW w:w="55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.039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vMerge w:val="continue"/>
            <w:vAlign w:val="center"/>
          </w:tcPr>
          <w:p>
            <w:pPr>
              <w:widowControl/>
              <w:adjustRightInd w:val="0"/>
              <w:snapToGrid w:val="0"/>
              <w:jc w:val="center"/>
              <w:rPr>
                <w:sz w:val="18"/>
                <w:szCs w:val="18"/>
              </w:rPr>
            </w:pPr>
          </w:p>
        </w:tc>
        <w:tc>
          <w:tcPr>
            <w:tcW w:w="567" w:type="pct"/>
            <w:vMerge w:val="continue"/>
            <w:vAlign w:val="center"/>
          </w:tcPr>
          <w:p>
            <w:pPr>
              <w:widowControl/>
              <w:adjustRightInd w:val="0"/>
              <w:snapToGrid w:val="0"/>
              <w:jc w:val="center"/>
              <w:rPr>
                <w:sz w:val="18"/>
                <w:szCs w:val="18"/>
              </w:rPr>
            </w:pPr>
          </w:p>
        </w:tc>
        <w:tc>
          <w:tcPr>
            <w:tcW w:w="637" w:type="pct"/>
            <w:vMerge w:val="continue"/>
            <w:vAlign w:val="center"/>
          </w:tcPr>
          <w:p>
            <w:pPr>
              <w:widowControl/>
              <w:adjustRightInd w:val="0"/>
              <w:snapToGrid w:val="0"/>
              <w:jc w:val="center"/>
              <w:rPr>
                <w:sz w:val="18"/>
                <w:szCs w:val="18"/>
              </w:rPr>
            </w:pPr>
          </w:p>
        </w:tc>
        <w:tc>
          <w:tcPr>
            <w:tcW w:w="443" w:type="pct"/>
            <w:vAlign w:val="center"/>
          </w:tcPr>
          <w:p>
            <w:pPr>
              <w:adjustRightInd w:val="0"/>
              <w:snapToGrid w:val="0"/>
              <w:jc w:val="center"/>
              <w:rPr>
                <w:sz w:val="18"/>
                <w:szCs w:val="18"/>
              </w:rPr>
            </w:pPr>
            <w:r>
              <w:rPr>
                <w:sz w:val="18"/>
                <w:szCs w:val="18"/>
              </w:rPr>
              <w:t>SO</w:t>
            </w:r>
            <w:r>
              <w:rPr>
                <w:sz w:val="18"/>
                <w:szCs w:val="18"/>
                <w:vertAlign w:val="subscript"/>
              </w:rPr>
              <w:t>2</w:t>
            </w:r>
          </w:p>
        </w:tc>
        <w:tc>
          <w:tcPr>
            <w:tcW w:w="762" w:type="pct"/>
            <w:vAlign w:val="center"/>
          </w:tcPr>
          <w:p>
            <w:pPr>
              <w:adjustRightInd w:val="0"/>
              <w:snapToGrid w:val="0"/>
              <w:jc w:val="center"/>
              <w:rPr>
                <w:sz w:val="18"/>
                <w:szCs w:val="18"/>
              </w:rPr>
            </w:pPr>
            <w:r>
              <w:rPr>
                <w:rFonts w:hint="eastAsia"/>
                <w:sz w:val="18"/>
                <w:szCs w:val="18"/>
              </w:rPr>
              <w:t>1</w:t>
            </w:r>
            <w:r>
              <w:rPr>
                <w:sz w:val="18"/>
                <w:szCs w:val="18"/>
              </w:rPr>
              <w:t>60.076</w:t>
            </w:r>
          </w:p>
        </w:tc>
        <w:tc>
          <w:tcPr>
            <w:tcW w:w="551"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.043</w:t>
            </w:r>
          </w:p>
        </w:tc>
        <w:tc>
          <w:tcPr>
            <w:tcW w:w="383" w:type="pct"/>
            <w:vAlign w:val="center"/>
          </w:tcPr>
          <w:p>
            <w:pPr>
              <w:adjustRightInd w:val="0"/>
              <w:snapToGrid w:val="0"/>
              <w:jc w:val="center"/>
              <w:rPr>
                <w:sz w:val="18"/>
                <w:szCs w:val="18"/>
              </w:rPr>
            </w:pPr>
            <w:r>
              <w:rPr>
                <w:sz w:val="18"/>
                <w:szCs w:val="18"/>
              </w:rPr>
              <w:t>/</w:t>
            </w:r>
          </w:p>
        </w:tc>
        <w:tc>
          <w:tcPr>
            <w:tcW w:w="762" w:type="pct"/>
            <w:vAlign w:val="center"/>
          </w:tcPr>
          <w:p>
            <w:pPr>
              <w:adjustRightInd w:val="0"/>
              <w:snapToGrid w:val="0"/>
              <w:jc w:val="center"/>
              <w:rPr>
                <w:sz w:val="18"/>
                <w:szCs w:val="18"/>
              </w:rPr>
            </w:pPr>
            <w:r>
              <w:rPr>
                <w:rFonts w:hint="eastAsia"/>
                <w:sz w:val="18"/>
                <w:szCs w:val="18"/>
              </w:rPr>
              <w:t>1</w:t>
            </w:r>
            <w:r>
              <w:rPr>
                <w:sz w:val="18"/>
                <w:szCs w:val="18"/>
              </w:rPr>
              <w:t>60.076</w:t>
            </w:r>
          </w:p>
        </w:tc>
        <w:tc>
          <w:tcPr>
            <w:tcW w:w="55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vMerge w:val="continue"/>
            <w:vAlign w:val="center"/>
          </w:tcPr>
          <w:p>
            <w:pPr>
              <w:widowControl/>
              <w:adjustRightInd w:val="0"/>
              <w:snapToGrid w:val="0"/>
              <w:jc w:val="center"/>
              <w:rPr>
                <w:sz w:val="18"/>
                <w:szCs w:val="18"/>
              </w:rPr>
            </w:pPr>
          </w:p>
        </w:tc>
        <w:tc>
          <w:tcPr>
            <w:tcW w:w="567" w:type="pct"/>
            <w:vMerge w:val="continue"/>
            <w:vAlign w:val="center"/>
          </w:tcPr>
          <w:p>
            <w:pPr>
              <w:widowControl/>
              <w:adjustRightInd w:val="0"/>
              <w:snapToGrid w:val="0"/>
              <w:jc w:val="center"/>
              <w:rPr>
                <w:sz w:val="18"/>
                <w:szCs w:val="18"/>
              </w:rPr>
            </w:pPr>
          </w:p>
        </w:tc>
        <w:tc>
          <w:tcPr>
            <w:tcW w:w="637" w:type="pct"/>
            <w:vMerge w:val="continue"/>
            <w:vAlign w:val="center"/>
          </w:tcPr>
          <w:p>
            <w:pPr>
              <w:widowControl/>
              <w:adjustRightInd w:val="0"/>
              <w:snapToGrid w:val="0"/>
              <w:jc w:val="center"/>
              <w:rPr>
                <w:sz w:val="18"/>
                <w:szCs w:val="18"/>
              </w:rPr>
            </w:pPr>
          </w:p>
        </w:tc>
        <w:tc>
          <w:tcPr>
            <w:tcW w:w="443" w:type="pct"/>
            <w:vAlign w:val="center"/>
          </w:tcPr>
          <w:p>
            <w:pPr>
              <w:adjustRightInd w:val="0"/>
              <w:snapToGrid w:val="0"/>
              <w:jc w:val="center"/>
              <w:rPr>
                <w:sz w:val="18"/>
                <w:szCs w:val="18"/>
              </w:rPr>
            </w:pPr>
            <w:r>
              <w:rPr>
                <w:sz w:val="18"/>
                <w:szCs w:val="18"/>
              </w:rPr>
              <w:t>NO</w:t>
            </w:r>
            <w:r>
              <w:rPr>
                <w:sz w:val="18"/>
                <w:szCs w:val="18"/>
                <w:vertAlign w:val="subscript"/>
              </w:rPr>
              <w:t>X</w:t>
            </w:r>
          </w:p>
        </w:tc>
        <w:tc>
          <w:tcPr>
            <w:tcW w:w="762" w:type="pct"/>
            <w:vAlign w:val="center"/>
          </w:tcPr>
          <w:p>
            <w:pPr>
              <w:adjustRightInd w:val="0"/>
              <w:snapToGrid w:val="0"/>
              <w:jc w:val="center"/>
              <w:rPr>
                <w:sz w:val="18"/>
                <w:szCs w:val="18"/>
              </w:rPr>
            </w:pPr>
            <w:r>
              <w:rPr>
                <w:rFonts w:hint="eastAsia"/>
                <w:sz w:val="18"/>
                <w:szCs w:val="18"/>
              </w:rPr>
              <w:t>1</w:t>
            </w:r>
            <w:r>
              <w:rPr>
                <w:sz w:val="18"/>
                <w:szCs w:val="18"/>
              </w:rPr>
              <w:t>70.186</w:t>
            </w:r>
          </w:p>
        </w:tc>
        <w:tc>
          <w:tcPr>
            <w:tcW w:w="551"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.045</w:t>
            </w:r>
          </w:p>
        </w:tc>
        <w:tc>
          <w:tcPr>
            <w:tcW w:w="383" w:type="pct"/>
            <w:vAlign w:val="center"/>
          </w:tcPr>
          <w:p>
            <w:pPr>
              <w:adjustRightInd w:val="0"/>
              <w:snapToGrid w:val="0"/>
              <w:jc w:val="center"/>
              <w:rPr>
                <w:sz w:val="18"/>
                <w:szCs w:val="18"/>
              </w:rPr>
            </w:pPr>
            <w:r>
              <w:rPr>
                <w:sz w:val="18"/>
                <w:szCs w:val="18"/>
              </w:rPr>
              <w:t>/</w:t>
            </w:r>
          </w:p>
        </w:tc>
        <w:tc>
          <w:tcPr>
            <w:tcW w:w="762" w:type="pct"/>
            <w:vAlign w:val="center"/>
          </w:tcPr>
          <w:p>
            <w:pPr>
              <w:adjustRightInd w:val="0"/>
              <w:snapToGrid w:val="0"/>
              <w:jc w:val="center"/>
              <w:rPr>
                <w:sz w:val="18"/>
                <w:szCs w:val="18"/>
              </w:rPr>
            </w:pPr>
            <w:r>
              <w:rPr>
                <w:rFonts w:hint="eastAsia"/>
                <w:sz w:val="18"/>
                <w:szCs w:val="18"/>
              </w:rPr>
              <w:t>1</w:t>
            </w:r>
            <w:r>
              <w:rPr>
                <w:sz w:val="18"/>
                <w:szCs w:val="18"/>
              </w:rPr>
              <w:t>70.186</w:t>
            </w:r>
          </w:p>
        </w:tc>
        <w:tc>
          <w:tcPr>
            <w:tcW w:w="55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.045</w:t>
            </w:r>
          </w:p>
        </w:tc>
      </w:tr>
    </w:tbl>
    <w:p>
      <w:pPr>
        <w:adjustRightInd w:val="0"/>
        <w:snapToGrid w:val="0"/>
        <w:spacing w:line="360" w:lineRule="auto"/>
        <w:ind w:firstLine="420" w:firstLineChars="200"/>
        <w:rPr>
          <w:bCs/>
        </w:rPr>
      </w:pPr>
      <w:r>
        <w:rPr>
          <w:rFonts w:hint="eastAsia" w:ascii="宋体" w:hAnsi="宋体"/>
          <w:bCs/>
        </w:rPr>
        <w:t>②烘干滚筒燃烧烟气</w:t>
      </w:r>
    </w:p>
    <w:p>
      <w:pPr>
        <w:adjustRightInd w:val="0"/>
        <w:snapToGrid w:val="0"/>
        <w:spacing w:line="360" w:lineRule="auto"/>
        <w:ind w:firstLine="420" w:firstLineChars="200"/>
        <w:rPr>
          <w:bCs/>
          <w:color w:val="auto"/>
        </w:rPr>
      </w:pPr>
      <w:r>
        <w:rPr>
          <w:rFonts w:ascii="宋体" w:hAnsi="宋体"/>
          <w:bCs/>
          <w:color w:val="auto"/>
        </w:rPr>
        <w:t>本项目烘干滚筒以</w:t>
      </w:r>
      <w:r>
        <w:rPr>
          <w:rFonts w:hint="eastAsia" w:ascii="宋体" w:hAnsi="宋体"/>
          <w:bCs/>
          <w:color w:val="auto"/>
        </w:rPr>
        <w:t>柴</w:t>
      </w:r>
      <w:r>
        <w:rPr>
          <w:rFonts w:ascii="宋体" w:hAnsi="宋体"/>
          <w:bCs/>
          <w:color w:val="auto"/>
        </w:rPr>
        <w:t>油为燃料，年燃</w:t>
      </w:r>
      <w:r>
        <w:rPr>
          <w:rFonts w:hint="eastAsia" w:ascii="宋体" w:hAnsi="宋体"/>
          <w:bCs/>
          <w:color w:val="auto"/>
        </w:rPr>
        <w:t>柴</w:t>
      </w:r>
      <w:r>
        <w:rPr>
          <w:rFonts w:ascii="宋体" w:hAnsi="宋体"/>
          <w:bCs/>
          <w:color w:val="auto"/>
        </w:rPr>
        <w:t>油量</w:t>
      </w:r>
      <w:r>
        <w:rPr>
          <w:bCs/>
          <w:color w:val="auto"/>
        </w:rPr>
        <w:t>25t</w:t>
      </w:r>
      <w:r>
        <w:rPr>
          <w:rFonts w:ascii="宋体" w:hAnsi="宋体"/>
          <w:bCs/>
          <w:color w:val="auto"/>
        </w:rPr>
        <w:t>，燃烧烟气中主要污染物为烟尘、</w:t>
      </w:r>
      <w:r>
        <w:rPr>
          <w:bCs/>
          <w:color w:val="auto"/>
        </w:rPr>
        <w:t>SO</w:t>
      </w:r>
      <w:r>
        <w:rPr>
          <w:bCs/>
          <w:color w:val="auto"/>
          <w:vertAlign w:val="subscript"/>
        </w:rPr>
        <w:t>2</w:t>
      </w:r>
      <w:r>
        <w:rPr>
          <w:rFonts w:ascii="宋体" w:hAnsi="宋体"/>
          <w:bCs/>
          <w:color w:val="auto"/>
        </w:rPr>
        <w:t>和</w:t>
      </w:r>
      <w:r>
        <w:rPr>
          <w:bCs/>
          <w:color w:val="auto"/>
        </w:rPr>
        <w:t>NO</w:t>
      </w:r>
      <w:r>
        <w:rPr>
          <w:bCs/>
          <w:color w:val="auto"/>
          <w:vertAlign w:val="subscript"/>
        </w:rPr>
        <w:t>x</w:t>
      </w:r>
      <w:r>
        <w:rPr>
          <w:rFonts w:ascii="宋体" w:hAnsi="宋体"/>
          <w:bCs/>
          <w:color w:val="auto"/>
        </w:rPr>
        <w:t>，</w:t>
      </w:r>
      <w:r>
        <w:rPr>
          <w:rFonts w:hint="default" w:ascii="Times New Roman" w:hAnsi="Times New Roman" w:cs="Times New Roman"/>
          <w:bCs/>
          <w:color w:val="auto"/>
        </w:rPr>
        <w:t>燃烧废气由1套布袋除尘器（除尘效率99%）</w:t>
      </w:r>
      <w:r>
        <w:rPr>
          <w:rFonts w:hint="default" w:ascii="Times New Roman" w:hAnsi="Times New Roman" w:cs="Times New Roman"/>
          <w:bCs/>
          <w:color w:val="auto"/>
          <w:lang w:val="en-US" w:eastAsia="zh-CN"/>
        </w:rPr>
        <w:t>+低氮燃烧（去除效率70%）</w:t>
      </w:r>
      <w:r>
        <w:rPr>
          <w:rFonts w:hint="default" w:ascii="Times New Roman" w:hAnsi="Times New Roman" w:cs="Times New Roman"/>
          <w:bCs/>
          <w:color w:val="auto"/>
        </w:rPr>
        <w:t>处理后</w:t>
      </w:r>
      <w:r>
        <w:rPr>
          <w:rFonts w:ascii="宋体" w:hAnsi="宋体"/>
          <w:bCs/>
          <w:color w:val="auto"/>
        </w:rPr>
        <w:t>，尾气经</w:t>
      </w:r>
      <w:r>
        <w:rPr>
          <w:bCs/>
          <w:color w:val="auto"/>
        </w:rPr>
        <w:t>15m</w:t>
      </w:r>
      <w:r>
        <w:rPr>
          <w:rFonts w:ascii="宋体" w:hAnsi="宋体"/>
          <w:bCs/>
          <w:color w:val="auto"/>
        </w:rPr>
        <w:t>高排气筒排出。</w:t>
      </w:r>
    </w:p>
    <w:p>
      <w:pPr>
        <w:adjustRightInd w:val="0"/>
        <w:snapToGrid w:val="0"/>
        <w:spacing w:line="360" w:lineRule="auto"/>
        <w:ind w:firstLine="420" w:firstLineChars="200"/>
        <w:rPr>
          <w:bCs/>
        </w:rPr>
      </w:pPr>
      <w:r>
        <w:rPr>
          <w:rFonts w:hint="eastAsia" w:ascii="宋体" w:hAnsi="宋体"/>
          <w:bCs/>
        </w:rPr>
        <w:t>由于</w:t>
      </w:r>
      <w:r>
        <w:rPr>
          <w:rFonts w:ascii="宋体" w:hAnsi="宋体"/>
          <w:bCs/>
        </w:rPr>
        <w:t>《排污许可证申请与核发技术规范</w:t>
      </w:r>
      <w:r>
        <w:rPr>
          <w:bCs/>
        </w:rPr>
        <w:t xml:space="preserve"> </w:t>
      </w:r>
      <w:r>
        <w:rPr>
          <w:rFonts w:ascii="宋体" w:hAnsi="宋体"/>
          <w:bCs/>
        </w:rPr>
        <w:t>工业炉窑》（</w:t>
      </w:r>
      <w:r>
        <w:rPr>
          <w:bCs/>
        </w:rPr>
        <w:t>HJ1121-2020</w:t>
      </w:r>
      <w:r>
        <w:rPr>
          <w:rFonts w:ascii="宋体" w:hAnsi="宋体"/>
          <w:bCs/>
        </w:rPr>
        <w:t>）未给出烟气量核算方法，故</w:t>
      </w:r>
      <w:r>
        <w:rPr>
          <w:rFonts w:hint="eastAsia" w:ascii="宋体" w:hAnsi="宋体"/>
          <w:bCs/>
        </w:rPr>
        <w:t>烘干滚筒燃烧</w:t>
      </w:r>
      <w:r>
        <w:rPr>
          <w:rFonts w:ascii="宋体" w:hAnsi="宋体"/>
          <w:bCs/>
        </w:rPr>
        <w:t>烟气量参考《污染源源强核算技术指南</w:t>
      </w:r>
      <w:r>
        <w:rPr>
          <w:bCs/>
        </w:rPr>
        <w:t xml:space="preserve"> </w:t>
      </w:r>
      <w:r>
        <w:rPr>
          <w:rFonts w:ascii="宋体" w:hAnsi="宋体"/>
          <w:bCs/>
        </w:rPr>
        <w:t>锅炉》（</w:t>
      </w:r>
      <w:r>
        <w:rPr>
          <w:bCs/>
        </w:rPr>
        <w:t>HJ991-2018</w:t>
      </w:r>
      <w:r>
        <w:rPr>
          <w:rFonts w:ascii="宋体" w:hAnsi="宋体"/>
          <w:bCs/>
        </w:rPr>
        <w:t xml:space="preserve">）附录 </w:t>
      </w:r>
      <w:r>
        <w:rPr>
          <w:bCs/>
        </w:rPr>
        <w:t xml:space="preserve">C </w:t>
      </w:r>
      <w:r>
        <w:rPr>
          <w:rFonts w:ascii="宋体" w:hAnsi="宋体"/>
          <w:bCs/>
        </w:rPr>
        <w:t>烟气量的计算；</w:t>
      </w:r>
      <w:r>
        <w:rPr>
          <w:bCs/>
        </w:rPr>
        <w:t>SO</w:t>
      </w:r>
      <w:r>
        <w:rPr>
          <w:bCs/>
          <w:vertAlign w:val="subscript"/>
        </w:rPr>
        <w:t>2</w:t>
      </w:r>
      <w:r>
        <w:rPr>
          <w:rFonts w:ascii="宋体" w:hAnsi="宋体"/>
          <w:bCs/>
        </w:rPr>
        <w:t>、</w:t>
      </w:r>
      <w:r>
        <w:rPr>
          <w:bCs/>
        </w:rPr>
        <w:t>NO</w:t>
      </w:r>
      <w:r>
        <w:rPr>
          <w:bCs/>
          <w:vertAlign w:val="subscript"/>
        </w:rPr>
        <w:t>x</w:t>
      </w:r>
      <w:r>
        <w:rPr>
          <w:rFonts w:ascii="宋体" w:hAnsi="宋体"/>
          <w:bCs/>
        </w:rPr>
        <w:t>及颗粒物排放量参照《排污许可证申请与核发技术规范</w:t>
      </w:r>
      <w:r>
        <w:rPr>
          <w:bCs/>
        </w:rPr>
        <w:t xml:space="preserve"> </w:t>
      </w:r>
      <w:r>
        <w:rPr>
          <w:rFonts w:ascii="宋体" w:hAnsi="宋体"/>
          <w:bCs/>
        </w:rPr>
        <w:t>工业炉窑》（</w:t>
      </w:r>
      <w:r>
        <w:rPr>
          <w:bCs/>
        </w:rPr>
        <w:t>HJ1121-2020</w:t>
      </w:r>
      <w:r>
        <w:rPr>
          <w:rFonts w:ascii="宋体" w:hAnsi="宋体"/>
          <w:bCs/>
        </w:rPr>
        <w:t xml:space="preserve">）表 </w:t>
      </w:r>
      <w:r>
        <w:rPr>
          <w:bCs/>
        </w:rPr>
        <w:t xml:space="preserve">6 </w:t>
      </w:r>
      <w:r>
        <w:rPr>
          <w:rFonts w:ascii="宋体" w:hAnsi="宋体"/>
          <w:bCs/>
        </w:rPr>
        <w:t>中液体燃料绩效值表，本项目绩效值取值情况详见表</w:t>
      </w:r>
      <w:r>
        <w:rPr>
          <w:rFonts w:hint="eastAsia"/>
          <w:bCs/>
        </w:rPr>
        <w:t>3</w:t>
      </w:r>
      <w:r>
        <w:rPr>
          <w:rFonts w:hint="eastAsia" w:ascii="宋体" w:hAnsi="宋体"/>
          <w:bCs/>
        </w:rPr>
        <w:t>，</w:t>
      </w:r>
      <w:r>
        <w:rPr>
          <w:rFonts w:ascii="宋体" w:hAnsi="宋体"/>
          <w:bCs/>
        </w:rPr>
        <w:t>主要污染物产排污系数详见</w:t>
      </w:r>
      <w:r>
        <w:rPr>
          <w:rFonts w:hint="eastAsia" w:ascii="宋体" w:hAnsi="宋体"/>
          <w:bCs/>
        </w:rPr>
        <w:t>表</w:t>
      </w:r>
      <w:r>
        <w:rPr>
          <w:bCs/>
        </w:rPr>
        <w:t>4</w:t>
      </w:r>
      <w:r>
        <w:rPr>
          <w:rFonts w:hint="eastAsia" w:ascii="宋体" w:hAnsi="宋体"/>
          <w:bCs/>
        </w:rPr>
        <w:t>。</w:t>
      </w:r>
    </w:p>
    <w:p>
      <w:pPr>
        <w:adjustRightInd w:val="0"/>
        <w:snapToGrid w:val="0"/>
        <w:spacing w:line="360" w:lineRule="auto"/>
        <w:ind w:firstLine="422" w:firstLineChars="200"/>
        <w:rPr>
          <w:b/>
        </w:rPr>
      </w:pPr>
      <w:r>
        <w:rPr>
          <w:rFonts w:ascii="宋体" w:hAnsi="宋体"/>
          <w:b/>
        </w:rPr>
        <w:t>烟气量计算：</w:t>
      </w:r>
    </w:p>
    <w:p>
      <w:pPr>
        <w:adjustRightInd w:val="0"/>
        <w:snapToGrid w:val="0"/>
        <w:spacing w:line="360" w:lineRule="auto"/>
        <w:ind w:firstLine="420" w:firstLineChars="200"/>
        <w:rPr>
          <w:bCs/>
        </w:rPr>
      </w:pPr>
      <w:r>
        <w:rPr>
          <w:rFonts w:ascii="宋体" w:hAnsi="宋体"/>
          <w:bCs/>
        </w:rPr>
        <w:t>根据《污染源源强核算技术指南</w:t>
      </w:r>
      <w:r>
        <w:rPr>
          <w:bCs/>
        </w:rPr>
        <w:t xml:space="preserve"> </w:t>
      </w:r>
      <w:r>
        <w:rPr>
          <w:rFonts w:ascii="宋体" w:hAnsi="宋体"/>
          <w:bCs/>
        </w:rPr>
        <w:t>锅炉》附录</w:t>
      </w:r>
      <w:r>
        <w:rPr>
          <w:bCs/>
        </w:rPr>
        <w:t xml:space="preserve"> C.5</w:t>
      </w:r>
      <w:r>
        <w:rPr>
          <w:rFonts w:ascii="宋体" w:hAnsi="宋体"/>
          <w:bCs/>
        </w:rPr>
        <w:t xml:space="preserve">，没有元素分析时，干烟气排放量的经验公式计算参照 </w:t>
      </w:r>
      <w:r>
        <w:rPr>
          <w:bCs/>
        </w:rPr>
        <w:t>HJ953</w:t>
      </w:r>
      <w:r>
        <w:rPr>
          <w:rFonts w:ascii="宋体" w:hAnsi="宋体"/>
          <w:bCs/>
        </w:rPr>
        <w:t>，根据《排污许可证申请与核发技术规范 锅炉》（</w:t>
      </w:r>
      <w:r>
        <w:rPr>
          <w:bCs/>
        </w:rPr>
        <w:t>HJ953-2018</w:t>
      </w:r>
      <w:r>
        <w:rPr>
          <w:rFonts w:ascii="宋体" w:hAnsi="宋体"/>
          <w:bCs/>
        </w:rPr>
        <w:t>）经验公式估算法，具体公式如下：</w:t>
      </w:r>
    </w:p>
    <w:p>
      <w:pPr>
        <w:adjustRightInd w:val="0"/>
        <w:snapToGrid w:val="0"/>
        <w:spacing w:line="360" w:lineRule="auto"/>
        <w:jc w:val="center"/>
        <w:rPr>
          <w:bCs/>
          <w:i/>
        </w:rPr>
      </w:pPr>
      <w:r>
        <w:drawing>
          <wp:inline distT="0" distB="0" distL="0" distR="0">
            <wp:extent cx="1447165" cy="174625"/>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447165" cy="174625"/>
                    </a:xfrm>
                    <a:prstGeom prst="rect">
                      <a:avLst/>
                    </a:prstGeom>
                    <a:noFill/>
                    <a:ln>
                      <a:noFill/>
                    </a:ln>
                  </pic:spPr>
                </pic:pic>
              </a:graphicData>
            </a:graphic>
          </wp:inline>
        </w:drawing>
      </w:r>
    </w:p>
    <w:p>
      <w:pPr>
        <w:adjustRightInd w:val="0"/>
        <w:snapToGrid w:val="0"/>
        <w:spacing w:line="360" w:lineRule="auto"/>
        <w:ind w:firstLine="420" w:firstLineChars="200"/>
        <w:rPr>
          <w:bCs/>
        </w:rPr>
      </w:pPr>
      <w:r>
        <w:rPr>
          <w:rFonts w:ascii="宋体" w:hAnsi="宋体"/>
          <w:bCs/>
        </w:rPr>
        <w:t>其中：</w:t>
      </w:r>
      <w:r>
        <w:rPr>
          <w:bCs/>
        </w:rPr>
        <w:t>V</w:t>
      </w:r>
      <w:r>
        <w:rPr>
          <w:bCs/>
          <w:vertAlign w:val="subscript"/>
        </w:rPr>
        <w:t>gy</w:t>
      </w:r>
      <w:r>
        <w:rPr>
          <w:bCs/>
        </w:rPr>
        <w:t xml:space="preserve"> --</w:t>
      </w:r>
      <w:r>
        <w:rPr>
          <w:rFonts w:ascii="宋体" w:hAnsi="宋体"/>
          <w:bCs/>
        </w:rPr>
        <w:t>基准烟气量（</w:t>
      </w:r>
      <w:r>
        <w:rPr>
          <w:bCs/>
        </w:rPr>
        <w:t>Nm</w:t>
      </w:r>
      <w:r>
        <w:rPr>
          <w:bCs/>
          <w:vertAlign w:val="superscript"/>
        </w:rPr>
        <w:t>3</w:t>
      </w:r>
      <w:r>
        <w:rPr>
          <w:bCs/>
        </w:rPr>
        <w:t xml:space="preserve">/kg </w:t>
      </w:r>
      <w:r>
        <w:rPr>
          <w:rFonts w:ascii="宋体" w:hAnsi="宋体"/>
          <w:bCs/>
        </w:rPr>
        <w:t xml:space="preserve">或 </w:t>
      </w:r>
      <w:r>
        <w:rPr>
          <w:bCs/>
        </w:rPr>
        <w:t>Nm</w:t>
      </w:r>
      <w:r>
        <w:rPr>
          <w:bCs/>
          <w:vertAlign w:val="superscript"/>
        </w:rPr>
        <w:t>3</w:t>
      </w:r>
      <w:r>
        <w:rPr>
          <w:bCs/>
        </w:rPr>
        <w:t>/m</w:t>
      </w:r>
      <w:r>
        <w:rPr>
          <w:bCs/>
          <w:vertAlign w:val="superscript"/>
        </w:rPr>
        <w:t>3</w:t>
      </w:r>
      <w:r>
        <w:rPr>
          <w:rFonts w:ascii="宋体" w:hAnsi="宋体"/>
          <w:bCs/>
        </w:rPr>
        <w:t>）；</w:t>
      </w:r>
    </w:p>
    <w:p>
      <w:pPr>
        <w:adjustRightInd w:val="0"/>
        <w:snapToGrid w:val="0"/>
        <w:spacing w:line="360" w:lineRule="auto"/>
        <w:ind w:firstLine="1050" w:firstLineChars="500"/>
        <w:rPr>
          <w:bCs/>
        </w:rPr>
      </w:pPr>
      <w:r>
        <w:rPr>
          <w:bCs/>
        </w:rPr>
        <w:t>Q</w:t>
      </w:r>
      <w:r>
        <w:rPr>
          <w:bCs/>
          <w:vertAlign w:val="subscript"/>
        </w:rPr>
        <w:t>net</w:t>
      </w:r>
      <w:r>
        <w:rPr>
          <w:rFonts w:ascii="宋体" w:hAnsi="宋体"/>
          <w:bCs/>
          <w:vertAlign w:val="subscript"/>
        </w:rPr>
        <w:t>，</w:t>
      </w:r>
      <w:r>
        <w:rPr>
          <w:bCs/>
          <w:vertAlign w:val="subscript"/>
        </w:rPr>
        <w:t>ar</w:t>
      </w:r>
      <w:r>
        <w:rPr>
          <w:bCs/>
        </w:rPr>
        <w:t xml:space="preserve"> --</w:t>
      </w:r>
      <w:r>
        <w:rPr>
          <w:rFonts w:ascii="宋体" w:hAnsi="宋体"/>
          <w:bCs/>
        </w:rPr>
        <w:t>固体燃料</w:t>
      </w:r>
      <w:r>
        <w:rPr>
          <w:bCs/>
        </w:rPr>
        <w:t>/</w:t>
      </w:r>
      <w:r>
        <w:rPr>
          <w:rFonts w:ascii="宋体" w:hAnsi="宋体"/>
          <w:bCs/>
        </w:rPr>
        <w:t>液体燃料收到基低位发热量（</w:t>
      </w:r>
      <w:r>
        <w:rPr>
          <w:bCs/>
        </w:rPr>
        <w:t>MJ/kg</w:t>
      </w:r>
      <w:r>
        <w:rPr>
          <w:rFonts w:ascii="宋体" w:hAnsi="宋体"/>
          <w:bCs/>
        </w:rPr>
        <w:t>）</w:t>
      </w:r>
    </w:p>
    <w:p>
      <w:pPr>
        <w:adjustRightInd w:val="0"/>
        <w:snapToGrid w:val="0"/>
        <w:spacing w:line="360" w:lineRule="auto"/>
        <w:ind w:firstLine="420" w:firstLineChars="200"/>
        <w:rPr>
          <w:bCs/>
        </w:rPr>
      </w:pPr>
      <w:r>
        <w:rPr>
          <w:rFonts w:ascii="宋体" w:hAnsi="宋体"/>
          <w:bCs/>
        </w:rPr>
        <w:t>本项目燃料</w:t>
      </w:r>
      <w:r>
        <w:rPr>
          <w:bCs/>
        </w:rPr>
        <w:t>Q</w:t>
      </w:r>
      <w:r>
        <w:rPr>
          <w:bCs/>
          <w:vertAlign w:val="subscript"/>
        </w:rPr>
        <w:t>net,ar</w:t>
      </w:r>
      <w:r>
        <w:rPr>
          <w:bCs/>
        </w:rPr>
        <w:t xml:space="preserve"> = 37.93 MJ/kg</w:t>
      </w:r>
      <w:r>
        <w:rPr>
          <w:rFonts w:ascii="宋体" w:hAnsi="宋体"/>
          <w:bCs/>
        </w:rPr>
        <w:t>，经计算，</w:t>
      </w:r>
      <w:r>
        <w:rPr>
          <w:rFonts w:hint="eastAsia" w:ascii="宋体" w:hAnsi="宋体"/>
          <w:bCs/>
        </w:rPr>
        <w:t>烘干滚筒燃烧</w:t>
      </w:r>
      <w:r>
        <w:rPr>
          <w:rFonts w:ascii="宋体" w:hAnsi="宋体"/>
          <w:bCs/>
        </w:rPr>
        <w:t>产生的烟气量为</w:t>
      </w:r>
      <w:r>
        <w:rPr>
          <w:bCs/>
        </w:rPr>
        <w:t>284467.5 m</w:t>
      </w:r>
      <w:r>
        <w:rPr>
          <w:bCs/>
          <w:vertAlign w:val="superscript"/>
        </w:rPr>
        <w:t>3</w:t>
      </w:r>
      <w:r>
        <w:rPr>
          <w:bCs/>
        </w:rPr>
        <w:t>/a</w:t>
      </w:r>
      <w:r>
        <w:rPr>
          <w:rFonts w:ascii="宋体" w:hAnsi="宋体"/>
          <w:bCs/>
        </w:rPr>
        <w:t>。</w:t>
      </w:r>
    </w:p>
    <w:p>
      <w:pPr>
        <w:adjustRightInd w:val="0"/>
        <w:snapToGrid w:val="0"/>
        <w:spacing w:line="360" w:lineRule="auto"/>
        <w:ind w:firstLine="422" w:firstLineChars="200"/>
        <w:rPr>
          <w:b/>
        </w:rPr>
      </w:pPr>
      <w:r>
        <w:rPr>
          <w:rFonts w:ascii="宋体" w:hAnsi="宋体"/>
          <w:b/>
        </w:rPr>
        <w:t>污染物排放量：</w:t>
      </w:r>
    </w:p>
    <w:p>
      <w:pPr>
        <w:adjustRightInd w:val="0"/>
        <w:snapToGrid w:val="0"/>
        <w:spacing w:line="360" w:lineRule="auto"/>
        <w:ind w:firstLine="420" w:firstLineChars="200"/>
        <w:rPr>
          <w:bCs/>
        </w:rPr>
      </w:pPr>
      <w:r>
        <w:rPr>
          <w:rFonts w:hint="eastAsia" w:ascii="宋体" w:hAnsi="宋体"/>
          <w:bCs/>
        </w:rPr>
        <w:t>烘干滚筒燃烧烟气中</w:t>
      </w:r>
      <w:r>
        <w:rPr>
          <w:rFonts w:ascii="宋体" w:hAnsi="宋体"/>
          <w:bCs/>
        </w:rPr>
        <w:t>颗粒物、二氧化硫、氮氧化物排放量计算参考《排污许可证申请与核发技术规范</w:t>
      </w:r>
      <w:r>
        <w:rPr>
          <w:bCs/>
        </w:rPr>
        <w:t xml:space="preserve"> </w:t>
      </w:r>
      <w:r>
        <w:rPr>
          <w:rFonts w:ascii="宋体" w:hAnsi="宋体"/>
          <w:bCs/>
        </w:rPr>
        <w:t>工业炉窑》（</w:t>
      </w:r>
      <w:r>
        <w:rPr>
          <w:bCs/>
        </w:rPr>
        <w:t>HJ1121-2020</w:t>
      </w:r>
      <w:r>
        <w:rPr>
          <w:rFonts w:ascii="宋体" w:hAnsi="宋体"/>
          <w:bCs/>
        </w:rPr>
        <w:t xml:space="preserve">）表 </w:t>
      </w:r>
      <w:r>
        <w:rPr>
          <w:bCs/>
        </w:rPr>
        <w:t xml:space="preserve">5 </w:t>
      </w:r>
      <w:r>
        <w:rPr>
          <w:rFonts w:ascii="宋体" w:hAnsi="宋体"/>
          <w:bCs/>
        </w:rPr>
        <w:t>许可排放量计算方法推荐的绩效值法，各污染物绩效值详见下表。</w:t>
      </w:r>
    </w:p>
    <w:p>
      <w:pPr>
        <w:adjustRightInd w:val="0"/>
        <w:snapToGrid w:val="0"/>
        <w:spacing w:line="360" w:lineRule="auto"/>
        <w:jc w:val="center"/>
        <w:rPr>
          <w:bCs/>
        </w:rPr>
      </w:pPr>
      <w:r>
        <w:rPr>
          <w:rFonts w:ascii="宋体" w:hAnsi="宋体"/>
          <w:bCs/>
        </w:rPr>
        <w:t>表</w:t>
      </w:r>
      <w:r>
        <w:rPr>
          <w:bCs/>
        </w:rPr>
        <w:t xml:space="preserve">3  </w:t>
      </w:r>
      <w:r>
        <w:rPr>
          <w:rFonts w:ascii="宋体" w:hAnsi="宋体"/>
          <w:bCs/>
        </w:rPr>
        <w:t>加热炉、热处理炉、干燥炉（窑）排放口参考绩效值表</w:t>
      </w:r>
      <w:r>
        <w:rPr>
          <w:bCs/>
        </w:rPr>
        <w:t>-</w:t>
      </w:r>
      <w:r>
        <w:rPr>
          <w:rFonts w:ascii="宋体" w:hAnsi="宋体"/>
          <w:bCs/>
        </w:rPr>
        <w:t>液体燃料</w:t>
      </w:r>
    </w:p>
    <w:tbl>
      <w:tblPr>
        <w:tblStyle w:val="10"/>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3443"/>
        <w:gridCol w:w="1474"/>
        <w:gridCol w:w="1622"/>
        <w:gridCol w:w="196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025"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低位热值（MJ/kg</w:t>
            </w:r>
            <w:r>
              <w:rPr>
                <w:rFonts w:ascii="宋体" w:hAnsi="宋体"/>
                <w:bCs/>
                <w:sz w:val="18"/>
                <w:szCs w:val="18"/>
              </w:rPr>
              <w:t>）</w:t>
            </w:r>
          </w:p>
        </w:tc>
        <w:tc>
          <w:tcPr>
            <w:tcW w:w="867"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3</w:t>
            </w:r>
            <w:r>
              <w:rPr>
                <w:bCs/>
                <w:sz w:val="18"/>
                <w:szCs w:val="18"/>
              </w:rPr>
              <w:t>7.68</w:t>
            </w:r>
          </w:p>
        </w:tc>
        <w:tc>
          <w:tcPr>
            <w:tcW w:w="954"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39.78</w:t>
            </w:r>
          </w:p>
        </w:tc>
        <w:tc>
          <w:tcPr>
            <w:tcW w:w="1154" w:type="pct"/>
            <w:tcBorders>
              <w:top w:val="single" w:color="000000" w:sz="12" w:space="0"/>
              <w:left w:val="nil"/>
              <w:bottom w:val="single" w:color="000000" w:sz="4" w:space="0"/>
              <w:right w:val="nil"/>
            </w:tcBorders>
            <w:vAlign w:val="center"/>
          </w:tcPr>
          <w:p>
            <w:pPr>
              <w:pStyle w:val="24"/>
              <w:snapToGrid w:val="0"/>
              <w:spacing w:line="240" w:lineRule="auto"/>
              <w:ind w:firstLine="0"/>
              <w:jc w:val="center"/>
              <w:rPr>
                <w:b/>
                <w:sz w:val="18"/>
                <w:szCs w:val="18"/>
              </w:rPr>
            </w:pPr>
            <w:r>
              <w:rPr>
                <w:rFonts w:hint="eastAsia"/>
                <w:b/>
                <w:sz w:val="18"/>
                <w:szCs w:val="18"/>
              </w:rPr>
              <w:t>3</w:t>
            </w:r>
            <w:r>
              <w:rPr>
                <w:b/>
                <w:sz w:val="18"/>
                <w:szCs w:val="18"/>
              </w:rPr>
              <w:t>7.93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025"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颗粒物绩效值（kg/t </w:t>
            </w:r>
            <w:r>
              <w:rPr>
                <w:rFonts w:ascii="宋体" w:hAnsi="宋体"/>
                <w:bCs/>
                <w:sz w:val="18"/>
                <w:szCs w:val="18"/>
              </w:rPr>
              <w:t>燃料）</w:t>
            </w:r>
          </w:p>
        </w:tc>
        <w:tc>
          <w:tcPr>
            <w:tcW w:w="867"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0</w:t>
            </w:r>
            <w:r>
              <w:rPr>
                <w:bCs/>
                <w:sz w:val="18"/>
                <w:szCs w:val="18"/>
              </w:rPr>
              <w:t>.502</w:t>
            </w:r>
          </w:p>
        </w:tc>
        <w:tc>
          <w:tcPr>
            <w:tcW w:w="954"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0.528</w:t>
            </w:r>
          </w:p>
        </w:tc>
        <w:tc>
          <w:tcPr>
            <w:tcW w:w="1154"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
                <w:sz w:val="18"/>
                <w:szCs w:val="18"/>
              </w:rPr>
            </w:pPr>
            <w:r>
              <w:rPr>
                <w:rFonts w:hint="eastAsia"/>
                <w:b/>
                <w:sz w:val="18"/>
                <w:szCs w:val="18"/>
              </w:rPr>
              <w:t>0</w:t>
            </w:r>
            <w:r>
              <w:rPr>
                <w:b/>
                <w:sz w:val="18"/>
                <w:szCs w:val="18"/>
              </w:rPr>
              <w:t>.505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025"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二氧化硫绩效值（kg/t </w:t>
            </w:r>
            <w:r>
              <w:rPr>
                <w:rFonts w:ascii="宋体" w:hAnsi="宋体"/>
                <w:bCs/>
                <w:sz w:val="18"/>
                <w:szCs w:val="18"/>
              </w:rPr>
              <w:t>燃料）</w:t>
            </w:r>
          </w:p>
        </w:tc>
        <w:tc>
          <w:tcPr>
            <w:tcW w:w="867"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.675</w:t>
            </w:r>
          </w:p>
        </w:tc>
        <w:tc>
          <w:tcPr>
            <w:tcW w:w="954"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1.760</w:t>
            </w:r>
          </w:p>
        </w:tc>
        <w:tc>
          <w:tcPr>
            <w:tcW w:w="1154"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
                <w:sz w:val="18"/>
                <w:szCs w:val="18"/>
              </w:rPr>
            </w:pPr>
            <w:r>
              <w:rPr>
                <w:rFonts w:hint="eastAsia"/>
                <w:b/>
                <w:sz w:val="18"/>
                <w:szCs w:val="18"/>
              </w:rPr>
              <w:t>1</w:t>
            </w:r>
            <w:r>
              <w:rPr>
                <w:b/>
                <w:sz w:val="18"/>
                <w:szCs w:val="18"/>
              </w:rPr>
              <w:t>.685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2025"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氮氧化物绩效值（kg/t </w:t>
            </w:r>
            <w:r>
              <w:rPr>
                <w:rFonts w:ascii="宋体" w:hAnsi="宋体"/>
                <w:bCs/>
                <w:sz w:val="18"/>
                <w:szCs w:val="18"/>
              </w:rPr>
              <w:t>燃料）</w:t>
            </w:r>
          </w:p>
        </w:tc>
        <w:tc>
          <w:tcPr>
            <w:tcW w:w="867"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5</w:t>
            </w:r>
            <w:r>
              <w:rPr>
                <w:bCs/>
                <w:sz w:val="18"/>
                <w:szCs w:val="18"/>
              </w:rPr>
              <w:t>.024</w:t>
            </w:r>
          </w:p>
        </w:tc>
        <w:tc>
          <w:tcPr>
            <w:tcW w:w="954"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5.279</w:t>
            </w:r>
          </w:p>
        </w:tc>
        <w:tc>
          <w:tcPr>
            <w:tcW w:w="1154" w:type="pct"/>
            <w:tcBorders>
              <w:top w:val="single" w:color="000000" w:sz="4" w:space="0"/>
              <w:left w:val="nil"/>
              <w:bottom w:val="single" w:color="000000" w:sz="12" w:space="0"/>
              <w:right w:val="nil"/>
            </w:tcBorders>
            <w:vAlign w:val="center"/>
          </w:tcPr>
          <w:p>
            <w:pPr>
              <w:pStyle w:val="24"/>
              <w:snapToGrid w:val="0"/>
              <w:spacing w:line="240" w:lineRule="auto"/>
              <w:ind w:firstLine="0"/>
              <w:jc w:val="center"/>
              <w:rPr>
                <w:b/>
                <w:sz w:val="18"/>
                <w:szCs w:val="18"/>
              </w:rPr>
            </w:pPr>
            <w:r>
              <w:rPr>
                <w:rFonts w:hint="eastAsia"/>
                <w:b/>
                <w:sz w:val="18"/>
                <w:szCs w:val="18"/>
              </w:rPr>
              <w:t>5</w:t>
            </w:r>
            <w:r>
              <w:rPr>
                <w:b/>
                <w:sz w:val="18"/>
                <w:szCs w:val="18"/>
              </w:rPr>
              <w:t>.054</w:t>
            </w:r>
          </w:p>
        </w:tc>
      </w:tr>
    </w:tbl>
    <w:p>
      <w:pPr>
        <w:adjustRightInd w:val="0"/>
        <w:snapToGrid w:val="0"/>
        <w:spacing w:line="360" w:lineRule="auto"/>
        <w:rPr>
          <w:bCs/>
          <w:sz w:val="18"/>
          <w:szCs w:val="18"/>
        </w:rPr>
      </w:pPr>
      <w:r>
        <w:rPr>
          <w:rFonts w:ascii="宋体" w:hAnsi="宋体"/>
          <w:bCs/>
          <w:sz w:val="18"/>
          <w:szCs w:val="18"/>
        </w:rPr>
        <w:t>注：本项目燃料低位热值为</w:t>
      </w:r>
      <w:r>
        <w:rPr>
          <w:bCs/>
          <w:sz w:val="18"/>
          <w:szCs w:val="18"/>
        </w:rPr>
        <w:t xml:space="preserve"> 37.93 MJ/kg</w:t>
      </w:r>
      <w:r>
        <w:rPr>
          <w:rFonts w:ascii="宋体" w:hAnsi="宋体"/>
          <w:bCs/>
          <w:sz w:val="18"/>
          <w:szCs w:val="18"/>
        </w:rPr>
        <w:t xml:space="preserve">，介于 </w:t>
      </w:r>
      <w:r>
        <w:rPr>
          <w:bCs/>
          <w:sz w:val="18"/>
          <w:szCs w:val="18"/>
        </w:rPr>
        <w:t xml:space="preserve">37.68 MJ/kg </w:t>
      </w:r>
      <w:r>
        <w:rPr>
          <w:rFonts w:ascii="宋体" w:hAnsi="宋体"/>
          <w:bCs/>
          <w:sz w:val="18"/>
          <w:szCs w:val="18"/>
        </w:rPr>
        <w:t xml:space="preserve">及 </w:t>
      </w:r>
      <w:r>
        <w:rPr>
          <w:bCs/>
          <w:sz w:val="18"/>
          <w:szCs w:val="18"/>
        </w:rPr>
        <w:t xml:space="preserve">39.78 MJ/kg </w:t>
      </w:r>
      <w:r>
        <w:rPr>
          <w:rFonts w:ascii="宋体" w:hAnsi="宋体"/>
          <w:bCs/>
          <w:sz w:val="18"/>
          <w:szCs w:val="18"/>
        </w:rPr>
        <w:t>之间，根据《排污许可证申请与核发技术规范 工业炉窑》（</w:t>
      </w:r>
      <w:r>
        <w:rPr>
          <w:bCs/>
          <w:sz w:val="18"/>
          <w:szCs w:val="18"/>
        </w:rPr>
        <w:t>HJ1121-2020</w:t>
      </w:r>
      <w:r>
        <w:rPr>
          <w:rFonts w:ascii="宋体" w:hAnsi="宋体"/>
          <w:bCs/>
          <w:sz w:val="18"/>
          <w:szCs w:val="18"/>
        </w:rPr>
        <w:t xml:space="preserve">）表 </w:t>
      </w:r>
      <w:r>
        <w:rPr>
          <w:bCs/>
          <w:sz w:val="18"/>
          <w:szCs w:val="18"/>
        </w:rPr>
        <w:t xml:space="preserve">6 </w:t>
      </w:r>
      <w:r>
        <w:rPr>
          <w:rFonts w:ascii="宋体" w:hAnsi="宋体"/>
          <w:bCs/>
          <w:sz w:val="18"/>
          <w:szCs w:val="18"/>
        </w:rPr>
        <w:t>液体燃料绩效值表，对于实际热值介于上表数据之间的，采用插值法计算得到绩效值。</w:t>
      </w:r>
    </w:p>
    <w:p>
      <w:pPr>
        <w:adjustRightInd w:val="0"/>
        <w:snapToGrid w:val="0"/>
        <w:spacing w:line="360" w:lineRule="auto"/>
        <w:jc w:val="center"/>
        <w:rPr>
          <w:bCs/>
        </w:rPr>
      </w:pPr>
      <w:r>
        <w:rPr>
          <w:rFonts w:ascii="宋体" w:hAnsi="宋体"/>
          <w:bCs/>
        </w:rPr>
        <w:t>表</w:t>
      </w:r>
      <w:r>
        <w:rPr>
          <w:bCs/>
        </w:rPr>
        <w:t xml:space="preserve">4   </w:t>
      </w:r>
      <w:r>
        <w:rPr>
          <w:rFonts w:ascii="宋体" w:hAnsi="宋体"/>
          <w:bCs/>
        </w:rPr>
        <w:t>本项目烘干滚筒燃烧烟气产排污系数表</w:t>
      </w:r>
    </w:p>
    <w:tbl>
      <w:tblPr>
        <w:tblStyle w:val="10"/>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617"/>
        <w:gridCol w:w="1153"/>
        <w:gridCol w:w="939"/>
        <w:gridCol w:w="925"/>
        <w:gridCol w:w="1836"/>
        <w:gridCol w:w="1115"/>
        <w:gridCol w:w="91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951"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原料名称</w:t>
            </w:r>
          </w:p>
        </w:tc>
        <w:tc>
          <w:tcPr>
            <w:tcW w:w="678"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污染物指标</w:t>
            </w:r>
          </w:p>
        </w:tc>
        <w:tc>
          <w:tcPr>
            <w:tcW w:w="552"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单位</w:t>
            </w:r>
          </w:p>
        </w:tc>
        <w:tc>
          <w:tcPr>
            <w:tcW w:w="544"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产污系数</w:t>
            </w:r>
          </w:p>
        </w:tc>
        <w:tc>
          <w:tcPr>
            <w:tcW w:w="1080" w:type="pct"/>
            <w:tcBorders>
              <w:top w:val="single" w:color="000000" w:sz="12"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末端治理技术名称</w:t>
            </w:r>
          </w:p>
        </w:tc>
        <w:tc>
          <w:tcPr>
            <w:tcW w:w="656" w:type="pct"/>
            <w:tcBorders>
              <w:top w:val="single" w:color="000000" w:sz="12"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去除效率%</w:t>
            </w:r>
          </w:p>
        </w:tc>
        <w:tc>
          <w:tcPr>
            <w:tcW w:w="539" w:type="pct"/>
            <w:tcBorders>
              <w:top w:val="single" w:color="000000" w:sz="12" w:space="0"/>
              <w:left w:val="nil"/>
              <w:bottom w:val="single" w:color="000000" w:sz="4" w:space="0"/>
              <w:right w:val="nil"/>
            </w:tcBorders>
            <w:vAlign w:val="center"/>
          </w:tcPr>
          <w:p>
            <w:pPr>
              <w:pStyle w:val="24"/>
              <w:snapToGrid w:val="0"/>
              <w:spacing w:line="240" w:lineRule="auto"/>
              <w:ind w:firstLine="0"/>
              <w:jc w:val="center"/>
              <w:rPr>
                <w:bCs/>
                <w:sz w:val="18"/>
                <w:szCs w:val="18"/>
              </w:rPr>
            </w:pPr>
            <w:r>
              <w:rPr>
                <w:bCs/>
                <w:sz w:val="18"/>
                <w:szCs w:val="18"/>
              </w:rPr>
              <w:t>排污系数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951" w:type="pct"/>
            <w:vMerge w:val="restart"/>
            <w:tcBorders>
              <w:top w:val="nil"/>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燃料低位热值</w:t>
            </w:r>
          </w:p>
          <w:p>
            <w:pPr>
              <w:pStyle w:val="24"/>
              <w:snapToGrid w:val="0"/>
              <w:spacing w:line="240" w:lineRule="auto"/>
              <w:ind w:firstLine="0"/>
              <w:jc w:val="center"/>
              <w:rPr>
                <w:bCs/>
                <w:sz w:val="18"/>
                <w:szCs w:val="18"/>
              </w:rPr>
            </w:pPr>
            <w:r>
              <w:rPr>
                <w:bCs/>
                <w:sz w:val="18"/>
                <w:szCs w:val="18"/>
              </w:rPr>
              <w:t>（37.93 MJ/kg</w:t>
            </w:r>
            <w:r>
              <w:rPr>
                <w:rFonts w:ascii="宋体" w:hAnsi="宋体"/>
                <w:bCs/>
                <w:sz w:val="18"/>
                <w:szCs w:val="18"/>
              </w:rPr>
              <w:t>）</w:t>
            </w:r>
          </w:p>
        </w:tc>
        <w:tc>
          <w:tcPr>
            <w:tcW w:w="678"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颗粒物</w:t>
            </w:r>
          </w:p>
        </w:tc>
        <w:tc>
          <w:tcPr>
            <w:tcW w:w="552"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ascii="宋体" w:hAnsi="宋体"/>
                <w:bCs/>
                <w:sz w:val="18"/>
                <w:szCs w:val="18"/>
              </w:rPr>
              <w:t>燃料</w:t>
            </w:r>
          </w:p>
        </w:tc>
        <w:tc>
          <w:tcPr>
            <w:tcW w:w="544"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0</w:t>
            </w:r>
            <w:r>
              <w:rPr>
                <w:bCs/>
                <w:sz w:val="18"/>
                <w:szCs w:val="18"/>
              </w:rPr>
              <w:t>.505</w:t>
            </w:r>
          </w:p>
        </w:tc>
        <w:tc>
          <w:tcPr>
            <w:tcW w:w="1080"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布袋除尘器</w:t>
            </w:r>
          </w:p>
        </w:tc>
        <w:tc>
          <w:tcPr>
            <w:tcW w:w="656" w:type="pct"/>
            <w:tcBorders>
              <w:top w:val="single" w:color="000000" w:sz="4"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9</w:t>
            </w:r>
            <w:r>
              <w:rPr>
                <w:bCs/>
                <w:sz w:val="18"/>
                <w:szCs w:val="18"/>
              </w:rPr>
              <w:t>9</w:t>
            </w:r>
          </w:p>
        </w:tc>
        <w:tc>
          <w:tcPr>
            <w:tcW w:w="539"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Cs/>
                <w:sz w:val="18"/>
                <w:szCs w:val="18"/>
              </w:rPr>
            </w:pPr>
            <w:r>
              <w:rPr>
                <w:rFonts w:hint="eastAsia"/>
                <w:bCs/>
                <w:sz w:val="18"/>
                <w:szCs w:val="18"/>
              </w:rPr>
              <w:t>0</w:t>
            </w:r>
            <w:r>
              <w:rPr>
                <w:bCs/>
                <w:sz w:val="18"/>
                <w:szCs w:val="18"/>
              </w:rPr>
              <w:t>.00505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0" w:type="auto"/>
            <w:vMerge w:val="continue"/>
            <w:tcBorders>
              <w:top w:val="nil"/>
              <w:left w:val="nil"/>
              <w:bottom w:val="single" w:color="000000" w:sz="12" w:space="0"/>
              <w:right w:val="single" w:color="000000" w:sz="4" w:space="0"/>
            </w:tcBorders>
            <w:vAlign w:val="center"/>
          </w:tcPr>
          <w:p>
            <w:pPr>
              <w:widowControl/>
              <w:adjustRightInd w:val="0"/>
              <w:snapToGrid w:val="0"/>
              <w:jc w:val="center"/>
              <w:rPr>
                <w:bCs/>
                <w:kern w:val="24"/>
                <w:sz w:val="18"/>
                <w:szCs w:val="18"/>
              </w:rPr>
            </w:pPr>
          </w:p>
        </w:tc>
        <w:tc>
          <w:tcPr>
            <w:tcW w:w="678"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二氧化硫</w:t>
            </w:r>
          </w:p>
        </w:tc>
        <w:tc>
          <w:tcPr>
            <w:tcW w:w="552"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ascii="宋体" w:hAnsi="宋体"/>
                <w:bCs/>
                <w:sz w:val="18"/>
                <w:szCs w:val="18"/>
              </w:rPr>
              <w:t>燃料</w:t>
            </w:r>
          </w:p>
        </w:tc>
        <w:tc>
          <w:tcPr>
            <w:tcW w:w="544"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.685</w:t>
            </w:r>
          </w:p>
        </w:tc>
        <w:tc>
          <w:tcPr>
            <w:tcW w:w="1080" w:type="pct"/>
            <w:tcBorders>
              <w:top w:val="single" w:color="000000" w:sz="4" w:space="0"/>
              <w:left w:val="nil"/>
              <w:bottom w:val="single" w:color="000000" w:sz="4"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w:t>
            </w:r>
          </w:p>
        </w:tc>
        <w:tc>
          <w:tcPr>
            <w:tcW w:w="656" w:type="pct"/>
            <w:tcBorders>
              <w:top w:val="single" w:color="000000" w:sz="4" w:space="0"/>
              <w:left w:val="nil"/>
              <w:bottom w:val="single" w:color="000000" w:sz="4" w:space="0"/>
              <w:right w:val="single" w:color="auto" w:sz="4" w:space="0"/>
            </w:tcBorders>
            <w:vAlign w:val="center"/>
          </w:tcPr>
          <w:p>
            <w:pPr>
              <w:pStyle w:val="24"/>
              <w:snapToGrid w:val="0"/>
              <w:spacing w:line="240" w:lineRule="auto"/>
              <w:ind w:firstLine="0"/>
              <w:jc w:val="center"/>
              <w:rPr>
                <w:bCs/>
                <w:sz w:val="18"/>
                <w:szCs w:val="18"/>
              </w:rPr>
            </w:pPr>
            <w:r>
              <w:rPr>
                <w:rFonts w:hint="eastAsia"/>
                <w:bCs/>
                <w:sz w:val="18"/>
                <w:szCs w:val="18"/>
              </w:rPr>
              <w:t>0</w:t>
            </w:r>
          </w:p>
        </w:tc>
        <w:tc>
          <w:tcPr>
            <w:tcW w:w="539" w:type="pct"/>
            <w:tcBorders>
              <w:top w:val="single" w:color="000000" w:sz="4" w:space="0"/>
              <w:left w:val="nil"/>
              <w:bottom w:val="single" w:color="000000" w:sz="4" w:space="0"/>
              <w:right w:val="nil"/>
            </w:tcBorders>
            <w:vAlign w:val="center"/>
          </w:tcPr>
          <w:p>
            <w:pPr>
              <w:pStyle w:val="24"/>
              <w:snapToGrid w:val="0"/>
              <w:spacing w:line="240" w:lineRule="auto"/>
              <w:ind w:firstLine="0"/>
              <w:jc w:val="center"/>
              <w:rPr>
                <w:bCs/>
                <w:sz w:val="18"/>
                <w:szCs w:val="18"/>
              </w:rPr>
            </w:pPr>
            <w:r>
              <w:rPr>
                <w:rFonts w:hint="eastAsia"/>
                <w:bCs/>
                <w:sz w:val="18"/>
                <w:szCs w:val="18"/>
              </w:rPr>
              <w:t>1</w:t>
            </w:r>
            <w:r>
              <w:rPr>
                <w:bCs/>
                <w:sz w:val="18"/>
                <w:szCs w:val="18"/>
              </w:rPr>
              <w:t>.685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jc w:val="center"/>
        </w:trPr>
        <w:tc>
          <w:tcPr>
            <w:tcW w:w="0" w:type="auto"/>
            <w:vMerge w:val="continue"/>
            <w:tcBorders>
              <w:top w:val="nil"/>
              <w:left w:val="nil"/>
              <w:bottom w:val="single" w:color="000000" w:sz="12" w:space="0"/>
              <w:right w:val="single" w:color="000000" w:sz="4" w:space="0"/>
            </w:tcBorders>
            <w:vAlign w:val="center"/>
          </w:tcPr>
          <w:p>
            <w:pPr>
              <w:widowControl/>
              <w:adjustRightInd w:val="0"/>
              <w:snapToGrid w:val="0"/>
              <w:jc w:val="center"/>
              <w:rPr>
                <w:bCs/>
                <w:kern w:val="24"/>
                <w:sz w:val="18"/>
                <w:szCs w:val="18"/>
              </w:rPr>
            </w:pPr>
          </w:p>
        </w:tc>
        <w:tc>
          <w:tcPr>
            <w:tcW w:w="678"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氮氧化物</w:t>
            </w:r>
          </w:p>
        </w:tc>
        <w:tc>
          <w:tcPr>
            <w:tcW w:w="552"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bCs/>
                <w:sz w:val="18"/>
                <w:szCs w:val="18"/>
              </w:rPr>
              <w:t xml:space="preserve">kg/t </w:t>
            </w:r>
            <w:r>
              <w:rPr>
                <w:rFonts w:ascii="宋体" w:hAnsi="宋体"/>
                <w:bCs/>
                <w:sz w:val="18"/>
                <w:szCs w:val="18"/>
              </w:rPr>
              <w:t>燃料</w:t>
            </w:r>
          </w:p>
        </w:tc>
        <w:tc>
          <w:tcPr>
            <w:tcW w:w="544"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bCs/>
                <w:sz w:val="18"/>
                <w:szCs w:val="18"/>
              </w:rPr>
            </w:pPr>
            <w:r>
              <w:rPr>
                <w:rFonts w:hint="eastAsia"/>
                <w:bCs/>
                <w:sz w:val="18"/>
                <w:szCs w:val="18"/>
              </w:rPr>
              <w:t>5</w:t>
            </w:r>
            <w:r>
              <w:rPr>
                <w:bCs/>
                <w:sz w:val="18"/>
                <w:szCs w:val="18"/>
              </w:rPr>
              <w:t>.054</w:t>
            </w:r>
          </w:p>
        </w:tc>
        <w:tc>
          <w:tcPr>
            <w:tcW w:w="1080" w:type="pct"/>
            <w:tcBorders>
              <w:top w:val="single" w:color="000000" w:sz="4" w:space="0"/>
              <w:left w:val="nil"/>
              <w:bottom w:val="single" w:color="000000" w:sz="12" w:space="0"/>
              <w:right w:val="single" w:color="000000" w:sz="4" w:space="0"/>
            </w:tcBorders>
            <w:vAlign w:val="center"/>
          </w:tcPr>
          <w:p>
            <w:pPr>
              <w:pStyle w:val="24"/>
              <w:snapToGrid w:val="0"/>
              <w:spacing w:line="240" w:lineRule="auto"/>
              <w:ind w:firstLine="0"/>
              <w:jc w:val="center"/>
              <w:rPr>
                <w:rFonts w:hint="default" w:eastAsia="宋体"/>
                <w:bCs/>
                <w:sz w:val="18"/>
                <w:szCs w:val="18"/>
                <w:lang w:val="en-US" w:eastAsia="zh-CN"/>
              </w:rPr>
            </w:pPr>
            <w:r>
              <w:rPr>
                <w:rFonts w:hint="eastAsia"/>
                <w:bCs/>
                <w:sz w:val="18"/>
                <w:szCs w:val="18"/>
                <w:lang w:val="en-US" w:eastAsia="zh-CN"/>
              </w:rPr>
              <w:t>低氮燃烧</w:t>
            </w:r>
          </w:p>
        </w:tc>
        <w:tc>
          <w:tcPr>
            <w:tcW w:w="656" w:type="pct"/>
            <w:tcBorders>
              <w:top w:val="single" w:color="000000" w:sz="4" w:space="0"/>
              <w:left w:val="nil"/>
              <w:bottom w:val="single" w:color="000000" w:sz="12" w:space="0"/>
              <w:right w:val="single" w:color="auto" w:sz="4" w:space="0"/>
            </w:tcBorders>
            <w:vAlign w:val="center"/>
          </w:tcPr>
          <w:p>
            <w:pPr>
              <w:pStyle w:val="24"/>
              <w:snapToGrid w:val="0"/>
              <w:spacing w:line="240" w:lineRule="auto"/>
              <w:ind w:firstLine="0"/>
              <w:jc w:val="center"/>
              <w:rPr>
                <w:rFonts w:hint="default" w:eastAsia="宋体"/>
                <w:bCs/>
                <w:sz w:val="18"/>
                <w:szCs w:val="18"/>
                <w:lang w:val="en-US" w:eastAsia="zh-CN"/>
              </w:rPr>
            </w:pPr>
            <w:r>
              <w:rPr>
                <w:rFonts w:hint="eastAsia"/>
                <w:bCs/>
                <w:sz w:val="18"/>
                <w:szCs w:val="18"/>
                <w:lang w:val="en-US" w:eastAsia="zh-CN"/>
              </w:rPr>
              <w:t>70</w:t>
            </w:r>
          </w:p>
        </w:tc>
        <w:tc>
          <w:tcPr>
            <w:tcW w:w="539" w:type="pct"/>
            <w:tcBorders>
              <w:top w:val="single" w:color="000000" w:sz="4" w:space="0"/>
              <w:left w:val="nil"/>
              <w:bottom w:val="single" w:color="000000" w:sz="12" w:space="0"/>
              <w:right w:val="nil"/>
            </w:tcBorders>
            <w:vAlign w:val="center"/>
          </w:tcPr>
          <w:p>
            <w:pPr>
              <w:pStyle w:val="24"/>
              <w:snapToGrid w:val="0"/>
              <w:spacing w:line="240" w:lineRule="auto"/>
              <w:ind w:firstLine="0"/>
              <w:jc w:val="center"/>
              <w:rPr>
                <w:rFonts w:hint="default" w:eastAsia="宋体"/>
                <w:bCs/>
                <w:sz w:val="18"/>
                <w:szCs w:val="18"/>
                <w:lang w:val="en-US" w:eastAsia="zh-CN"/>
              </w:rPr>
            </w:pPr>
            <w:r>
              <w:rPr>
                <w:rFonts w:hint="eastAsia"/>
                <w:bCs/>
                <w:sz w:val="18"/>
                <w:szCs w:val="18"/>
                <w:lang w:val="en-US" w:eastAsia="zh-CN"/>
              </w:rPr>
              <w:t>1.52</w:t>
            </w:r>
          </w:p>
        </w:tc>
      </w:tr>
    </w:tbl>
    <w:p>
      <w:pPr>
        <w:adjustRightInd w:val="0"/>
        <w:snapToGrid w:val="0"/>
        <w:spacing w:line="360" w:lineRule="auto"/>
        <w:ind w:firstLine="420" w:firstLineChars="200"/>
        <w:rPr>
          <w:bCs/>
        </w:rPr>
      </w:pPr>
      <w:r>
        <w:rPr>
          <w:rFonts w:ascii="宋体" w:hAnsi="宋体"/>
          <w:bCs/>
        </w:rPr>
        <w:t>综上所述，</w:t>
      </w:r>
      <w:r>
        <w:rPr>
          <w:rFonts w:hint="eastAsia" w:ascii="宋体" w:hAnsi="宋体"/>
          <w:bCs/>
        </w:rPr>
        <w:t>烘干滚筒燃烧烟气</w:t>
      </w:r>
      <w:r>
        <w:rPr>
          <w:rFonts w:ascii="宋体" w:hAnsi="宋体"/>
          <w:bCs/>
        </w:rPr>
        <w:t>污染物产生及排放</w:t>
      </w:r>
      <w:r>
        <w:rPr>
          <w:rFonts w:hint="eastAsia" w:ascii="宋体" w:hAnsi="宋体"/>
          <w:bCs/>
          <w:lang w:val="en-US" w:eastAsia="zh-CN"/>
        </w:rPr>
        <w:t>量</w:t>
      </w:r>
      <w:r>
        <w:rPr>
          <w:rFonts w:ascii="宋体" w:hAnsi="宋体"/>
          <w:bCs/>
        </w:rPr>
        <w:t>详见下表。</w:t>
      </w:r>
    </w:p>
    <w:p>
      <w:pPr>
        <w:adjustRightInd w:val="0"/>
        <w:snapToGrid w:val="0"/>
        <w:spacing w:line="360" w:lineRule="auto"/>
        <w:jc w:val="center"/>
        <w:rPr>
          <w:bCs/>
        </w:rPr>
      </w:pPr>
      <w:r>
        <w:rPr>
          <w:rFonts w:ascii="宋体" w:hAnsi="宋体"/>
          <w:bCs/>
        </w:rPr>
        <w:t>表</w:t>
      </w:r>
      <w:r>
        <w:rPr>
          <w:bCs/>
        </w:rPr>
        <w:t xml:space="preserve">5  </w:t>
      </w:r>
      <w:r>
        <w:rPr>
          <w:rFonts w:ascii="宋体" w:hAnsi="宋体"/>
          <w:bCs/>
        </w:rPr>
        <w:t>烘干滚筒燃烧烟气污染物产生及排放</w:t>
      </w:r>
      <w:r>
        <w:rPr>
          <w:rFonts w:hint="eastAsia" w:ascii="宋体" w:hAnsi="宋体"/>
          <w:bCs/>
          <w:lang w:val="en-US" w:eastAsia="zh-CN"/>
        </w:rPr>
        <w:t>量</w:t>
      </w:r>
      <w:r>
        <w:rPr>
          <w:rFonts w:ascii="宋体" w:hAnsi="宋体"/>
          <w:bCs/>
        </w:rPr>
        <w:t>一览表</w:t>
      </w:r>
    </w:p>
    <w:tbl>
      <w:tblPr>
        <w:tblStyle w:val="1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287"/>
        <w:gridCol w:w="1284"/>
        <w:gridCol w:w="1102"/>
        <w:gridCol w:w="1099"/>
        <w:gridCol w:w="1652"/>
        <w:gridCol w:w="14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Align w:val="center"/>
          </w:tcPr>
          <w:p>
            <w:pPr>
              <w:adjustRightInd w:val="0"/>
              <w:snapToGrid w:val="0"/>
              <w:jc w:val="center"/>
              <w:rPr>
                <w:sz w:val="18"/>
                <w:szCs w:val="18"/>
              </w:rPr>
            </w:pPr>
            <w:r>
              <w:rPr>
                <w:sz w:val="18"/>
                <w:szCs w:val="18"/>
              </w:rPr>
              <w:t>污染源</w:t>
            </w:r>
          </w:p>
        </w:tc>
        <w:tc>
          <w:tcPr>
            <w:tcW w:w="738" w:type="pct"/>
            <w:vAlign w:val="center"/>
          </w:tcPr>
          <w:p>
            <w:pPr>
              <w:adjustRightInd w:val="0"/>
              <w:snapToGrid w:val="0"/>
              <w:jc w:val="center"/>
              <w:rPr>
                <w:sz w:val="18"/>
                <w:szCs w:val="18"/>
              </w:rPr>
            </w:pPr>
            <w:r>
              <w:rPr>
                <w:sz w:val="18"/>
                <w:szCs w:val="18"/>
              </w:rPr>
              <w:t>排气筒高（m</w:t>
            </w:r>
            <w:r>
              <w:rPr>
                <w:rFonts w:ascii="宋体" w:hAnsi="宋体"/>
                <w:sz w:val="18"/>
                <w:szCs w:val="18"/>
              </w:rPr>
              <w:t>）</w:t>
            </w:r>
          </w:p>
        </w:tc>
        <w:tc>
          <w:tcPr>
            <w:tcW w:w="736" w:type="pct"/>
            <w:vAlign w:val="center"/>
          </w:tcPr>
          <w:p>
            <w:pPr>
              <w:adjustRightInd w:val="0"/>
              <w:snapToGrid w:val="0"/>
              <w:jc w:val="center"/>
              <w:rPr>
                <w:sz w:val="18"/>
                <w:szCs w:val="18"/>
              </w:rPr>
            </w:pPr>
            <w:r>
              <w:rPr>
                <w:sz w:val="18"/>
                <w:szCs w:val="18"/>
              </w:rPr>
              <w:t>烟气量（m</w:t>
            </w:r>
            <w:r>
              <w:rPr>
                <w:sz w:val="18"/>
                <w:szCs w:val="18"/>
                <w:vertAlign w:val="superscript"/>
              </w:rPr>
              <w:t>3</w:t>
            </w:r>
            <w:r>
              <w:rPr>
                <w:sz w:val="18"/>
                <w:szCs w:val="18"/>
              </w:rPr>
              <w:t>/a</w:t>
            </w:r>
            <w:r>
              <w:rPr>
                <w:rFonts w:ascii="宋体" w:hAnsi="宋体"/>
                <w:sz w:val="18"/>
                <w:szCs w:val="18"/>
              </w:rPr>
              <w:t>）</w:t>
            </w:r>
          </w:p>
        </w:tc>
        <w:tc>
          <w:tcPr>
            <w:tcW w:w="632" w:type="pct"/>
            <w:vAlign w:val="center"/>
          </w:tcPr>
          <w:p>
            <w:pPr>
              <w:adjustRightInd w:val="0"/>
              <w:snapToGrid w:val="0"/>
              <w:jc w:val="center"/>
              <w:rPr>
                <w:sz w:val="18"/>
                <w:szCs w:val="18"/>
              </w:rPr>
            </w:pPr>
            <w:r>
              <w:rPr>
                <w:sz w:val="18"/>
                <w:szCs w:val="18"/>
              </w:rPr>
              <w:t>污染物名称</w:t>
            </w:r>
          </w:p>
        </w:tc>
        <w:tc>
          <w:tcPr>
            <w:tcW w:w="630" w:type="pct"/>
            <w:vAlign w:val="center"/>
          </w:tcPr>
          <w:p>
            <w:pPr>
              <w:adjustRightInd w:val="0"/>
              <w:snapToGrid w:val="0"/>
              <w:jc w:val="center"/>
              <w:rPr>
                <w:sz w:val="18"/>
                <w:szCs w:val="18"/>
              </w:rPr>
            </w:pPr>
            <w:r>
              <w:rPr>
                <w:sz w:val="18"/>
                <w:szCs w:val="18"/>
              </w:rPr>
              <w:t>产生量（t/a</w:t>
            </w:r>
            <w:r>
              <w:rPr>
                <w:rFonts w:ascii="宋体" w:hAnsi="宋体"/>
                <w:sz w:val="18"/>
                <w:szCs w:val="18"/>
              </w:rPr>
              <w:t>）</w:t>
            </w:r>
          </w:p>
        </w:tc>
        <w:tc>
          <w:tcPr>
            <w:tcW w:w="947" w:type="pct"/>
            <w:vAlign w:val="center"/>
          </w:tcPr>
          <w:p>
            <w:pPr>
              <w:adjustRightInd w:val="0"/>
              <w:snapToGrid w:val="0"/>
              <w:jc w:val="center"/>
              <w:rPr>
                <w:sz w:val="18"/>
                <w:szCs w:val="18"/>
              </w:rPr>
            </w:pPr>
            <w:r>
              <w:rPr>
                <w:sz w:val="18"/>
                <w:szCs w:val="18"/>
              </w:rPr>
              <w:t>治理措施</w:t>
            </w:r>
          </w:p>
        </w:tc>
        <w:tc>
          <w:tcPr>
            <w:tcW w:w="814" w:type="pct"/>
            <w:vAlign w:val="center"/>
          </w:tcPr>
          <w:p>
            <w:pPr>
              <w:adjustRightInd w:val="0"/>
              <w:snapToGrid w:val="0"/>
              <w:jc w:val="center"/>
              <w:rPr>
                <w:sz w:val="18"/>
                <w:szCs w:val="18"/>
              </w:rPr>
            </w:pPr>
            <w:r>
              <w:rPr>
                <w:sz w:val="18"/>
                <w:szCs w:val="18"/>
              </w:rPr>
              <w:t>排放量（t/a</w:t>
            </w:r>
            <w:r>
              <w:rPr>
                <w:rFonts w:ascii="宋体" w:hAnsi="宋体"/>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restart"/>
            <w:vAlign w:val="center"/>
          </w:tcPr>
          <w:p>
            <w:pPr>
              <w:adjustRightInd w:val="0"/>
              <w:snapToGrid w:val="0"/>
              <w:jc w:val="center"/>
              <w:rPr>
                <w:rFonts w:hint="default" w:eastAsia="宋体"/>
                <w:sz w:val="18"/>
                <w:szCs w:val="18"/>
                <w:lang w:val="en-US" w:eastAsia="zh-CN"/>
              </w:rPr>
            </w:pPr>
            <w:r>
              <w:rPr>
                <w:sz w:val="18"/>
                <w:szCs w:val="18"/>
              </w:rPr>
              <w:t>烘干滚筒</w:t>
            </w:r>
            <w:r>
              <w:rPr>
                <w:rFonts w:hint="eastAsia"/>
                <w:sz w:val="18"/>
                <w:szCs w:val="18"/>
                <w:lang w:val="en-US" w:eastAsia="zh-CN"/>
              </w:rPr>
              <w:t>燃烧烟气</w:t>
            </w:r>
          </w:p>
        </w:tc>
        <w:tc>
          <w:tcPr>
            <w:tcW w:w="738" w:type="pct"/>
            <w:vMerge w:val="restart"/>
            <w:vAlign w:val="center"/>
          </w:tcPr>
          <w:p>
            <w:pPr>
              <w:adjustRightInd w:val="0"/>
              <w:snapToGrid w:val="0"/>
              <w:jc w:val="center"/>
              <w:rPr>
                <w:sz w:val="18"/>
                <w:szCs w:val="18"/>
              </w:rPr>
            </w:pPr>
            <w:r>
              <w:rPr>
                <w:sz w:val="18"/>
                <w:szCs w:val="18"/>
              </w:rPr>
              <w:t>15</w:t>
            </w:r>
          </w:p>
        </w:tc>
        <w:tc>
          <w:tcPr>
            <w:tcW w:w="736" w:type="pct"/>
            <w:vMerge w:val="restart"/>
            <w:vAlign w:val="center"/>
          </w:tcPr>
          <w:p>
            <w:pPr>
              <w:adjustRightInd w:val="0"/>
              <w:snapToGrid w:val="0"/>
              <w:jc w:val="center"/>
              <w:rPr>
                <w:sz w:val="18"/>
                <w:szCs w:val="18"/>
              </w:rPr>
            </w:pPr>
            <w:r>
              <w:rPr>
                <w:rFonts w:hint="eastAsia"/>
                <w:sz w:val="18"/>
                <w:szCs w:val="18"/>
              </w:rPr>
              <w:t>2</w:t>
            </w:r>
            <w:r>
              <w:rPr>
                <w:sz w:val="18"/>
                <w:szCs w:val="18"/>
              </w:rPr>
              <w:t>84467.5</w:t>
            </w:r>
          </w:p>
        </w:tc>
        <w:tc>
          <w:tcPr>
            <w:tcW w:w="632" w:type="pct"/>
            <w:vAlign w:val="center"/>
          </w:tcPr>
          <w:p>
            <w:pPr>
              <w:adjustRightInd w:val="0"/>
              <w:snapToGrid w:val="0"/>
              <w:jc w:val="center"/>
              <w:rPr>
                <w:sz w:val="18"/>
                <w:szCs w:val="18"/>
              </w:rPr>
            </w:pPr>
            <w:r>
              <w:rPr>
                <w:sz w:val="18"/>
                <w:szCs w:val="18"/>
              </w:rPr>
              <w:t>烟尘</w:t>
            </w:r>
          </w:p>
        </w:tc>
        <w:tc>
          <w:tcPr>
            <w:tcW w:w="63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.013</w:t>
            </w:r>
          </w:p>
        </w:tc>
        <w:tc>
          <w:tcPr>
            <w:tcW w:w="947" w:type="pct"/>
            <w:vAlign w:val="center"/>
          </w:tcPr>
          <w:p>
            <w:pPr>
              <w:adjustRightInd w:val="0"/>
              <w:snapToGrid w:val="0"/>
              <w:jc w:val="center"/>
              <w:rPr>
                <w:sz w:val="18"/>
                <w:szCs w:val="18"/>
              </w:rPr>
            </w:pPr>
            <w:r>
              <w:rPr>
                <w:sz w:val="18"/>
                <w:szCs w:val="18"/>
              </w:rPr>
              <w:t>布袋除尘器</w:t>
            </w:r>
          </w:p>
        </w:tc>
        <w:tc>
          <w:tcPr>
            <w:tcW w:w="814"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 xml:space="preserve">.126 </w:t>
            </w:r>
            <w:r>
              <w:rPr>
                <w:rFonts w:hint="eastAsia"/>
                <w:sz w:val="18"/>
                <w:szCs w:val="18"/>
              </w:rPr>
              <w:t>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vAlign w:val="center"/>
          </w:tcPr>
          <w:p>
            <w:pPr>
              <w:widowControl/>
              <w:adjustRightInd w:val="0"/>
              <w:snapToGrid w:val="0"/>
              <w:jc w:val="center"/>
              <w:rPr>
                <w:sz w:val="18"/>
                <w:szCs w:val="18"/>
              </w:rPr>
            </w:pPr>
          </w:p>
        </w:tc>
        <w:tc>
          <w:tcPr>
            <w:tcW w:w="738" w:type="pct"/>
            <w:vMerge w:val="continue"/>
            <w:vAlign w:val="center"/>
          </w:tcPr>
          <w:p>
            <w:pPr>
              <w:widowControl/>
              <w:adjustRightInd w:val="0"/>
              <w:snapToGrid w:val="0"/>
              <w:jc w:val="center"/>
              <w:rPr>
                <w:sz w:val="18"/>
                <w:szCs w:val="18"/>
              </w:rPr>
            </w:pPr>
          </w:p>
        </w:tc>
        <w:tc>
          <w:tcPr>
            <w:tcW w:w="736" w:type="pct"/>
            <w:vMerge w:val="continue"/>
            <w:vAlign w:val="center"/>
          </w:tcPr>
          <w:p>
            <w:pPr>
              <w:widowControl/>
              <w:adjustRightInd w:val="0"/>
              <w:snapToGrid w:val="0"/>
              <w:jc w:val="center"/>
              <w:rPr>
                <w:sz w:val="18"/>
                <w:szCs w:val="18"/>
              </w:rPr>
            </w:pPr>
          </w:p>
        </w:tc>
        <w:tc>
          <w:tcPr>
            <w:tcW w:w="632" w:type="pct"/>
            <w:vAlign w:val="center"/>
          </w:tcPr>
          <w:p>
            <w:pPr>
              <w:adjustRightInd w:val="0"/>
              <w:snapToGrid w:val="0"/>
              <w:jc w:val="center"/>
              <w:rPr>
                <w:sz w:val="18"/>
                <w:szCs w:val="18"/>
              </w:rPr>
            </w:pPr>
            <w:r>
              <w:rPr>
                <w:sz w:val="18"/>
                <w:szCs w:val="18"/>
              </w:rPr>
              <w:t>SO</w:t>
            </w:r>
            <w:r>
              <w:rPr>
                <w:sz w:val="18"/>
                <w:szCs w:val="18"/>
                <w:vertAlign w:val="subscript"/>
              </w:rPr>
              <w:t>2</w:t>
            </w:r>
          </w:p>
        </w:tc>
        <w:tc>
          <w:tcPr>
            <w:tcW w:w="63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.042</w:t>
            </w:r>
          </w:p>
        </w:tc>
        <w:tc>
          <w:tcPr>
            <w:tcW w:w="947" w:type="pct"/>
            <w:vAlign w:val="center"/>
          </w:tcPr>
          <w:p>
            <w:pPr>
              <w:adjustRightInd w:val="0"/>
              <w:snapToGrid w:val="0"/>
              <w:jc w:val="center"/>
              <w:rPr>
                <w:sz w:val="18"/>
                <w:szCs w:val="18"/>
              </w:rPr>
            </w:pPr>
            <w:r>
              <w:rPr>
                <w:sz w:val="18"/>
                <w:szCs w:val="18"/>
              </w:rPr>
              <w:t>/</w:t>
            </w:r>
          </w:p>
        </w:tc>
        <w:tc>
          <w:tcPr>
            <w:tcW w:w="814"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vAlign w:val="center"/>
          </w:tcPr>
          <w:p>
            <w:pPr>
              <w:widowControl/>
              <w:adjustRightInd w:val="0"/>
              <w:snapToGrid w:val="0"/>
              <w:jc w:val="center"/>
              <w:rPr>
                <w:sz w:val="18"/>
                <w:szCs w:val="18"/>
              </w:rPr>
            </w:pPr>
          </w:p>
        </w:tc>
        <w:tc>
          <w:tcPr>
            <w:tcW w:w="738" w:type="pct"/>
            <w:vMerge w:val="continue"/>
            <w:vAlign w:val="center"/>
          </w:tcPr>
          <w:p>
            <w:pPr>
              <w:widowControl/>
              <w:adjustRightInd w:val="0"/>
              <w:snapToGrid w:val="0"/>
              <w:jc w:val="center"/>
              <w:rPr>
                <w:sz w:val="18"/>
                <w:szCs w:val="18"/>
              </w:rPr>
            </w:pPr>
          </w:p>
        </w:tc>
        <w:tc>
          <w:tcPr>
            <w:tcW w:w="736" w:type="pct"/>
            <w:vMerge w:val="continue"/>
            <w:vAlign w:val="center"/>
          </w:tcPr>
          <w:p>
            <w:pPr>
              <w:widowControl/>
              <w:adjustRightInd w:val="0"/>
              <w:snapToGrid w:val="0"/>
              <w:jc w:val="center"/>
              <w:rPr>
                <w:sz w:val="18"/>
                <w:szCs w:val="18"/>
              </w:rPr>
            </w:pPr>
          </w:p>
        </w:tc>
        <w:tc>
          <w:tcPr>
            <w:tcW w:w="632" w:type="pct"/>
            <w:vAlign w:val="center"/>
          </w:tcPr>
          <w:p>
            <w:pPr>
              <w:adjustRightInd w:val="0"/>
              <w:snapToGrid w:val="0"/>
              <w:jc w:val="center"/>
              <w:rPr>
                <w:sz w:val="18"/>
                <w:szCs w:val="18"/>
              </w:rPr>
            </w:pPr>
            <w:r>
              <w:rPr>
                <w:sz w:val="18"/>
                <w:szCs w:val="18"/>
              </w:rPr>
              <w:t>NO</w:t>
            </w:r>
            <w:r>
              <w:rPr>
                <w:sz w:val="18"/>
                <w:szCs w:val="18"/>
                <w:vertAlign w:val="subscript"/>
              </w:rPr>
              <w:t>X</w:t>
            </w:r>
          </w:p>
        </w:tc>
        <w:tc>
          <w:tcPr>
            <w:tcW w:w="630"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.126</w:t>
            </w:r>
          </w:p>
        </w:tc>
        <w:tc>
          <w:tcPr>
            <w:tcW w:w="947" w:type="pct"/>
            <w:vAlign w:val="center"/>
          </w:tcPr>
          <w:p>
            <w:pPr>
              <w:adjustRightInd w:val="0"/>
              <w:snapToGrid w:val="0"/>
              <w:jc w:val="center"/>
              <w:rPr>
                <w:rFonts w:hint="eastAsia" w:eastAsia="宋体"/>
                <w:sz w:val="18"/>
                <w:szCs w:val="18"/>
                <w:lang w:val="en-US" w:eastAsia="zh-CN"/>
              </w:rPr>
            </w:pPr>
            <w:r>
              <w:rPr>
                <w:rFonts w:hint="eastAsia"/>
                <w:sz w:val="18"/>
                <w:szCs w:val="18"/>
                <w:lang w:val="en-US" w:eastAsia="zh-CN"/>
              </w:rPr>
              <w:t>低氮燃烧</w:t>
            </w:r>
          </w:p>
        </w:tc>
        <w:tc>
          <w:tcPr>
            <w:tcW w:w="814" w:type="pct"/>
            <w:vAlign w:val="center"/>
          </w:tcPr>
          <w:p>
            <w:pPr>
              <w:pStyle w:val="24"/>
              <w:snapToGrid w:val="0"/>
              <w:spacing w:line="240" w:lineRule="auto"/>
              <w:ind w:firstLine="0"/>
              <w:jc w:val="center"/>
              <w:rPr>
                <w:rFonts w:hint="default" w:eastAsia="宋体"/>
                <w:sz w:val="18"/>
                <w:szCs w:val="18"/>
                <w:lang w:val="en-US" w:eastAsia="zh-CN"/>
              </w:rPr>
            </w:pPr>
            <w:r>
              <w:rPr>
                <w:rFonts w:hint="eastAsia"/>
                <w:sz w:val="18"/>
                <w:szCs w:val="18"/>
                <w:lang w:val="en-US" w:eastAsia="zh-CN"/>
              </w:rPr>
              <w:t>0.038</w:t>
            </w:r>
          </w:p>
        </w:tc>
      </w:tr>
    </w:tbl>
    <w:p>
      <w:pPr>
        <w:adjustRightInd w:val="0"/>
        <w:snapToGrid w:val="0"/>
        <w:spacing w:line="360" w:lineRule="auto"/>
        <w:ind w:firstLine="420" w:firstLineChars="200"/>
        <w:rPr>
          <w:bCs/>
          <w:color w:val="auto"/>
        </w:rPr>
      </w:pPr>
      <w:r>
        <w:rPr>
          <w:rFonts w:hint="eastAsia" w:ascii="宋体" w:hAnsi="宋体"/>
          <w:bCs/>
          <w:color w:val="auto"/>
        </w:rPr>
        <w:t>③石料烘干、筛分粉尘</w:t>
      </w:r>
    </w:p>
    <w:p>
      <w:pPr>
        <w:adjustRightInd w:val="0"/>
        <w:snapToGrid w:val="0"/>
        <w:spacing w:line="360" w:lineRule="auto"/>
        <w:ind w:firstLine="420" w:firstLineChars="200"/>
        <w:rPr>
          <w:bCs/>
          <w:color w:val="auto"/>
        </w:rPr>
      </w:pPr>
      <w:r>
        <w:rPr>
          <w:rFonts w:hint="eastAsia" w:ascii="宋体" w:hAnsi="宋体"/>
          <w:bCs/>
          <w:color w:val="auto"/>
        </w:rPr>
        <w:t>石料烘干、筛分过程产生的粉尘，</w:t>
      </w:r>
      <w:r>
        <w:rPr>
          <w:rFonts w:ascii="宋体" w:hAnsi="宋体"/>
          <w:bCs/>
          <w:color w:val="auto"/>
        </w:rPr>
        <w:t>与烘干滚筒燃烧烟气共同由布袋除尘器</w:t>
      </w:r>
      <w:r>
        <w:rPr>
          <w:rFonts w:hint="eastAsia" w:ascii="宋体" w:hAnsi="宋体"/>
          <w:bCs/>
          <w:color w:val="auto"/>
        </w:rPr>
        <w:t>（风机风量</w:t>
      </w:r>
      <w:r>
        <w:rPr>
          <w:rFonts w:hint="eastAsia"/>
          <w:bCs/>
          <w:color w:val="auto"/>
        </w:rPr>
        <w:t>1</w:t>
      </w:r>
      <w:r>
        <w:rPr>
          <w:bCs/>
          <w:color w:val="auto"/>
        </w:rPr>
        <w:t>0000m</w:t>
      </w:r>
      <w:r>
        <w:rPr>
          <w:bCs/>
          <w:color w:val="auto"/>
          <w:vertAlign w:val="superscript"/>
        </w:rPr>
        <w:t>3</w:t>
      </w:r>
      <w:r>
        <w:rPr>
          <w:bCs/>
          <w:color w:val="auto"/>
        </w:rPr>
        <w:t>/h</w:t>
      </w:r>
      <w:r>
        <w:rPr>
          <w:rFonts w:hint="eastAsia" w:ascii="宋体" w:hAnsi="宋体"/>
          <w:bCs/>
          <w:color w:val="auto"/>
        </w:rPr>
        <w:t>，去除效率</w:t>
      </w:r>
      <w:r>
        <w:rPr>
          <w:rFonts w:hint="eastAsia"/>
          <w:bCs/>
          <w:color w:val="auto"/>
        </w:rPr>
        <w:t>9</w:t>
      </w:r>
      <w:r>
        <w:rPr>
          <w:bCs/>
          <w:color w:val="auto"/>
        </w:rPr>
        <w:t>9</w:t>
      </w:r>
      <w:r>
        <w:rPr>
          <w:rFonts w:hint="eastAsia"/>
          <w:bCs/>
          <w:color w:val="auto"/>
        </w:rPr>
        <w:t>%</w:t>
      </w:r>
      <w:r>
        <w:rPr>
          <w:rFonts w:hint="eastAsia" w:ascii="宋体" w:hAnsi="宋体"/>
          <w:bCs/>
          <w:color w:val="auto"/>
        </w:rPr>
        <w:t>）</w:t>
      </w:r>
      <w:r>
        <w:rPr>
          <w:rFonts w:ascii="宋体" w:hAnsi="宋体"/>
          <w:bCs/>
          <w:color w:val="auto"/>
        </w:rPr>
        <w:t>处理后，经同一排口排出。</w:t>
      </w:r>
    </w:p>
    <w:p>
      <w:pPr>
        <w:adjustRightInd w:val="0"/>
        <w:snapToGrid w:val="0"/>
        <w:spacing w:line="360" w:lineRule="auto"/>
        <w:ind w:firstLine="420" w:firstLineChars="200"/>
        <w:rPr>
          <w:bCs/>
        </w:rPr>
      </w:pPr>
      <w:r>
        <w:rPr>
          <w:rFonts w:ascii="宋体" w:hAnsi="宋体"/>
          <w:bCs/>
          <w:color w:val="auto"/>
        </w:rPr>
        <w:t>根据《第二次全国污染源普查产排污核算系数手册（试用版）</w:t>
      </w:r>
      <w:r>
        <w:rPr>
          <w:rFonts w:ascii="宋体" w:hAnsi="宋体"/>
          <w:bCs/>
        </w:rPr>
        <w:t>》中</w:t>
      </w:r>
      <w:r>
        <w:rPr>
          <w:bCs/>
        </w:rPr>
        <w:t>“</w:t>
      </w:r>
      <w:r>
        <w:rPr>
          <w:rFonts w:ascii="宋体" w:hAnsi="宋体"/>
          <w:bCs/>
        </w:rPr>
        <w:t>其他非金属矿物制品制造行业</w:t>
      </w:r>
      <w:r>
        <w:rPr>
          <w:bCs/>
        </w:rPr>
        <w:t>”</w:t>
      </w:r>
      <w:r>
        <w:rPr>
          <w:rFonts w:ascii="宋体" w:hAnsi="宋体"/>
          <w:bCs/>
        </w:rPr>
        <w:t>未给出本产品的产污系数，故与</w:t>
      </w:r>
      <w:r>
        <w:rPr>
          <w:bCs/>
        </w:rPr>
        <w:t>“</w:t>
      </w:r>
      <w:r>
        <w:rPr>
          <w:rFonts w:ascii="宋体" w:hAnsi="宋体"/>
          <w:bCs/>
        </w:rPr>
        <w:t>其他水泥类似制品制造行业</w:t>
      </w:r>
      <w:r>
        <w:rPr>
          <w:bCs/>
        </w:rPr>
        <w:t>”</w:t>
      </w:r>
      <w:r>
        <w:rPr>
          <w:rFonts w:ascii="宋体" w:hAnsi="宋体"/>
          <w:bCs/>
        </w:rPr>
        <w:t>中混凝土制品产污系数进行类比，颗粒物产污系数为</w:t>
      </w:r>
      <w:r>
        <w:rPr>
          <w:bCs/>
        </w:rPr>
        <w:t>0.166kg/t-</w:t>
      </w:r>
      <w:r>
        <w:rPr>
          <w:rFonts w:hint="eastAsia" w:ascii="宋体" w:hAnsi="宋体"/>
          <w:bCs/>
        </w:rPr>
        <w:t>原料</w:t>
      </w:r>
      <w:r>
        <w:rPr>
          <w:rFonts w:ascii="宋体" w:hAnsi="宋体"/>
          <w:bCs/>
        </w:rPr>
        <w:t>，因此，粉尘产生量约为</w:t>
      </w:r>
      <w:r>
        <w:rPr>
          <w:bCs/>
        </w:rPr>
        <w:t>1.66t/a</w:t>
      </w:r>
      <w:r>
        <w:rPr>
          <w:rFonts w:ascii="宋体" w:hAnsi="宋体"/>
          <w:bCs/>
        </w:rPr>
        <w:t>，项目年生产时间为</w:t>
      </w:r>
      <w:r>
        <w:rPr>
          <w:bCs/>
        </w:rPr>
        <w:t>1440h</w:t>
      </w:r>
      <w:r>
        <w:rPr>
          <w:rFonts w:ascii="宋体" w:hAnsi="宋体"/>
          <w:bCs/>
        </w:rPr>
        <w:t>，粉尘产生速率为</w:t>
      </w:r>
      <w:r>
        <w:rPr>
          <w:bCs/>
        </w:rPr>
        <w:t>1.153kg/h</w:t>
      </w:r>
      <w:r>
        <w:rPr>
          <w:rFonts w:ascii="宋体" w:hAnsi="宋体"/>
          <w:bCs/>
        </w:rPr>
        <w:t>。</w:t>
      </w:r>
    </w:p>
    <w:p>
      <w:pPr>
        <w:adjustRightInd w:val="0"/>
        <w:snapToGrid w:val="0"/>
        <w:spacing w:line="360" w:lineRule="auto"/>
        <w:ind w:firstLine="420" w:firstLineChars="200"/>
        <w:rPr>
          <w:bCs/>
        </w:rPr>
      </w:pPr>
      <w:r>
        <w:rPr>
          <w:rFonts w:ascii="宋体" w:hAnsi="宋体"/>
          <w:bCs/>
        </w:rPr>
        <w:t>由于</w:t>
      </w:r>
      <w:r>
        <w:rPr>
          <w:rFonts w:hint="eastAsia" w:ascii="宋体" w:hAnsi="宋体"/>
          <w:bCs/>
        </w:rPr>
        <w:t>风机集气率为</w:t>
      </w:r>
      <w:r>
        <w:rPr>
          <w:rFonts w:hint="eastAsia"/>
          <w:bCs/>
        </w:rPr>
        <w:t>8</w:t>
      </w:r>
      <w:r>
        <w:rPr>
          <w:bCs/>
        </w:rPr>
        <w:t>5</w:t>
      </w:r>
      <w:r>
        <w:rPr>
          <w:rFonts w:hint="eastAsia"/>
          <w:bCs/>
        </w:rPr>
        <w:t>%</w:t>
      </w:r>
      <w:r>
        <w:rPr>
          <w:rFonts w:hint="eastAsia" w:ascii="宋体" w:hAnsi="宋体"/>
          <w:bCs/>
        </w:rPr>
        <w:t>，</w:t>
      </w:r>
      <w:r>
        <w:rPr>
          <w:rFonts w:ascii="宋体" w:hAnsi="宋体"/>
          <w:bCs/>
        </w:rPr>
        <w:t>布袋除尘器除尘效率达</w:t>
      </w:r>
      <w:r>
        <w:rPr>
          <w:bCs/>
        </w:rPr>
        <w:t>99%</w:t>
      </w:r>
      <w:r>
        <w:rPr>
          <w:rFonts w:ascii="宋体" w:hAnsi="宋体"/>
          <w:bCs/>
        </w:rPr>
        <w:t>，经处理后，粉尘排放量为</w:t>
      </w:r>
      <w:r>
        <w:rPr>
          <w:bCs/>
        </w:rPr>
        <w:t>0.014t/a</w:t>
      </w:r>
      <w:r>
        <w:rPr>
          <w:rFonts w:ascii="宋体" w:hAnsi="宋体"/>
          <w:bCs/>
        </w:rPr>
        <w:t>，排放速率为</w:t>
      </w:r>
      <w:r>
        <w:rPr>
          <w:bCs/>
        </w:rPr>
        <w:t>0.0097 kg/h</w:t>
      </w:r>
      <w:r>
        <w:rPr>
          <w:rFonts w:ascii="宋体" w:hAnsi="宋体"/>
          <w:bCs/>
        </w:rPr>
        <w:t>。</w:t>
      </w:r>
    </w:p>
    <w:p>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lang w:val="en-US" w:eastAsia="zh-CN"/>
        </w:rPr>
        <w:t>综上，2#排气筒烘干滚筒废气总风量及粉尘产生、排放量详见下表。</w:t>
      </w:r>
    </w:p>
    <w:p>
      <w:pPr>
        <w:adjustRightInd w:val="0"/>
        <w:snapToGrid w:val="0"/>
        <w:spacing w:line="360" w:lineRule="auto"/>
        <w:jc w:val="center"/>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lang w:val="en-US" w:eastAsia="zh-CN"/>
        </w:rPr>
        <w:t>表6  烘干滚筒总风量及粉尘产排量一览表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1294"/>
        <w:gridCol w:w="1370"/>
        <w:gridCol w:w="973"/>
        <w:gridCol w:w="1188"/>
        <w:gridCol w:w="973"/>
        <w:gridCol w:w="11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2"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w:t>
            </w:r>
          </w:p>
        </w:tc>
        <w:tc>
          <w:tcPr>
            <w:tcW w:w="742"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排气筒高（m）</w:t>
            </w:r>
          </w:p>
        </w:tc>
        <w:tc>
          <w:tcPr>
            <w:tcW w:w="785"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烟气量（m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55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681"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55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c>
          <w:tcPr>
            <w:tcW w:w="681"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烘干滚筒</w:t>
            </w:r>
            <w:r>
              <w:rPr>
                <w:rFonts w:hint="default" w:ascii="Times New Roman" w:hAnsi="Times New Roman" w:cs="Times New Roman"/>
                <w:color w:val="auto"/>
                <w:sz w:val="18"/>
                <w:szCs w:val="18"/>
                <w:highlight w:val="none"/>
                <w:lang w:val="en-US" w:eastAsia="zh-CN"/>
              </w:rPr>
              <w:t>燃烧烟气</w:t>
            </w:r>
          </w:p>
        </w:tc>
        <w:tc>
          <w:tcPr>
            <w:tcW w:w="742" w:type="pct"/>
            <w:vMerge w:val="restar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785"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284467.5</w:t>
            </w:r>
          </w:p>
        </w:tc>
        <w:tc>
          <w:tcPr>
            <w:tcW w:w="55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烟尘</w:t>
            </w:r>
          </w:p>
        </w:tc>
        <w:tc>
          <w:tcPr>
            <w:tcW w:w="681"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0.013</w:t>
            </w:r>
          </w:p>
        </w:tc>
        <w:tc>
          <w:tcPr>
            <w:tcW w:w="558" w:type="pct"/>
            <w:vMerge w:val="restar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布袋除尘器</w:t>
            </w:r>
          </w:p>
        </w:tc>
        <w:tc>
          <w:tcPr>
            <w:tcW w:w="681"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0.126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石料筛分、烘干等粉尘</w:t>
            </w:r>
          </w:p>
        </w:tc>
        <w:tc>
          <w:tcPr>
            <w:tcW w:w="742"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785" w:type="pct"/>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14400000</w:t>
            </w:r>
          </w:p>
        </w:tc>
        <w:tc>
          <w:tcPr>
            <w:tcW w:w="558"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粉尘</w:t>
            </w:r>
          </w:p>
        </w:tc>
        <w:tc>
          <w:tcPr>
            <w:tcW w:w="681" w:type="pct"/>
            <w:vAlign w:val="center"/>
          </w:tcPr>
          <w:p>
            <w:pPr>
              <w:pStyle w:val="24"/>
              <w:snapToGrid w:val="0"/>
              <w:spacing w:line="240" w:lineRule="auto"/>
              <w:ind w:firstLine="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1.66</w:t>
            </w:r>
          </w:p>
        </w:tc>
        <w:tc>
          <w:tcPr>
            <w:tcW w:w="558" w:type="pct"/>
            <w:vMerge w:val="continue"/>
            <w:vAlign w:val="center"/>
          </w:tcPr>
          <w:p>
            <w:pPr>
              <w:adjustRightInd w:val="0"/>
              <w:snapToGrid w:val="0"/>
              <w:jc w:val="center"/>
              <w:rPr>
                <w:rFonts w:hint="default" w:ascii="Times New Roman" w:hAnsi="Times New Roman" w:cs="Times New Roman"/>
                <w:color w:val="auto"/>
                <w:sz w:val="18"/>
                <w:szCs w:val="18"/>
                <w:highlight w:val="none"/>
                <w:lang w:val="en-US" w:eastAsia="zh-CN"/>
              </w:rPr>
            </w:pPr>
          </w:p>
        </w:tc>
        <w:tc>
          <w:tcPr>
            <w:tcW w:w="681"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总计</w:t>
            </w:r>
          </w:p>
        </w:tc>
        <w:tc>
          <w:tcPr>
            <w:tcW w:w="742" w:type="pct"/>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785" w:type="pct"/>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14684467.5</w:t>
            </w:r>
          </w:p>
        </w:tc>
        <w:tc>
          <w:tcPr>
            <w:tcW w:w="558"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p>
        </w:tc>
        <w:tc>
          <w:tcPr>
            <w:tcW w:w="681"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1.673</w:t>
            </w:r>
          </w:p>
        </w:tc>
        <w:tc>
          <w:tcPr>
            <w:tcW w:w="558" w:type="pct"/>
            <w:vAlign w:val="center"/>
          </w:tcPr>
          <w:p>
            <w:pPr>
              <w:adjustRightInd w:val="0"/>
              <w:snapToGrid w:val="0"/>
              <w:jc w:val="center"/>
              <w:rPr>
                <w:rFonts w:hint="default" w:ascii="Times New Roman" w:hAnsi="Times New Roman" w:cs="Times New Roman"/>
                <w:color w:val="auto"/>
                <w:sz w:val="18"/>
                <w:szCs w:val="18"/>
                <w:highlight w:val="none"/>
              </w:rPr>
            </w:pPr>
          </w:p>
        </w:tc>
        <w:tc>
          <w:tcPr>
            <w:tcW w:w="681"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14.126</w:t>
            </w:r>
            <w:r>
              <w:rPr>
                <w:rFonts w:hint="default" w:ascii="Times New Roman" w:hAnsi="Times New Roman" w:cs="Times New Roman"/>
                <w:color w:val="auto"/>
                <w:sz w:val="18"/>
                <w:szCs w:val="18"/>
                <w:highlight w:val="none"/>
              </w:rPr>
              <w:t xml:space="preserve"> kg/a</w:t>
            </w:r>
          </w:p>
        </w:tc>
      </w:tr>
    </w:tbl>
    <w:p>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lang w:val="en-US" w:eastAsia="zh-CN"/>
        </w:rPr>
        <w:t>2#排气筒废气产生及排放情况见下表。</w:t>
      </w:r>
    </w:p>
    <w:p>
      <w:pPr>
        <w:adjustRightInd w:val="0"/>
        <w:snapToGrid w:val="0"/>
        <w:spacing w:line="360" w:lineRule="auto"/>
        <w:jc w:val="center"/>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表7  2#排气筒烘干滚筒烟气、工艺粉尘废气产生及排放情况一览表</w:t>
      </w:r>
    </w:p>
    <w:tbl>
      <w:tblPr>
        <w:tblStyle w:val="1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977"/>
        <w:gridCol w:w="1071"/>
        <w:gridCol w:w="717"/>
        <w:gridCol w:w="1055"/>
        <w:gridCol w:w="895"/>
        <w:gridCol w:w="726"/>
        <w:gridCol w:w="1055"/>
        <w:gridCol w:w="8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8"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w:t>
            </w:r>
          </w:p>
        </w:tc>
        <w:tc>
          <w:tcPr>
            <w:tcW w:w="560"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排气筒高（m）</w:t>
            </w:r>
          </w:p>
        </w:tc>
        <w:tc>
          <w:tcPr>
            <w:tcW w:w="614"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总风</w:t>
            </w:r>
            <w:r>
              <w:rPr>
                <w:rFonts w:hint="default" w:ascii="Times New Roman" w:hAnsi="Times New Roman" w:cs="Times New Roman"/>
                <w:color w:val="auto"/>
                <w:sz w:val="18"/>
                <w:szCs w:val="18"/>
                <w:highlight w:val="none"/>
              </w:rPr>
              <w:t>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411"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605"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产生浓度（mg/m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w:t>
            </w:r>
          </w:p>
        </w:tc>
        <w:tc>
          <w:tcPr>
            <w:tcW w:w="513"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416"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c>
          <w:tcPr>
            <w:tcW w:w="605"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排放浓度（mg/m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w:t>
            </w:r>
          </w:p>
        </w:tc>
        <w:tc>
          <w:tcPr>
            <w:tcW w:w="514"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vMerge w:val="restar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烘干滚筒</w:t>
            </w:r>
            <w:r>
              <w:rPr>
                <w:rFonts w:hint="default" w:ascii="Times New Roman" w:hAnsi="Times New Roman" w:cs="Times New Roman"/>
                <w:color w:val="auto"/>
                <w:sz w:val="18"/>
                <w:szCs w:val="18"/>
                <w:highlight w:val="none"/>
                <w:lang w:val="en-US" w:eastAsia="zh-CN"/>
              </w:rPr>
              <w:t>燃烧烟气、石料筛分、烘干等粉尘</w:t>
            </w:r>
          </w:p>
        </w:tc>
        <w:tc>
          <w:tcPr>
            <w:tcW w:w="560" w:type="pct"/>
            <w:vMerge w:val="restar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614" w:type="pct"/>
            <w:vMerge w:val="restart"/>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14684467.5</w:t>
            </w:r>
          </w:p>
        </w:tc>
        <w:tc>
          <w:tcPr>
            <w:tcW w:w="411"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粉尘</w:t>
            </w:r>
          </w:p>
        </w:tc>
        <w:tc>
          <w:tcPr>
            <w:tcW w:w="605"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113.93</w:t>
            </w:r>
          </w:p>
        </w:tc>
        <w:tc>
          <w:tcPr>
            <w:tcW w:w="513"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1.673</w:t>
            </w:r>
          </w:p>
        </w:tc>
        <w:tc>
          <w:tcPr>
            <w:tcW w:w="416" w:type="pct"/>
            <w:vAlign w:val="center"/>
          </w:tcPr>
          <w:p>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布袋除尘器</w:t>
            </w:r>
          </w:p>
        </w:tc>
        <w:tc>
          <w:tcPr>
            <w:tcW w:w="605"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0.96</w:t>
            </w:r>
          </w:p>
        </w:tc>
        <w:tc>
          <w:tcPr>
            <w:tcW w:w="514" w:type="pct"/>
            <w:vAlign w:val="center"/>
          </w:tcPr>
          <w:p>
            <w:pPr>
              <w:pStyle w:val="24"/>
              <w:snapToGrid w:val="0"/>
              <w:spacing w:line="240" w:lineRule="auto"/>
              <w:ind w:firstLine="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14.126</w:t>
            </w:r>
            <w:r>
              <w:rPr>
                <w:rFonts w:hint="default" w:ascii="Times New Roman" w:hAnsi="Times New Roman" w:cs="Times New Roman"/>
                <w:color w:val="auto"/>
                <w:sz w:val="18"/>
                <w:szCs w:val="18"/>
                <w:highlight w:val="none"/>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560"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614" w:type="pct"/>
            <w:vMerge w:val="continue"/>
            <w:vAlign w:val="center"/>
          </w:tcPr>
          <w:p>
            <w:pPr>
              <w:widowControl/>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41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605"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2.86</w:t>
            </w:r>
          </w:p>
        </w:tc>
        <w:tc>
          <w:tcPr>
            <w:tcW w:w="513"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c>
          <w:tcPr>
            <w:tcW w:w="416"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605"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2.86</w:t>
            </w:r>
          </w:p>
        </w:tc>
        <w:tc>
          <w:tcPr>
            <w:tcW w:w="514"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8"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560"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614" w:type="pct"/>
            <w:vMerge w:val="continue"/>
            <w:vAlign w:val="center"/>
          </w:tcPr>
          <w:p>
            <w:pPr>
              <w:widowControl/>
              <w:adjustRightInd w:val="0"/>
              <w:snapToGrid w:val="0"/>
              <w:jc w:val="center"/>
              <w:rPr>
                <w:rFonts w:hint="default" w:ascii="Times New Roman" w:hAnsi="Times New Roman" w:cs="Times New Roman"/>
                <w:color w:val="auto"/>
                <w:sz w:val="18"/>
                <w:szCs w:val="18"/>
                <w:highlight w:val="none"/>
                <w:lang w:val="en-US" w:eastAsia="zh-CN"/>
              </w:rPr>
            </w:pPr>
          </w:p>
        </w:tc>
        <w:tc>
          <w:tcPr>
            <w:tcW w:w="41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X</w:t>
            </w:r>
          </w:p>
        </w:tc>
        <w:tc>
          <w:tcPr>
            <w:tcW w:w="605" w:type="pct"/>
            <w:vAlign w:val="center"/>
          </w:tcPr>
          <w:p>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8.58</w:t>
            </w:r>
          </w:p>
        </w:tc>
        <w:tc>
          <w:tcPr>
            <w:tcW w:w="513"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0.126</w:t>
            </w:r>
          </w:p>
        </w:tc>
        <w:tc>
          <w:tcPr>
            <w:tcW w:w="416"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低氮燃烧</w:t>
            </w:r>
          </w:p>
        </w:tc>
        <w:tc>
          <w:tcPr>
            <w:tcW w:w="605" w:type="pct"/>
            <w:vAlign w:val="center"/>
          </w:tcPr>
          <w:p>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2.59</w:t>
            </w:r>
          </w:p>
        </w:tc>
        <w:tc>
          <w:tcPr>
            <w:tcW w:w="514"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eastAsia" w:ascii="Times New Roman" w:hAnsi="Times New Roman" w:cs="Times New Roman"/>
                <w:color w:val="auto"/>
                <w:kern w:val="24"/>
                <w:sz w:val="18"/>
                <w:szCs w:val="18"/>
                <w:highlight w:val="none"/>
                <w:lang w:val="en-US" w:eastAsia="zh-CN" w:bidi="ar-SA"/>
              </w:rPr>
              <w:t>0.038</w:t>
            </w:r>
          </w:p>
        </w:tc>
      </w:tr>
    </w:tbl>
    <w:p>
      <w:pPr>
        <w:adjustRightInd w:val="0"/>
        <w:snapToGrid w:val="0"/>
        <w:spacing w:line="360" w:lineRule="auto"/>
        <w:ind w:firstLine="420" w:firstLineChars="200"/>
        <w:rPr>
          <w:bCs/>
        </w:rPr>
      </w:pPr>
      <w:r>
        <w:rPr>
          <w:rFonts w:hint="eastAsia" w:ascii="宋体" w:hAnsi="宋体"/>
          <w:bCs/>
        </w:rPr>
        <w:t>④</w:t>
      </w:r>
      <w:r>
        <w:rPr>
          <w:rFonts w:ascii="宋体" w:hAnsi="宋体"/>
          <w:bCs/>
        </w:rPr>
        <w:t>沥青烟气</w:t>
      </w:r>
    </w:p>
    <w:p>
      <w:pPr>
        <w:adjustRightInd w:val="0"/>
        <w:snapToGrid w:val="0"/>
        <w:spacing w:line="360" w:lineRule="auto"/>
        <w:ind w:firstLine="420" w:firstLineChars="200"/>
        <w:rPr>
          <w:bCs/>
        </w:rPr>
      </w:pPr>
      <w:r>
        <w:rPr>
          <w:rFonts w:ascii="宋体" w:hAnsi="宋体"/>
          <w:bCs/>
        </w:rPr>
        <w:t>沥青烟是指石油沥青及沥青制品生产中排放的液态烃类有机颗粒物质和少量在常温下的气态烃类物质，它含多种化学物质的混合烟气，以烃类混合物为主要成分。根据类比现有同类项目，石油沥青加热过程中沥青烟产生量约为</w:t>
      </w:r>
      <w:r>
        <w:rPr>
          <w:bCs/>
        </w:rPr>
        <w:t>0.125kg/t</w:t>
      </w:r>
      <w:r>
        <w:rPr>
          <w:rFonts w:ascii="宋体" w:hAnsi="宋体"/>
          <w:bCs/>
        </w:rPr>
        <w:t>，本项目沥青烟产生量为</w:t>
      </w:r>
      <w:r>
        <w:rPr>
          <w:bCs/>
        </w:rPr>
        <w:t>37.5kg/a</w:t>
      </w:r>
      <w:r>
        <w:rPr>
          <w:rFonts w:ascii="宋体" w:hAnsi="宋体"/>
          <w:bCs/>
        </w:rPr>
        <w:t>，产生速率为</w:t>
      </w:r>
      <w:r>
        <w:rPr>
          <w:bCs/>
        </w:rPr>
        <w:t>0.026 kg/h</w:t>
      </w:r>
      <w:r>
        <w:rPr>
          <w:rFonts w:ascii="宋体" w:hAnsi="宋体"/>
          <w:bCs/>
        </w:rPr>
        <w:t>。沥青烟中含多环芳烃类物质尤多，以苯并</w:t>
      </w:r>
      <w:r>
        <w:rPr>
          <w:bCs/>
        </w:rPr>
        <w:t>[a]</w:t>
      </w:r>
      <w:r>
        <w:rPr>
          <w:rFonts w:ascii="宋体" w:hAnsi="宋体"/>
          <w:bCs/>
        </w:rPr>
        <w:t>芘为代表的多环芳烃类物质是强致癌物。本项目沥青烟产生的主要环节为拌和机开仓门过程和卸料口处，本报告重点评价沥青烟中苯并</w:t>
      </w:r>
      <w:r>
        <w:rPr>
          <w:bCs/>
        </w:rPr>
        <w:t>[a]</w:t>
      </w:r>
      <w:r>
        <w:rPr>
          <w:rFonts w:ascii="宋体" w:hAnsi="宋体"/>
          <w:bCs/>
        </w:rPr>
        <w:t>芘对周边环境空气质量的影响。</w:t>
      </w:r>
    </w:p>
    <w:p>
      <w:pPr>
        <w:adjustRightInd w:val="0"/>
        <w:snapToGrid w:val="0"/>
        <w:spacing w:line="360" w:lineRule="auto"/>
        <w:ind w:firstLine="420" w:firstLineChars="200"/>
        <w:rPr>
          <w:bCs/>
        </w:rPr>
      </w:pPr>
      <w:r>
        <w:rPr>
          <w:rFonts w:ascii="宋体" w:hAnsi="宋体"/>
          <w:bCs/>
        </w:rPr>
        <w:t>参考前苏联拉扎列夫主编的《工业生产中有害物物质手册》第一卷（化学工业出版社，</w:t>
      </w:r>
      <w:r>
        <w:rPr>
          <w:bCs/>
        </w:rPr>
        <w:t>1987</w:t>
      </w:r>
      <w:r>
        <w:rPr>
          <w:rFonts w:ascii="宋体" w:hAnsi="宋体"/>
          <w:bCs/>
        </w:rPr>
        <w:t>年</w:t>
      </w:r>
      <w:r>
        <w:rPr>
          <w:bCs/>
        </w:rPr>
        <w:t>12</w:t>
      </w:r>
      <w:r>
        <w:rPr>
          <w:rFonts w:ascii="宋体" w:hAnsi="宋体"/>
          <w:bCs/>
        </w:rPr>
        <w:t>月出版）及金相灿主编的《有机化合物污染化学》（清华大学出版社，</w:t>
      </w:r>
      <w:r>
        <w:rPr>
          <w:bCs/>
        </w:rPr>
        <w:t>1990</w:t>
      </w:r>
      <w:r>
        <w:rPr>
          <w:rFonts w:ascii="宋体" w:hAnsi="宋体"/>
          <w:bCs/>
        </w:rPr>
        <w:t>年</w:t>
      </w:r>
      <w:r>
        <w:rPr>
          <w:bCs/>
        </w:rPr>
        <w:t>8</w:t>
      </w:r>
      <w:r>
        <w:rPr>
          <w:rFonts w:ascii="宋体" w:hAnsi="宋体"/>
          <w:bCs/>
        </w:rPr>
        <w:t>月出版），每</w:t>
      </w:r>
      <w:r>
        <w:rPr>
          <w:bCs/>
        </w:rPr>
        <w:t>t</w:t>
      </w:r>
      <w:r>
        <w:rPr>
          <w:rFonts w:ascii="宋体" w:hAnsi="宋体"/>
          <w:bCs/>
        </w:rPr>
        <w:t>石油沥青在加热过程中可产生苯并</w:t>
      </w:r>
      <w:r>
        <w:rPr>
          <w:bCs/>
        </w:rPr>
        <w:t>[a]</w:t>
      </w:r>
      <w:r>
        <w:rPr>
          <w:rFonts w:ascii="宋体" w:hAnsi="宋体"/>
          <w:bCs/>
        </w:rPr>
        <w:t>芘气体</w:t>
      </w:r>
      <w:r>
        <w:rPr>
          <w:bCs/>
        </w:rPr>
        <w:t>0.10g</w:t>
      </w:r>
      <w:r>
        <w:rPr>
          <w:rFonts w:ascii="宋体" w:hAnsi="宋体"/>
          <w:bCs/>
        </w:rPr>
        <w:t>～</w:t>
      </w:r>
      <w:r>
        <w:rPr>
          <w:bCs/>
        </w:rPr>
        <w:t>0.15g</w:t>
      </w:r>
      <w:r>
        <w:rPr>
          <w:rFonts w:ascii="宋体" w:hAnsi="宋体"/>
          <w:bCs/>
        </w:rPr>
        <w:t>，取其平均值为</w:t>
      </w:r>
      <w:r>
        <w:rPr>
          <w:bCs/>
        </w:rPr>
        <w:t>0.125g</w:t>
      </w:r>
      <w:r>
        <w:rPr>
          <w:rFonts w:ascii="宋体" w:hAnsi="宋体"/>
          <w:bCs/>
        </w:rPr>
        <w:t>，本项目满负荷生产能力苯并</w:t>
      </w:r>
      <w:r>
        <w:rPr>
          <w:bCs/>
        </w:rPr>
        <w:t>[a]</w:t>
      </w:r>
      <w:r>
        <w:rPr>
          <w:rFonts w:ascii="宋体" w:hAnsi="宋体"/>
          <w:bCs/>
        </w:rPr>
        <w:t>芘产生量为</w:t>
      </w:r>
      <w:r>
        <w:rPr>
          <w:bCs/>
        </w:rPr>
        <w:t>37.5g</w:t>
      </w:r>
      <w:r>
        <w:rPr>
          <w:rFonts w:ascii="宋体" w:hAnsi="宋体"/>
          <w:bCs/>
        </w:rPr>
        <w:t>，产生速率为</w:t>
      </w:r>
      <w:r>
        <w:rPr>
          <w:bCs/>
        </w:rPr>
        <w:t>0.026×10</w:t>
      </w:r>
      <w:r>
        <w:rPr>
          <w:bCs/>
          <w:vertAlign w:val="superscript"/>
        </w:rPr>
        <w:t xml:space="preserve">-3 </w:t>
      </w:r>
      <w:r>
        <w:rPr>
          <w:bCs/>
        </w:rPr>
        <w:t>kg/h</w:t>
      </w:r>
      <w:r>
        <w:rPr>
          <w:rFonts w:ascii="宋体" w:hAnsi="宋体"/>
          <w:bCs/>
        </w:rPr>
        <w:t>。</w:t>
      </w:r>
    </w:p>
    <w:p>
      <w:pPr>
        <w:adjustRightInd w:val="0"/>
        <w:snapToGrid w:val="0"/>
        <w:spacing w:line="360" w:lineRule="auto"/>
        <w:ind w:firstLine="420" w:firstLineChars="200"/>
        <w:rPr>
          <w:bCs/>
        </w:rPr>
      </w:pPr>
      <w:r>
        <w:rPr>
          <w:rFonts w:ascii="宋体" w:hAnsi="宋体"/>
          <w:bCs/>
        </w:rPr>
        <w:t>本项目对搅拌缸出气口加设收集和净化装置，沥青烟经集气净化装置统一收集（风机总风量为</w:t>
      </w:r>
      <w:r>
        <w:rPr>
          <w:bCs/>
        </w:rPr>
        <w:t>40000m</w:t>
      </w:r>
      <w:r>
        <w:rPr>
          <w:bCs/>
          <w:vertAlign w:val="superscript"/>
        </w:rPr>
        <w:t>3</w:t>
      </w:r>
      <w:r>
        <w:rPr>
          <w:bCs/>
        </w:rPr>
        <w:t>/h</w:t>
      </w:r>
      <w:r>
        <w:rPr>
          <w:rFonts w:ascii="宋体" w:hAnsi="宋体"/>
          <w:bCs/>
        </w:rPr>
        <w:t>），并配套苯并</w:t>
      </w:r>
      <w:r>
        <w:rPr>
          <w:bCs/>
        </w:rPr>
        <w:t>[a]</w:t>
      </w:r>
      <w:r>
        <w:rPr>
          <w:rFonts w:ascii="宋体" w:hAnsi="宋体"/>
          <w:bCs/>
        </w:rPr>
        <w:t>芘净化装置（采用活性炭吸附法，沥青烟在高温情况下粒径为</w:t>
      </w:r>
      <w:r>
        <w:rPr>
          <w:bCs/>
        </w:rPr>
        <w:t>0.1-1.0μm</w:t>
      </w:r>
      <w:r>
        <w:rPr>
          <w:rFonts w:ascii="宋体" w:hAnsi="宋体"/>
          <w:bCs/>
        </w:rPr>
        <w:t>之间，活性炭表面积大，空隙大，可有效的吸附沥青烟气），集气罩集气率取</w:t>
      </w:r>
      <w:r>
        <w:rPr>
          <w:bCs/>
        </w:rPr>
        <w:t>85%</w:t>
      </w:r>
      <w:r>
        <w:rPr>
          <w:rFonts w:ascii="宋体" w:hAnsi="宋体"/>
          <w:bCs/>
        </w:rPr>
        <w:t>，净化处理率取</w:t>
      </w:r>
      <w:r>
        <w:rPr>
          <w:bCs/>
        </w:rPr>
        <w:t>98.5%</w:t>
      </w:r>
      <w:r>
        <w:rPr>
          <w:rFonts w:ascii="宋体" w:hAnsi="宋体"/>
          <w:bCs/>
        </w:rPr>
        <w:t>，净化后通过</w:t>
      </w:r>
      <w:r>
        <w:rPr>
          <w:bCs/>
        </w:rPr>
        <w:t>15m</w:t>
      </w:r>
      <w:r>
        <w:rPr>
          <w:rFonts w:ascii="宋体" w:hAnsi="宋体"/>
          <w:bCs/>
        </w:rPr>
        <w:t>高排气筒排放，项目沥青烟气产生及排放情况详见表</w:t>
      </w:r>
      <w:r>
        <w:rPr>
          <w:rFonts w:hint="eastAsia"/>
          <w:bCs/>
          <w:lang w:val="en-US" w:eastAsia="zh-CN"/>
        </w:rPr>
        <w:t>8</w:t>
      </w:r>
      <w:r>
        <w:rPr>
          <w:rFonts w:ascii="宋体" w:hAnsi="宋体"/>
          <w:bCs/>
        </w:rPr>
        <w:t>。</w:t>
      </w:r>
    </w:p>
    <w:p>
      <w:pPr>
        <w:adjustRightInd w:val="0"/>
        <w:snapToGrid w:val="0"/>
        <w:spacing w:line="360" w:lineRule="auto"/>
        <w:jc w:val="center"/>
        <w:rPr>
          <w:bCs/>
        </w:rPr>
      </w:pPr>
      <w:r>
        <w:rPr>
          <w:rFonts w:ascii="宋体" w:hAnsi="宋体"/>
          <w:bCs/>
        </w:rPr>
        <w:t>表</w:t>
      </w:r>
      <w:r>
        <w:rPr>
          <w:rFonts w:hint="eastAsia"/>
          <w:bCs/>
          <w:lang w:val="en-US" w:eastAsia="zh-CN"/>
        </w:rPr>
        <w:t>8</w:t>
      </w:r>
      <w:r>
        <w:rPr>
          <w:bCs/>
        </w:rPr>
        <w:t xml:space="preserve">  </w:t>
      </w:r>
      <w:r>
        <w:rPr>
          <w:rFonts w:ascii="宋体" w:hAnsi="宋体"/>
          <w:bCs/>
        </w:rPr>
        <w:t>本项目沥青烟气产生及排放情况一览表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14"/>
        <w:gridCol w:w="938"/>
        <w:gridCol w:w="626"/>
        <w:gridCol w:w="1126"/>
        <w:gridCol w:w="945"/>
        <w:gridCol w:w="518"/>
        <w:gridCol w:w="1128"/>
        <w:gridCol w:w="1130"/>
        <w:gridCol w:w="10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 w:type="pct"/>
            <w:vAlign w:val="center"/>
          </w:tcPr>
          <w:p>
            <w:pPr>
              <w:adjustRightInd w:val="0"/>
              <w:snapToGrid w:val="0"/>
              <w:jc w:val="center"/>
              <w:rPr>
                <w:sz w:val="18"/>
                <w:szCs w:val="18"/>
              </w:rPr>
            </w:pPr>
            <w:r>
              <w:rPr>
                <w:sz w:val="18"/>
                <w:szCs w:val="18"/>
              </w:rPr>
              <w:t>污染源</w:t>
            </w:r>
          </w:p>
        </w:tc>
        <w:tc>
          <w:tcPr>
            <w:tcW w:w="467" w:type="pct"/>
            <w:vAlign w:val="center"/>
          </w:tcPr>
          <w:p>
            <w:pPr>
              <w:adjustRightInd w:val="0"/>
              <w:snapToGrid w:val="0"/>
              <w:jc w:val="center"/>
              <w:rPr>
                <w:sz w:val="18"/>
                <w:szCs w:val="18"/>
              </w:rPr>
            </w:pPr>
            <w:r>
              <w:rPr>
                <w:sz w:val="18"/>
                <w:szCs w:val="18"/>
              </w:rPr>
              <w:t>排气筒高（m</w:t>
            </w:r>
            <w:r>
              <w:rPr>
                <w:rFonts w:ascii="宋体" w:hAnsi="宋体"/>
                <w:sz w:val="18"/>
                <w:szCs w:val="18"/>
              </w:rPr>
              <w:t>）</w:t>
            </w:r>
          </w:p>
        </w:tc>
        <w:tc>
          <w:tcPr>
            <w:tcW w:w="538" w:type="pct"/>
            <w:vAlign w:val="center"/>
          </w:tcPr>
          <w:p>
            <w:pPr>
              <w:adjustRightInd w:val="0"/>
              <w:snapToGrid w:val="0"/>
              <w:jc w:val="center"/>
              <w:rPr>
                <w:sz w:val="18"/>
                <w:szCs w:val="18"/>
              </w:rPr>
            </w:pPr>
            <w:r>
              <w:rPr>
                <w:sz w:val="18"/>
                <w:szCs w:val="18"/>
              </w:rPr>
              <w:t>沥青用量（t/a</w:t>
            </w:r>
            <w:r>
              <w:rPr>
                <w:rFonts w:ascii="宋体" w:hAnsi="宋体"/>
                <w:sz w:val="18"/>
                <w:szCs w:val="18"/>
              </w:rPr>
              <w:t>）</w:t>
            </w:r>
          </w:p>
        </w:tc>
        <w:tc>
          <w:tcPr>
            <w:tcW w:w="359" w:type="pct"/>
            <w:vAlign w:val="center"/>
          </w:tcPr>
          <w:p>
            <w:pPr>
              <w:adjustRightInd w:val="0"/>
              <w:snapToGrid w:val="0"/>
              <w:jc w:val="center"/>
              <w:rPr>
                <w:sz w:val="18"/>
                <w:szCs w:val="18"/>
              </w:rPr>
            </w:pPr>
            <w:r>
              <w:rPr>
                <w:sz w:val="18"/>
                <w:szCs w:val="18"/>
              </w:rPr>
              <w:t>污染物名称</w:t>
            </w:r>
          </w:p>
        </w:tc>
        <w:tc>
          <w:tcPr>
            <w:tcW w:w="646" w:type="pct"/>
            <w:vAlign w:val="center"/>
          </w:tcPr>
          <w:p>
            <w:pPr>
              <w:adjustRightInd w:val="0"/>
              <w:snapToGrid w:val="0"/>
              <w:jc w:val="center"/>
              <w:rPr>
                <w:sz w:val="18"/>
                <w:szCs w:val="18"/>
              </w:rPr>
            </w:pPr>
            <w:r>
              <w:rPr>
                <w:sz w:val="18"/>
                <w:szCs w:val="18"/>
              </w:rPr>
              <w:t>产生速率（kg/h</w:t>
            </w:r>
            <w:r>
              <w:rPr>
                <w:rFonts w:ascii="宋体" w:hAnsi="宋体"/>
                <w:sz w:val="18"/>
                <w:szCs w:val="18"/>
              </w:rPr>
              <w:t>）</w:t>
            </w:r>
          </w:p>
        </w:tc>
        <w:tc>
          <w:tcPr>
            <w:tcW w:w="542" w:type="pct"/>
            <w:vAlign w:val="center"/>
          </w:tcPr>
          <w:p>
            <w:pPr>
              <w:adjustRightInd w:val="0"/>
              <w:snapToGrid w:val="0"/>
              <w:jc w:val="center"/>
              <w:rPr>
                <w:sz w:val="18"/>
                <w:szCs w:val="18"/>
              </w:rPr>
            </w:pPr>
            <w:r>
              <w:rPr>
                <w:sz w:val="18"/>
                <w:szCs w:val="18"/>
              </w:rPr>
              <w:t>产生量（kg/a</w:t>
            </w:r>
            <w:r>
              <w:rPr>
                <w:rFonts w:ascii="宋体" w:hAnsi="宋体"/>
                <w:sz w:val="18"/>
                <w:szCs w:val="18"/>
              </w:rPr>
              <w:t>）</w:t>
            </w:r>
          </w:p>
        </w:tc>
        <w:tc>
          <w:tcPr>
            <w:tcW w:w="297" w:type="pct"/>
            <w:vAlign w:val="center"/>
          </w:tcPr>
          <w:p>
            <w:pPr>
              <w:adjustRightInd w:val="0"/>
              <w:snapToGrid w:val="0"/>
              <w:jc w:val="center"/>
              <w:rPr>
                <w:sz w:val="18"/>
                <w:szCs w:val="18"/>
              </w:rPr>
            </w:pPr>
            <w:r>
              <w:rPr>
                <w:sz w:val="18"/>
                <w:szCs w:val="18"/>
              </w:rPr>
              <w:t>治理措施</w:t>
            </w:r>
          </w:p>
        </w:tc>
        <w:tc>
          <w:tcPr>
            <w:tcW w:w="647" w:type="pct"/>
            <w:vAlign w:val="center"/>
          </w:tcPr>
          <w:p>
            <w:pPr>
              <w:adjustRightInd w:val="0"/>
              <w:snapToGrid w:val="0"/>
              <w:jc w:val="center"/>
              <w:rPr>
                <w:sz w:val="18"/>
                <w:szCs w:val="18"/>
              </w:rPr>
            </w:pPr>
            <w:r>
              <w:rPr>
                <w:sz w:val="18"/>
                <w:szCs w:val="18"/>
              </w:rPr>
              <w:t>排放速率（kg/h</w:t>
            </w:r>
            <w:r>
              <w:rPr>
                <w:rFonts w:ascii="宋体" w:hAnsi="宋体"/>
                <w:sz w:val="18"/>
                <w:szCs w:val="18"/>
              </w:rPr>
              <w:t>）</w:t>
            </w:r>
          </w:p>
        </w:tc>
        <w:tc>
          <w:tcPr>
            <w:tcW w:w="648" w:type="pct"/>
            <w:vAlign w:val="center"/>
          </w:tcPr>
          <w:p>
            <w:pPr>
              <w:adjustRightInd w:val="0"/>
              <w:snapToGrid w:val="0"/>
              <w:jc w:val="center"/>
              <w:rPr>
                <w:sz w:val="18"/>
                <w:szCs w:val="18"/>
              </w:rPr>
            </w:pPr>
            <w:r>
              <w:rPr>
                <w:sz w:val="18"/>
                <w:szCs w:val="18"/>
              </w:rPr>
              <w:t>排放浓度（mg/m</w:t>
            </w:r>
            <w:r>
              <w:rPr>
                <w:sz w:val="18"/>
                <w:szCs w:val="18"/>
                <w:vertAlign w:val="superscript"/>
              </w:rPr>
              <w:t>3</w:t>
            </w:r>
            <w:r>
              <w:rPr>
                <w:sz w:val="18"/>
                <w:szCs w:val="18"/>
              </w:rPr>
              <w:t>）</w:t>
            </w:r>
          </w:p>
        </w:tc>
        <w:tc>
          <w:tcPr>
            <w:tcW w:w="614" w:type="pct"/>
            <w:vAlign w:val="center"/>
          </w:tcPr>
          <w:p>
            <w:pPr>
              <w:adjustRightInd w:val="0"/>
              <w:snapToGrid w:val="0"/>
              <w:jc w:val="center"/>
              <w:rPr>
                <w:sz w:val="18"/>
                <w:szCs w:val="18"/>
              </w:rPr>
            </w:pPr>
            <w:r>
              <w:rPr>
                <w:sz w:val="18"/>
                <w:szCs w:val="18"/>
              </w:rPr>
              <w:t>排放量（kg/a</w:t>
            </w:r>
            <w:r>
              <w:rPr>
                <w:rFonts w:ascii="宋体" w:hAnsi="宋体"/>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3" w:type="pct"/>
            <w:vMerge w:val="restart"/>
            <w:vAlign w:val="center"/>
          </w:tcPr>
          <w:p>
            <w:pPr>
              <w:adjustRightInd w:val="0"/>
              <w:snapToGrid w:val="0"/>
              <w:jc w:val="center"/>
              <w:rPr>
                <w:sz w:val="18"/>
                <w:szCs w:val="18"/>
              </w:rPr>
            </w:pPr>
            <w:r>
              <w:rPr>
                <w:sz w:val="18"/>
                <w:szCs w:val="18"/>
              </w:rPr>
              <w:t>沥青烟气</w:t>
            </w:r>
          </w:p>
        </w:tc>
        <w:tc>
          <w:tcPr>
            <w:tcW w:w="467" w:type="pct"/>
            <w:vMerge w:val="restart"/>
            <w:vAlign w:val="center"/>
          </w:tcPr>
          <w:p>
            <w:pPr>
              <w:adjustRightInd w:val="0"/>
              <w:snapToGrid w:val="0"/>
              <w:jc w:val="center"/>
              <w:rPr>
                <w:sz w:val="18"/>
                <w:szCs w:val="18"/>
              </w:rPr>
            </w:pPr>
            <w:r>
              <w:rPr>
                <w:sz w:val="18"/>
                <w:szCs w:val="18"/>
              </w:rPr>
              <w:t>15</w:t>
            </w:r>
          </w:p>
        </w:tc>
        <w:tc>
          <w:tcPr>
            <w:tcW w:w="538" w:type="pct"/>
            <w:vMerge w:val="restart"/>
            <w:vAlign w:val="center"/>
          </w:tcPr>
          <w:p>
            <w:pPr>
              <w:adjustRightInd w:val="0"/>
              <w:snapToGrid w:val="0"/>
              <w:jc w:val="center"/>
              <w:rPr>
                <w:sz w:val="18"/>
                <w:szCs w:val="18"/>
              </w:rPr>
            </w:pPr>
            <w:r>
              <w:rPr>
                <w:sz w:val="18"/>
                <w:szCs w:val="18"/>
              </w:rPr>
              <w:t>300</w:t>
            </w:r>
          </w:p>
        </w:tc>
        <w:tc>
          <w:tcPr>
            <w:tcW w:w="359" w:type="pct"/>
            <w:vAlign w:val="center"/>
          </w:tcPr>
          <w:p>
            <w:pPr>
              <w:adjustRightInd w:val="0"/>
              <w:snapToGrid w:val="0"/>
              <w:jc w:val="center"/>
              <w:rPr>
                <w:sz w:val="18"/>
                <w:szCs w:val="18"/>
              </w:rPr>
            </w:pPr>
            <w:r>
              <w:rPr>
                <w:sz w:val="18"/>
                <w:szCs w:val="18"/>
              </w:rPr>
              <w:t>沥青烟</w:t>
            </w:r>
          </w:p>
        </w:tc>
        <w:tc>
          <w:tcPr>
            <w:tcW w:w="646" w:type="pct"/>
            <w:vAlign w:val="center"/>
          </w:tcPr>
          <w:p>
            <w:pPr>
              <w:adjustRightInd w:val="0"/>
              <w:snapToGrid w:val="0"/>
              <w:jc w:val="center"/>
              <w:rPr>
                <w:sz w:val="18"/>
                <w:szCs w:val="18"/>
              </w:rPr>
            </w:pPr>
            <w:r>
              <w:rPr>
                <w:sz w:val="18"/>
                <w:szCs w:val="18"/>
              </w:rPr>
              <w:t>0.026</w:t>
            </w:r>
          </w:p>
        </w:tc>
        <w:tc>
          <w:tcPr>
            <w:tcW w:w="542" w:type="pct"/>
            <w:vAlign w:val="center"/>
          </w:tcPr>
          <w:p>
            <w:pPr>
              <w:pStyle w:val="24"/>
              <w:snapToGrid w:val="0"/>
              <w:spacing w:line="240" w:lineRule="auto"/>
              <w:ind w:firstLine="0"/>
              <w:jc w:val="center"/>
              <w:rPr>
                <w:sz w:val="18"/>
                <w:szCs w:val="18"/>
              </w:rPr>
            </w:pPr>
            <w:r>
              <w:rPr>
                <w:rFonts w:hint="eastAsia"/>
                <w:sz w:val="18"/>
                <w:szCs w:val="18"/>
              </w:rPr>
              <w:t>3</w:t>
            </w:r>
            <w:r>
              <w:rPr>
                <w:sz w:val="18"/>
                <w:szCs w:val="18"/>
              </w:rPr>
              <w:t>7.5</w:t>
            </w:r>
          </w:p>
        </w:tc>
        <w:tc>
          <w:tcPr>
            <w:tcW w:w="297" w:type="pct"/>
            <w:vMerge w:val="restart"/>
            <w:vAlign w:val="center"/>
          </w:tcPr>
          <w:p>
            <w:pPr>
              <w:adjustRightInd w:val="0"/>
              <w:snapToGrid w:val="0"/>
              <w:jc w:val="center"/>
              <w:rPr>
                <w:sz w:val="18"/>
                <w:szCs w:val="18"/>
              </w:rPr>
            </w:pPr>
            <w:r>
              <w:rPr>
                <w:sz w:val="18"/>
                <w:szCs w:val="18"/>
              </w:rPr>
              <w:t>活性炭吸附</w:t>
            </w:r>
          </w:p>
        </w:tc>
        <w:tc>
          <w:tcPr>
            <w:tcW w:w="647" w:type="pct"/>
            <w:vAlign w:val="center"/>
          </w:tcPr>
          <w:p>
            <w:pPr>
              <w:adjustRightInd w:val="0"/>
              <w:snapToGrid w:val="0"/>
              <w:jc w:val="center"/>
              <w:rPr>
                <w:sz w:val="18"/>
                <w:szCs w:val="18"/>
              </w:rPr>
            </w:pPr>
            <w:r>
              <w:rPr>
                <w:sz w:val="18"/>
                <w:szCs w:val="18"/>
              </w:rPr>
              <w:t>0.332×10</w:t>
            </w:r>
            <w:r>
              <w:rPr>
                <w:sz w:val="18"/>
                <w:szCs w:val="18"/>
                <w:vertAlign w:val="superscript"/>
              </w:rPr>
              <w:t>-3</w:t>
            </w:r>
          </w:p>
        </w:tc>
        <w:tc>
          <w:tcPr>
            <w:tcW w:w="648" w:type="pct"/>
            <w:vAlign w:val="center"/>
          </w:tcPr>
          <w:p>
            <w:pPr>
              <w:adjustRightInd w:val="0"/>
              <w:snapToGrid w:val="0"/>
              <w:jc w:val="center"/>
              <w:rPr>
                <w:sz w:val="18"/>
                <w:szCs w:val="18"/>
              </w:rPr>
            </w:pPr>
            <w:r>
              <w:rPr>
                <w:sz w:val="18"/>
                <w:szCs w:val="18"/>
              </w:rPr>
              <w:t>0.008</w:t>
            </w:r>
          </w:p>
        </w:tc>
        <w:tc>
          <w:tcPr>
            <w:tcW w:w="614"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.478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vAlign w:val="center"/>
          </w:tcPr>
          <w:p>
            <w:pPr>
              <w:widowControl/>
              <w:adjustRightInd w:val="0"/>
              <w:snapToGrid w:val="0"/>
              <w:jc w:val="center"/>
              <w:rPr>
                <w:sz w:val="18"/>
                <w:szCs w:val="18"/>
              </w:rPr>
            </w:pPr>
          </w:p>
        </w:tc>
        <w:tc>
          <w:tcPr>
            <w:tcW w:w="0" w:type="auto"/>
            <w:vMerge w:val="continue"/>
            <w:vAlign w:val="center"/>
          </w:tcPr>
          <w:p>
            <w:pPr>
              <w:widowControl/>
              <w:adjustRightInd w:val="0"/>
              <w:snapToGrid w:val="0"/>
              <w:jc w:val="center"/>
              <w:rPr>
                <w:sz w:val="18"/>
                <w:szCs w:val="18"/>
              </w:rPr>
            </w:pPr>
          </w:p>
        </w:tc>
        <w:tc>
          <w:tcPr>
            <w:tcW w:w="0" w:type="auto"/>
            <w:vMerge w:val="continue"/>
            <w:vAlign w:val="center"/>
          </w:tcPr>
          <w:p>
            <w:pPr>
              <w:widowControl/>
              <w:adjustRightInd w:val="0"/>
              <w:snapToGrid w:val="0"/>
              <w:jc w:val="center"/>
              <w:rPr>
                <w:sz w:val="18"/>
                <w:szCs w:val="18"/>
              </w:rPr>
            </w:pPr>
          </w:p>
        </w:tc>
        <w:tc>
          <w:tcPr>
            <w:tcW w:w="359" w:type="pct"/>
            <w:vAlign w:val="center"/>
          </w:tcPr>
          <w:p>
            <w:pPr>
              <w:adjustRightInd w:val="0"/>
              <w:snapToGrid w:val="0"/>
              <w:jc w:val="center"/>
              <w:rPr>
                <w:sz w:val="18"/>
                <w:szCs w:val="18"/>
              </w:rPr>
            </w:pPr>
            <w:r>
              <w:rPr>
                <w:sz w:val="18"/>
                <w:szCs w:val="18"/>
              </w:rPr>
              <w:t>苯并[a]</w:t>
            </w:r>
            <w:r>
              <w:rPr>
                <w:rFonts w:ascii="宋体" w:hAnsi="宋体"/>
                <w:sz w:val="18"/>
                <w:szCs w:val="18"/>
              </w:rPr>
              <w:t>芘</w:t>
            </w:r>
          </w:p>
        </w:tc>
        <w:tc>
          <w:tcPr>
            <w:tcW w:w="646" w:type="pct"/>
            <w:vAlign w:val="center"/>
          </w:tcPr>
          <w:p>
            <w:pPr>
              <w:adjustRightInd w:val="0"/>
              <w:snapToGrid w:val="0"/>
              <w:jc w:val="center"/>
              <w:rPr>
                <w:sz w:val="18"/>
                <w:szCs w:val="18"/>
              </w:rPr>
            </w:pPr>
            <w:r>
              <w:rPr>
                <w:sz w:val="18"/>
                <w:szCs w:val="18"/>
              </w:rPr>
              <w:t>0.026×10</w:t>
            </w:r>
            <w:r>
              <w:rPr>
                <w:sz w:val="18"/>
                <w:szCs w:val="18"/>
                <w:vertAlign w:val="superscript"/>
              </w:rPr>
              <w:t>-3</w:t>
            </w:r>
          </w:p>
        </w:tc>
        <w:tc>
          <w:tcPr>
            <w:tcW w:w="542" w:type="pct"/>
            <w:vAlign w:val="center"/>
          </w:tcPr>
          <w:p>
            <w:pPr>
              <w:pStyle w:val="24"/>
              <w:snapToGrid w:val="0"/>
              <w:spacing w:line="240" w:lineRule="auto"/>
              <w:ind w:firstLine="0"/>
              <w:jc w:val="center"/>
              <w:rPr>
                <w:sz w:val="18"/>
                <w:szCs w:val="18"/>
              </w:rPr>
            </w:pPr>
            <w:r>
              <w:rPr>
                <w:rFonts w:hint="eastAsia"/>
                <w:sz w:val="18"/>
                <w:szCs w:val="18"/>
              </w:rPr>
              <w:t>0</w:t>
            </w:r>
            <w:r>
              <w:rPr>
                <w:sz w:val="18"/>
                <w:szCs w:val="18"/>
              </w:rPr>
              <w:t>.0375</w:t>
            </w:r>
          </w:p>
        </w:tc>
        <w:tc>
          <w:tcPr>
            <w:tcW w:w="0" w:type="auto"/>
            <w:vMerge w:val="continue"/>
            <w:vAlign w:val="center"/>
          </w:tcPr>
          <w:p>
            <w:pPr>
              <w:widowControl/>
              <w:adjustRightInd w:val="0"/>
              <w:snapToGrid w:val="0"/>
              <w:jc w:val="center"/>
              <w:rPr>
                <w:sz w:val="18"/>
                <w:szCs w:val="18"/>
              </w:rPr>
            </w:pPr>
          </w:p>
        </w:tc>
        <w:tc>
          <w:tcPr>
            <w:tcW w:w="647" w:type="pct"/>
            <w:vAlign w:val="center"/>
          </w:tcPr>
          <w:p>
            <w:pPr>
              <w:adjustRightInd w:val="0"/>
              <w:snapToGrid w:val="0"/>
              <w:jc w:val="center"/>
              <w:rPr>
                <w:sz w:val="18"/>
                <w:szCs w:val="18"/>
              </w:rPr>
            </w:pPr>
            <w:r>
              <w:rPr>
                <w:sz w:val="18"/>
                <w:szCs w:val="18"/>
              </w:rPr>
              <w:t>0.332×10</w:t>
            </w:r>
            <w:r>
              <w:rPr>
                <w:sz w:val="18"/>
                <w:szCs w:val="18"/>
                <w:vertAlign w:val="superscript"/>
              </w:rPr>
              <w:t>-6</w:t>
            </w:r>
          </w:p>
        </w:tc>
        <w:tc>
          <w:tcPr>
            <w:tcW w:w="648" w:type="pct"/>
            <w:vAlign w:val="center"/>
          </w:tcPr>
          <w:p>
            <w:pPr>
              <w:adjustRightInd w:val="0"/>
              <w:snapToGrid w:val="0"/>
              <w:jc w:val="center"/>
              <w:rPr>
                <w:sz w:val="18"/>
                <w:szCs w:val="18"/>
              </w:rPr>
            </w:pPr>
            <w:r>
              <w:rPr>
                <w:sz w:val="18"/>
                <w:szCs w:val="18"/>
              </w:rPr>
              <w:t>0.008×10</w:t>
            </w:r>
            <w:r>
              <w:rPr>
                <w:sz w:val="18"/>
                <w:szCs w:val="18"/>
                <w:vertAlign w:val="superscript"/>
              </w:rPr>
              <w:t>-3</w:t>
            </w:r>
          </w:p>
        </w:tc>
        <w:tc>
          <w:tcPr>
            <w:tcW w:w="614" w:type="pct"/>
            <w:vAlign w:val="center"/>
          </w:tcPr>
          <w:p>
            <w:pPr>
              <w:pStyle w:val="24"/>
              <w:snapToGrid w:val="0"/>
              <w:spacing w:line="240" w:lineRule="auto"/>
              <w:ind w:firstLine="0"/>
              <w:jc w:val="center"/>
              <w:rPr>
                <w:sz w:val="18"/>
                <w:szCs w:val="18"/>
              </w:rPr>
            </w:pPr>
            <w:r>
              <w:rPr>
                <w:sz w:val="18"/>
                <w:szCs w:val="18"/>
              </w:rPr>
              <w:t>0.478×10</w:t>
            </w:r>
            <w:r>
              <w:rPr>
                <w:sz w:val="18"/>
                <w:szCs w:val="18"/>
                <w:vertAlign w:val="superscript"/>
              </w:rPr>
              <w:t>-3</w:t>
            </w:r>
          </w:p>
        </w:tc>
      </w:tr>
    </w:tbl>
    <w:p>
      <w:pPr>
        <w:adjustRightInd w:val="0"/>
        <w:snapToGrid w:val="0"/>
        <w:spacing w:line="360" w:lineRule="auto"/>
        <w:ind w:firstLine="420" w:firstLineChars="200"/>
        <w:rPr>
          <w:bCs/>
        </w:rPr>
      </w:pPr>
      <w:r>
        <w:rPr>
          <w:rFonts w:ascii="宋体" w:hAnsi="宋体"/>
          <w:bCs/>
        </w:rPr>
        <w:t>本项目生产过程会有少量沥青烟气以无组织形式排放，根据前文分析可知，本项目沥青烟无组织排放量为</w:t>
      </w:r>
      <w:r>
        <w:rPr>
          <w:bCs/>
        </w:rPr>
        <w:t>0.084kg/a</w:t>
      </w:r>
      <w:r>
        <w:rPr>
          <w:rFonts w:ascii="宋体" w:hAnsi="宋体"/>
          <w:bCs/>
        </w:rPr>
        <w:t>，排放速率为</w:t>
      </w:r>
      <w:r>
        <w:rPr>
          <w:bCs/>
        </w:rPr>
        <w:t>0.058×10</w:t>
      </w:r>
      <w:r>
        <w:rPr>
          <w:bCs/>
          <w:vertAlign w:val="superscript"/>
        </w:rPr>
        <w:t>-3</w:t>
      </w:r>
      <w:r>
        <w:rPr>
          <w:bCs/>
        </w:rPr>
        <w:t>kg/h</w:t>
      </w:r>
      <w:r>
        <w:rPr>
          <w:rFonts w:ascii="宋体" w:hAnsi="宋体"/>
          <w:bCs/>
        </w:rPr>
        <w:t>，苯并</w:t>
      </w:r>
      <w:r>
        <w:rPr>
          <w:bCs/>
        </w:rPr>
        <w:t>[a]</w:t>
      </w:r>
      <w:r>
        <w:rPr>
          <w:rFonts w:ascii="宋体" w:hAnsi="宋体"/>
          <w:bCs/>
        </w:rPr>
        <w:t>芘无组织排放量为</w:t>
      </w:r>
      <w:r>
        <w:rPr>
          <w:bCs/>
        </w:rPr>
        <w:t>0.084×10</w:t>
      </w:r>
      <w:r>
        <w:rPr>
          <w:bCs/>
          <w:vertAlign w:val="superscript"/>
        </w:rPr>
        <w:t>-3</w:t>
      </w:r>
      <w:r>
        <w:rPr>
          <w:bCs/>
        </w:rPr>
        <w:t>kg/a</w:t>
      </w:r>
      <w:r>
        <w:rPr>
          <w:rFonts w:ascii="宋体" w:hAnsi="宋体"/>
          <w:bCs/>
        </w:rPr>
        <w:t>，排放速率为</w:t>
      </w:r>
      <w:r>
        <w:rPr>
          <w:bCs/>
        </w:rPr>
        <w:t>0.058×10</w:t>
      </w:r>
      <w:r>
        <w:rPr>
          <w:bCs/>
          <w:vertAlign w:val="superscript"/>
        </w:rPr>
        <w:t>-6</w:t>
      </w:r>
      <w:r>
        <w:rPr>
          <w:bCs/>
        </w:rPr>
        <w:t>kg/h</w:t>
      </w:r>
      <w:r>
        <w:rPr>
          <w:rFonts w:ascii="宋体" w:hAnsi="宋体"/>
          <w:bCs/>
        </w:rPr>
        <w:t>。</w:t>
      </w:r>
    </w:p>
    <w:p>
      <w:pPr>
        <w:adjustRightInd w:val="0"/>
        <w:snapToGrid w:val="0"/>
        <w:spacing w:line="360" w:lineRule="auto"/>
        <w:ind w:firstLine="420" w:firstLineChars="200"/>
        <w:rPr>
          <w:bCs/>
        </w:rPr>
      </w:pPr>
      <w:r>
        <w:rPr>
          <w:rFonts w:hint="eastAsia" w:ascii="宋体" w:hAnsi="宋体"/>
          <w:bCs/>
        </w:rPr>
        <w:t>⑤</w:t>
      </w:r>
      <w:r>
        <w:rPr>
          <w:rFonts w:ascii="宋体" w:hAnsi="宋体"/>
          <w:bCs/>
        </w:rPr>
        <w:t>无组织粉尘</w:t>
      </w:r>
    </w:p>
    <w:p>
      <w:pPr>
        <w:adjustRightInd w:val="0"/>
        <w:snapToGrid w:val="0"/>
        <w:spacing w:line="360" w:lineRule="auto"/>
        <w:ind w:firstLine="420" w:firstLineChars="200"/>
        <w:rPr>
          <w:bCs/>
        </w:rPr>
      </w:pPr>
      <w:r>
        <w:rPr>
          <w:rFonts w:ascii="宋体" w:hAnsi="宋体"/>
          <w:bCs/>
        </w:rPr>
        <w:t>项目沥青混凝土生产过程中产生的无组织粉尘主要为投料运输粉尘</w:t>
      </w:r>
      <w:r>
        <w:rPr>
          <w:rFonts w:hint="eastAsia" w:ascii="宋体" w:hAnsi="宋体"/>
          <w:bCs/>
        </w:rPr>
        <w:t>、不合格石料收集时产生的逸散粉尘</w:t>
      </w:r>
      <w:r>
        <w:rPr>
          <w:rFonts w:ascii="宋体" w:hAnsi="宋体"/>
          <w:bCs/>
        </w:rPr>
        <w:t>，经类比调查，无组织粉尘产生量约为</w:t>
      </w:r>
      <w:r>
        <w:rPr>
          <w:bCs/>
        </w:rPr>
        <w:t>0.056t/a</w:t>
      </w:r>
      <w:r>
        <w:rPr>
          <w:rFonts w:ascii="宋体" w:hAnsi="宋体"/>
          <w:bCs/>
        </w:rPr>
        <w:t>，经厂区洒水降尘、及时清扫等措施和自然降雨条件影响后，降尘效率</w:t>
      </w:r>
      <w:r>
        <w:rPr>
          <w:bCs/>
        </w:rPr>
        <w:t>70%</w:t>
      </w:r>
      <w:r>
        <w:rPr>
          <w:rFonts w:ascii="宋体" w:hAnsi="宋体"/>
          <w:bCs/>
        </w:rPr>
        <w:t>，无组织粉尘排放量约为</w:t>
      </w:r>
      <w:r>
        <w:rPr>
          <w:bCs/>
        </w:rPr>
        <w:t>0.0168t/a</w:t>
      </w:r>
      <w:r>
        <w:rPr>
          <w:rFonts w:ascii="宋体" w:hAnsi="宋体"/>
          <w:bCs/>
        </w:rPr>
        <w:t>，无组织粉尘量较小，排放浓度低，周界外浓度最高点能够满足《大气污染物综合排放标准》（</w:t>
      </w:r>
      <w:r>
        <w:rPr>
          <w:bCs/>
        </w:rPr>
        <w:t>GB16297-1996</w:t>
      </w:r>
      <w:r>
        <w:rPr>
          <w:rFonts w:ascii="宋体" w:hAnsi="宋体"/>
          <w:bCs/>
        </w:rPr>
        <w:t>）中无组织排放监控浓度限值要求。</w:t>
      </w:r>
    </w:p>
    <w:p>
      <w:pPr>
        <w:adjustRightInd w:val="0"/>
        <w:snapToGrid w:val="0"/>
        <w:spacing w:line="360" w:lineRule="auto"/>
        <w:ind w:firstLine="420" w:firstLineChars="200"/>
        <w:rPr>
          <w:bCs/>
        </w:rPr>
      </w:pPr>
      <w:r>
        <w:rPr>
          <w:rFonts w:hint="eastAsia" w:ascii="宋体" w:hAnsi="宋体"/>
          <w:bCs/>
        </w:rPr>
        <w:t>⑥</w:t>
      </w:r>
      <w:r>
        <w:rPr>
          <w:bCs/>
        </w:rPr>
        <w:t>运输车辆动力扬尘</w:t>
      </w:r>
    </w:p>
    <w:p>
      <w:pPr>
        <w:adjustRightInd w:val="0"/>
        <w:snapToGrid w:val="0"/>
        <w:spacing w:line="360" w:lineRule="auto"/>
        <w:ind w:firstLine="420" w:firstLineChars="200"/>
        <w:rPr>
          <w:bCs/>
        </w:rPr>
      </w:pPr>
      <w:r>
        <w:rPr>
          <w:bCs/>
        </w:rPr>
        <w:t>车辆行驶产生的扬尘，在道路完全干燥的情况下，可按下列经验公式计算：</w:t>
      </w:r>
    </w:p>
    <w:p>
      <w:pPr>
        <w:adjustRightInd w:val="0"/>
        <w:snapToGrid w:val="0"/>
        <w:spacing w:line="360" w:lineRule="auto"/>
        <w:jc w:val="center"/>
        <w:rPr>
          <w:bCs/>
        </w:rPr>
      </w:pPr>
      <w:r>
        <w:rPr>
          <w:bCs/>
        </w:rPr>
        <w:drawing>
          <wp:inline distT="0" distB="0" distL="0" distR="0">
            <wp:extent cx="1933575" cy="37147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933575" cy="371475"/>
                    </a:xfrm>
                    <a:prstGeom prst="rect">
                      <a:avLst/>
                    </a:prstGeom>
                    <a:noFill/>
                  </pic:spPr>
                </pic:pic>
              </a:graphicData>
            </a:graphic>
          </wp:inline>
        </w:drawing>
      </w:r>
    </w:p>
    <w:p>
      <w:pPr>
        <w:adjustRightInd w:val="0"/>
        <w:snapToGrid w:val="0"/>
        <w:spacing w:line="360" w:lineRule="auto"/>
        <w:ind w:firstLine="420" w:firstLineChars="200"/>
        <w:rPr>
          <w:bCs/>
        </w:rPr>
      </w:pPr>
      <w:r>
        <w:rPr>
          <w:bCs/>
        </w:rPr>
        <w:t>式中：Q—汽车行驶时的扬尘，kg/km.辆；</w:t>
      </w:r>
    </w:p>
    <w:p>
      <w:pPr>
        <w:adjustRightInd w:val="0"/>
        <w:snapToGrid w:val="0"/>
        <w:spacing w:line="360" w:lineRule="auto"/>
        <w:ind w:firstLine="420" w:firstLineChars="200"/>
        <w:rPr>
          <w:bCs/>
        </w:rPr>
      </w:pPr>
      <w:r>
        <w:rPr>
          <w:bCs/>
        </w:rPr>
        <w:t xml:space="preserve">      V—汽车速度，km/h；</w:t>
      </w:r>
    </w:p>
    <w:p>
      <w:pPr>
        <w:adjustRightInd w:val="0"/>
        <w:snapToGrid w:val="0"/>
        <w:spacing w:line="360" w:lineRule="auto"/>
        <w:ind w:firstLine="420" w:firstLineChars="200"/>
        <w:rPr>
          <w:bCs/>
        </w:rPr>
      </w:pPr>
      <w:r>
        <w:rPr>
          <w:bCs/>
        </w:rPr>
        <w:t xml:space="preserve">      W—汽车载重量，t；</w:t>
      </w:r>
    </w:p>
    <w:p>
      <w:pPr>
        <w:adjustRightInd w:val="0"/>
        <w:snapToGrid w:val="0"/>
        <w:spacing w:line="360" w:lineRule="auto"/>
        <w:ind w:firstLine="420" w:firstLineChars="200"/>
        <w:rPr>
          <w:bCs/>
        </w:rPr>
      </w:pPr>
      <w:r>
        <w:rPr>
          <w:bCs/>
        </w:rPr>
        <w:t xml:space="preserve">      P—道路表面粉尘量，kg/m</w:t>
      </w:r>
      <w:r>
        <w:rPr>
          <w:bCs/>
          <w:vertAlign w:val="superscript"/>
        </w:rPr>
        <w:t>2</w:t>
      </w:r>
    </w:p>
    <w:p>
      <w:pPr>
        <w:adjustRightInd w:val="0"/>
        <w:snapToGrid w:val="0"/>
        <w:spacing w:line="360" w:lineRule="auto"/>
        <w:ind w:firstLine="420" w:firstLineChars="200"/>
        <w:rPr>
          <w:bCs/>
        </w:rPr>
      </w:pPr>
      <w:r>
        <w:rPr>
          <w:bCs/>
        </w:rPr>
        <w:t>本项目空车重约10.0t，重车重约30.0t，以速度10 km/h行驶，其在不同路面清洁度情况下的扬尘量如下表。</w:t>
      </w:r>
    </w:p>
    <w:p>
      <w:pPr>
        <w:adjustRightInd w:val="0"/>
        <w:snapToGrid w:val="0"/>
        <w:spacing w:line="360" w:lineRule="auto"/>
        <w:jc w:val="center"/>
        <w:rPr>
          <w:bCs/>
        </w:rPr>
      </w:pPr>
      <w:r>
        <w:rPr>
          <w:bCs/>
        </w:rPr>
        <w:t>表</w:t>
      </w:r>
      <w:r>
        <w:rPr>
          <w:rFonts w:hint="eastAsia"/>
          <w:bCs/>
          <w:lang w:val="en-US" w:eastAsia="zh-CN"/>
        </w:rPr>
        <w:t>9</w:t>
      </w:r>
      <w:r>
        <w:rPr>
          <w:bCs/>
        </w:rPr>
        <w:t xml:space="preserve">  车辆行驶扬尘量  单位：kg/km-辆</w:t>
      </w:r>
    </w:p>
    <w:tbl>
      <w:tblPr>
        <w:tblStyle w:val="10"/>
        <w:tblW w:w="5000" w:type="pct"/>
        <w:jc w:val="center"/>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96"/>
        <w:gridCol w:w="1564"/>
        <w:gridCol w:w="1564"/>
        <w:gridCol w:w="1564"/>
        <w:gridCol w:w="1565"/>
        <w:gridCol w:w="1565"/>
      </w:tblGrid>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4" w:type="pct"/>
            <w:tcBorders>
              <w:top w:val="single" w:color="auto" w:sz="12" w:space="0"/>
              <w:left w:val="nil"/>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路况</w:t>
            </w:r>
          </w:p>
          <w:p>
            <w:pPr>
              <w:adjustRightInd w:val="0"/>
              <w:snapToGrid w:val="0"/>
              <w:jc w:val="center"/>
              <w:rPr>
                <w:bCs/>
                <w:sz w:val="18"/>
                <w:szCs w:val="18"/>
              </w:rPr>
            </w:pPr>
            <w:r>
              <w:rPr>
                <w:bCs/>
                <w:sz w:val="18"/>
                <w:szCs w:val="18"/>
                <w:lang w:bidi="ar"/>
              </w:rPr>
              <w:t>车况</w:t>
            </w:r>
          </w:p>
        </w:tc>
        <w:tc>
          <w:tcPr>
            <w:tcW w:w="897"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0.1</w:t>
            </w:r>
          </w:p>
          <w:p>
            <w:pPr>
              <w:adjustRightInd w:val="0"/>
              <w:snapToGrid w:val="0"/>
              <w:jc w:val="center"/>
              <w:rPr>
                <w:bCs/>
                <w:sz w:val="18"/>
                <w:szCs w:val="18"/>
              </w:rPr>
            </w:pPr>
            <w:r>
              <w:rPr>
                <w:bCs/>
                <w:sz w:val="18"/>
                <w:szCs w:val="18"/>
                <w:lang w:bidi="ar"/>
              </w:rPr>
              <w:t>（kg/m</w:t>
            </w:r>
            <w:r>
              <w:rPr>
                <w:bCs/>
                <w:sz w:val="18"/>
                <w:szCs w:val="18"/>
                <w:vertAlign w:val="superscript"/>
                <w:lang w:bidi="ar"/>
              </w:rPr>
              <w:t>2</w:t>
            </w:r>
            <w:r>
              <w:rPr>
                <w:bCs/>
                <w:sz w:val="18"/>
                <w:szCs w:val="18"/>
                <w:lang w:bidi="ar"/>
              </w:rPr>
              <w:t>）</w:t>
            </w:r>
          </w:p>
        </w:tc>
        <w:tc>
          <w:tcPr>
            <w:tcW w:w="897"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0.2</w:t>
            </w:r>
          </w:p>
          <w:p>
            <w:pPr>
              <w:adjustRightInd w:val="0"/>
              <w:snapToGrid w:val="0"/>
              <w:jc w:val="center"/>
              <w:rPr>
                <w:bCs/>
                <w:sz w:val="18"/>
                <w:szCs w:val="18"/>
              </w:rPr>
            </w:pPr>
            <w:r>
              <w:rPr>
                <w:bCs/>
                <w:sz w:val="18"/>
                <w:szCs w:val="18"/>
                <w:lang w:bidi="ar"/>
              </w:rPr>
              <w:t>（kg/m</w:t>
            </w:r>
            <w:r>
              <w:rPr>
                <w:bCs/>
                <w:sz w:val="18"/>
                <w:szCs w:val="18"/>
                <w:vertAlign w:val="superscript"/>
                <w:lang w:bidi="ar"/>
              </w:rPr>
              <w:t>2</w:t>
            </w:r>
            <w:r>
              <w:rPr>
                <w:bCs/>
                <w:sz w:val="18"/>
                <w:szCs w:val="18"/>
                <w:lang w:bidi="ar"/>
              </w:rPr>
              <w:t>）</w:t>
            </w:r>
          </w:p>
        </w:tc>
        <w:tc>
          <w:tcPr>
            <w:tcW w:w="897"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0.3</w:t>
            </w:r>
          </w:p>
          <w:p>
            <w:pPr>
              <w:adjustRightInd w:val="0"/>
              <w:snapToGrid w:val="0"/>
              <w:jc w:val="center"/>
              <w:rPr>
                <w:bCs/>
                <w:sz w:val="18"/>
                <w:szCs w:val="18"/>
              </w:rPr>
            </w:pPr>
            <w:r>
              <w:rPr>
                <w:bCs/>
                <w:sz w:val="18"/>
                <w:szCs w:val="18"/>
                <w:lang w:bidi="ar"/>
              </w:rPr>
              <w:t>（kg/m</w:t>
            </w:r>
            <w:r>
              <w:rPr>
                <w:bCs/>
                <w:sz w:val="18"/>
                <w:szCs w:val="18"/>
                <w:vertAlign w:val="superscript"/>
                <w:lang w:bidi="ar"/>
              </w:rPr>
              <w:t>2</w:t>
            </w:r>
            <w:r>
              <w:rPr>
                <w:bCs/>
                <w:sz w:val="18"/>
                <w:szCs w:val="18"/>
                <w:lang w:bidi="ar"/>
              </w:rPr>
              <w:t>）</w:t>
            </w:r>
          </w:p>
        </w:tc>
        <w:tc>
          <w:tcPr>
            <w:tcW w:w="897"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0.4</w:t>
            </w:r>
          </w:p>
          <w:p>
            <w:pPr>
              <w:adjustRightInd w:val="0"/>
              <w:snapToGrid w:val="0"/>
              <w:jc w:val="center"/>
              <w:rPr>
                <w:bCs/>
                <w:sz w:val="18"/>
                <w:szCs w:val="18"/>
              </w:rPr>
            </w:pPr>
            <w:r>
              <w:rPr>
                <w:bCs/>
                <w:sz w:val="18"/>
                <w:szCs w:val="18"/>
                <w:lang w:bidi="ar"/>
              </w:rPr>
              <w:t>（kg/m</w:t>
            </w:r>
            <w:r>
              <w:rPr>
                <w:bCs/>
                <w:sz w:val="18"/>
                <w:szCs w:val="18"/>
                <w:vertAlign w:val="superscript"/>
                <w:lang w:bidi="ar"/>
              </w:rPr>
              <w:t>2</w:t>
            </w:r>
            <w:r>
              <w:rPr>
                <w:bCs/>
                <w:sz w:val="18"/>
                <w:szCs w:val="18"/>
                <w:lang w:bidi="ar"/>
              </w:rPr>
              <w:t>）</w:t>
            </w:r>
          </w:p>
        </w:tc>
        <w:tc>
          <w:tcPr>
            <w:tcW w:w="897" w:type="pct"/>
            <w:tcBorders>
              <w:top w:val="single" w:color="auto" w:sz="12" w:space="0"/>
              <w:left w:val="single" w:color="auto" w:sz="6" w:space="0"/>
              <w:bottom w:val="single" w:color="auto" w:sz="6" w:space="0"/>
              <w:right w:val="nil"/>
            </w:tcBorders>
            <w:vAlign w:val="center"/>
          </w:tcPr>
          <w:p>
            <w:pPr>
              <w:adjustRightInd w:val="0"/>
              <w:snapToGrid w:val="0"/>
              <w:jc w:val="center"/>
              <w:rPr>
                <w:bCs/>
                <w:sz w:val="18"/>
                <w:szCs w:val="18"/>
              </w:rPr>
            </w:pPr>
            <w:r>
              <w:rPr>
                <w:bCs/>
                <w:sz w:val="18"/>
                <w:szCs w:val="18"/>
                <w:lang w:bidi="ar"/>
              </w:rPr>
              <w:t>0.5</w:t>
            </w:r>
          </w:p>
          <w:p>
            <w:pPr>
              <w:adjustRightInd w:val="0"/>
              <w:snapToGrid w:val="0"/>
              <w:jc w:val="center"/>
              <w:rPr>
                <w:bCs/>
                <w:sz w:val="18"/>
                <w:szCs w:val="18"/>
              </w:rPr>
            </w:pPr>
            <w:r>
              <w:rPr>
                <w:bCs/>
                <w:sz w:val="18"/>
                <w:szCs w:val="18"/>
                <w:lang w:bidi="ar"/>
              </w:rPr>
              <w:t>（kg/m</w:t>
            </w:r>
            <w:r>
              <w:rPr>
                <w:bCs/>
                <w:sz w:val="18"/>
                <w:szCs w:val="18"/>
                <w:vertAlign w:val="superscript"/>
                <w:lang w:bidi="ar"/>
              </w:rPr>
              <w:t>2</w:t>
            </w:r>
            <w:r>
              <w:rPr>
                <w:bCs/>
                <w:sz w:val="18"/>
                <w:szCs w:val="18"/>
                <w:lang w:bidi="ar"/>
              </w:rPr>
              <w:t>）</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4" w:type="pct"/>
            <w:tcBorders>
              <w:top w:val="single" w:color="auto" w:sz="6" w:space="0"/>
              <w:left w:val="nil"/>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空车</w:t>
            </w:r>
          </w:p>
        </w:tc>
        <w:tc>
          <w:tcPr>
            <w:tcW w:w="897"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0.521</w:t>
            </w:r>
          </w:p>
        </w:tc>
        <w:tc>
          <w:tcPr>
            <w:tcW w:w="897"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0.858</w:t>
            </w:r>
          </w:p>
        </w:tc>
        <w:tc>
          <w:tcPr>
            <w:tcW w:w="897"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1.148</w:t>
            </w:r>
          </w:p>
        </w:tc>
        <w:tc>
          <w:tcPr>
            <w:tcW w:w="897"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Cs/>
                <w:sz w:val="18"/>
                <w:szCs w:val="18"/>
              </w:rPr>
            </w:pPr>
            <w:r>
              <w:rPr>
                <w:bCs/>
                <w:sz w:val="18"/>
                <w:szCs w:val="18"/>
                <w:lang w:bidi="ar"/>
              </w:rPr>
              <w:t>1.1413</w:t>
            </w:r>
          </w:p>
        </w:tc>
        <w:tc>
          <w:tcPr>
            <w:tcW w:w="897" w:type="pct"/>
            <w:tcBorders>
              <w:top w:val="single" w:color="auto" w:sz="6" w:space="0"/>
              <w:left w:val="single" w:color="auto" w:sz="6" w:space="0"/>
              <w:bottom w:val="single" w:color="auto" w:sz="6" w:space="0"/>
              <w:right w:val="nil"/>
            </w:tcBorders>
            <w:vAlign w:val="center"/>
          </w:tcPr>
          <w:p>
            <w:pPr>
              <w:adjustRightInd w:val="0"/>
              <w:snapToGrid w:val="0"/>
              <w:jc w:val="center"/>
              <w:rPr>
                <w:bCs/>
                <w:sz w:val="18"/>
                <w:szCs w:val="18"/>
              </w:rPr>
            </w:pPr>
            <w:r>
              <w:rPr>
                <w:bCs/>
                <w:sz w:val="18"/>
                <w:szCs w:val="18"/>
                <w:lang w:bidi="ar"/>
              </w:rPr>
              <w:t>1.659</w:t>
            </w:r>
          </w:p>
        </w:tc>
      </w:tr>
      <w:tr>
        <w:tblPrEx>
          <w:tblBorders>
            <w:top w:val="single" w:color="auto" w:sz="12" w:space="0"/>
            <w:left w:val="none" w:color="auto" w:sz="6" w:space="0"/>
            <w:bottom w:val="single" w:color="auto" w:sz="12" w:space="0"/>
            <w:right w:val="non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4" w:type="pct"/>
            <w:tcBorders>
              <w:top w:val="single" w:color="auto" w:sz="6" w:space="0"/>
              <w:left w:val="nil"/>
              <w:bottom w:val="single" w:color="auto" w:sz="12" w:space="0"/>
              <w:right w:val="single" w:color="auto" w:sz="6" w:space="0"/>
            </w:tcBorders>
            <w:vAlign w:val="center"/>
          </w:tcPr>
          <w:p>
            <w:pPr>
              <w:adjustRightInd w:val="0"/>
              <w:snapToGrid w:val="0"/>
              <w:jc w:val="center"/>
              <w:rPr>
                <w:bCs/>
                <w:sz w:val="18"/>
                <w:szCs w:val="18"/>
              </w:rPr>
            </w:pPr>
            <w:r>
              <w:rPr>
                <w:bCs/>
                <w:sz w:val="18"/>
                <w:szCs w:val="18"/>
                <w:lang w:bidi="ar"/>
              </w:rPr>
              <w:t>重车</w:t>
            </w:r>
          </w:p>
        </w:tc>
        <w:tc>
          <w:tcPr>
            <w:tcW w:w="897"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bCs/>
                <w:sz w:val="18"/>
                <w:szCs w:val="18"/>
              </w:rPr>
            </w:pPr>
            <w:r>
              <w:rPr>
                <w:bCs/>
                <w:sz w:val="18"/>
                <w:szCs w:val="18"/>
                <w:lang w:bidi="ar"/>
              </w:rPr>
              <w:t>1.063</w:t>
            </w:r>
          </w:p>
        </w:tc>
        <w:tc>
          <w:tcPr>
            <w:tcW w:w="897"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bCs/>
                <w:sz w:val="18"/>
                <w:szCs w:val="18"/>
              </w:rPr>
            </w:pPr>
            <w:r>
              <w:rPr>
                <w:bCs/>
                <w:sz w:val="18"/>
                <w:szCs w:val="18"/>
                <w:lang w:bidi="ar"/>
              </w:rPr>
              <w:t>1.752</w:t>
            </w:r>
          </w:p>
        </w:tc>
        <w:tc>
          <w:tcPr>
            <w:tcW w:w="897"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bCs/>
                <w:sz w:val="18"/>
                <w:szCs w:val="18"/>
              </w:rPr>
            </w:pPr>
            <w:r>
              <w:rPr>
                <w:bCs/>
                <w:sz w:val="18"/>
                <w:szCs w:val="18"/>
                <w:lang w:bidi="ar"/>
              </w:rPr>
              <w:t>2.345</w:t>
            </w:r>
          </w:p>
        </w:tc>
        <w:tc>
          <w:tcPr>
            <w:tcW w:w="897"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bCs/>
                <w:sz w:val="18"/>
                <w:szCs w:val="18"/>
              </w:rPr>
            </w:pPr>
            <w:r>
              <w:rPr>
                <w:bCs/>
                <w:sz w:val="18"/>
                <w:szCs w:val="18"/>
                <w:lang w:bidi="ar"/>
              </w:rPr>
              <w:t>2.885</w:t>
            </w:r>
          </w:p>
        </w:tc>
        <w:tc>
          <w:tcPr>
            <w:tcW w:w="897" w:type="pct"/>
            <w:tcBorders>
              <w:top w:val="single" w:color="auto" w:sz="6" w:space="0"/>
              <w:left w:val="single" w:color="auto" w:sz="6" w:space="0"/>
              <w:bottom w:val="single" w:color="auto" w:sz="12" w:space="0"/>
              <w:right w:val="nil"/>
            </w:tcBorders>
            <w:vAlign w:val="center"/>
          </w:tcPr>
          <w:p>
            <w:pPr>
              <w:adjustRightInd w:val="0"/>
              <w:snapToGrid w:val="0"/>
              <w:jc w:val="center"/>
              <w:rPr>
                <w:bCs/>
                <w:sz w:val="18"/>
                <w:szCs w:val="18"/>
              </w:rPr>
            </w:pPr>
            <w:r>
              <w:rPr>
                <w:bCs/>
                <w:sz w:val="18"/>
                <w:szCs w:val="18"/>
                <w:lang w:bidi="ar"/>
              </w:rPr>
              <w:t>3.388</w:t>
            </w:r>
          </w:p>
        </w:tc>
      </w:tr>
    </w:tbl>
    <w:p>
      <w:pPr>
        <w:adjustRightInd w:val="0"/>
        <w:snapToGrid w:val="0"/>
        <w:spacing w:line="360" w:lineRule="auto"/>
        <w:ind w:firstLine="420" w:firstLineChars="200"/>
        <w:rPr>
          <w:bCs/>
        </w:rPr>
      </w:pPr>
      <w:r>
        <w:rPr>
          <w:bCs/>
        </w:rPr>
        <w:t>本项目厂区内正常路况以0.4 kg/m</w:t>
      </w:r>
      <w:r>
        <w:rPr>
          <w:bCs/>
          <w:vertAlign w:val="superscript"/>
        </w:rPr>
        <w:t>2</w:t>
      </w:r>
      <w:r>
        <w:rPr>
          <w:bCs/>
        </w:rPr>
        <w:t>计，车辆在厂区内行驶距离按50m计，平均每天发车空、重载各6辆·次，经计算，项目汽车动力起尘量为1.208 kg/a。建设单位对厂区内地面定期派专人进行路面硬化、及时清扫、洒水和自然降雨减少道路扬尘，扬尘量可减少80%，运输车辆扬尘排放量为0.242 kg/a。</w:t>
      </w:r>
    </w:p>
    <w:p>
      <w:pPr>
        <w:adjustRightInd w:val="0"/>
        <w:snapToGrid w:val="0"/>
        <w:spacing w:line="360" w:lineRule="auto"/>
        <w:ind w:firstLine="420" w:firstLineChars="200"/>
        <w:rPr>
          <w:bCs/>
        </w:rPr>
      </w:pPr>
      <w:r>
        <w:rPr>
          <w:bCs/>
        </w:rPr>
        <w:t>综上，本项目整体废气污染物产排情况见表</w:t>
      </w:r>
      <w:r>
        <w:rPr>
          <w:rFonts w:hint="eastAsia"/>
          <w:bCs/>
          <w:lang w:val="en-US" w:eastAsia="zh-CN"/>
        </w:rPr>
        <w:t>10</w:t>
      </w:r>
      <w:r>
        <w:rPr>
          <w:bCs/>
        </w:rPr>
        <w:t>。</w:t>
      </w:r>
    </w:p>
    <w:p>
      <w:pPr>
        <w:adjustRightInd w:val="0"/>
        <w:snapToGrid w:val="0"/>
        <w:spacing w:line="360" w:lineRule="auto"/>
        <w:jc w:val="center"/>
        <w:rPr>
          <w:bCs/>
        </w:rPr>
      </w:pPr>
      <w:r>
        <w:rPr>
          <w:bCs/>
        </w:rPr>
        <w:t>表</w:t>
      </w:r>
      <w:r>
        <w:rPr>
          <w:rFonts w:hint="eastAsia"/>
          <w:bCs/>
          <w:lang w:val="en-US" w:eastAsia="zh-CN"/>
        </w:rPr>
        <w:t>10</w:t>
      </w:r>
      <w:r>
        <w:rPr>
          <w:bCs/>
        </w:rPr>
        <w:t xml:space="preserve">  本项目整体大气污染物产生及排放情况一览表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546"/>
        <w:gridCol w:w="712"/>
        <w:gridCol w:w="1363"/>
        <w:gridCol w:w="982"/>
        <w:gridCol w:w="1488"/>
        <w:gridCol w:w="1363"/>
        <w:gridCol w:w="1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Align w:val="center"/>
          </w:tcPr>
          <w:p>
            <w:pPr>
              <w:adjustRightInd w:val="0"/>
              <w:snapToGrid w:val="0"/>
              <w:jc w:val="center"/>
              <w:rPr>
                <w:bCs/>
                <w:sz w:val="18"/>
                <w:szCs w:val="18"/>
              </w:rPr>
            </w:pPr>
            <w:r>
              <w:rPr>
                <w:bCs/>
                <w:sz w:val="18"/>
                <w:szCs w:val="18"/>
              </w:rPr>
              <w:t>污染源</w:t>
            </w:r>
          </w:p>
        </w:tc>
        <w:tc>
          <w:tcPr>
            <w:tcW w:w="313" w:type="pct"/>
            <w:vAlign w:val="center"/>
          </w:tcPr>
          <w:p>
            <w:pPr>
              <w:adjustRightInd w:val="0"/>
              <w:snapToGrid w:val="0"/>
              <w:jc w:val="center"/>
              <w:rPr>
                <w:bCs/>
                <w:sz w:val="18"/>
                <w:szCs w:val="18"/>
              </w:rPr>
            </w:pPr>
            <w:r>
              <w:rPr>
                <w:bCs/>
                <w:sz w:val="18"/>
                <w:szCs w:val="18"/>
              </w:rPr>
              <w:t>特征</w:t>
            </w:r>
          </w:p>
        </w:tc>
        <w:tc>
          <w:tcPr>
            <w:tcW w:w="408" w:type="pct"/>
            <w:vAlign w:val="center"/>
          </w:tcPr>
          <w:p>
            <w:pPr>
              <w:adjustRightInd w:val="0"/>
              <w:snapToGrid w:val="0"/>
              <w:jc w:val="center"/>
              <w:rPr>
                <w:bCs/>
                <w:sz w:val="18"/>
                <w:szCs w:val="18"/>
              </w:rPr>
            </w:pPr>
            <w:r>
              <w:rPr>
                <w:bCs/>
                <w:sz w:val="18"/>
                <w:szCs w:val="18"/>
              </w:rPr>
              <w:t>污染物</w:t>
            </w:r>
          </w:p>
        </w:tc>
        <w:tc>
          <w:tcPr>
            <w:tcW w:w="781" w:type="pct"/>
            <w:vAlign w:val="center"/>
          </w:tcPr>
          <w:p>
            <w:pPr>
              <w:adjustRightInd w:val="0"/>
              <w:snapToGrid w:val="0"/>
              <w:jc w:val="center"/>
              <w:rPr>
                <w:bCs/>
                <w:sz w:val="18"/>
                <w:szCs w:val="18"/>
              </w:rPr>
            </w:pPr>
            <w:r>
              <w:rPr>
                <w:bCs/>
                <w:sz w:val="18"/>
                <w:szCs w:val="18"/>
              </w:rPr>
              <w:t>产生浓度（mg/m</w:t>
            </w:r>
            <w:r>
              <w:rPr>
                <w:bCs/>
                <w:sz w:val="18"/>
                <w:szCs w:val="18"/>
                <w:vertAlign w:val="superscript"/>
              </w:rPr>
              <w:t>3</w:t>
            </w:r>
            <w:r>
              <w:rPr>
                <w:bCs/>
                <w:sz w:val="18"/>
                <w:szCs w:val="18"/>
              </w:rPr>
              <w:t>）</w:t>
            </w:r>
          </w:p>
        </w:tc>
        <w:tc>
          <w:tcPr>
            <w:tcW w:w="563" w:type="pct"/>
            <w:vAlign w:val="center"/>
          </w:tcPr>
          <w:p>
            <w:pPr>
              <w:adjustRightInd w:val="0"/>
              <w:snapToGrid w:val="0"/>
              <w:jc w:val="center"/>
              <w:rPr>
                <w:bCs/>
                <w:sz w:val="18"/>
                <w:szCs w:val="18"/>
              </w:rPr>
            </w:pPr>
            <w:r>
              <w:rPr>
                <w:bCs/>
                <w:sz w:val="18"/>
                <w:szCs w:val="18"/>
              </w:rPr>
              <w:t>产生量（t/a）</w:t>
            </w:r>
          </w:p>
        </w:tc>
        <w:tc>
          <w:tcPr>
            <w:tcW w:w="853" w:type="pct"/>
            <w:vAlign w:val="center"/>
          </w:tcPr>
          <w:p>
            <w:pPr>
              <w:adjustRightInd w:val="0"/>
              <w:snapToGrid w:val="0"/>
              <w:jc w:val="center"/>
              <w:rPr>
                <w:bCs/>
                <w:sz w:val="18"/>
                <w:szCs w:val="18"/>
              </w:rPr>
            </w:pPr>
            <w:r>
              <w:rPr>
                <w:bCs/>
                <w:sz w:val="18"/>
                <w:szCs w:val="18"/>
              </w:rPr>
              <w:t>治理措施</w:t>
            </w:r>
          </w:p>
        </w:tc>
        <w:tc>
          <w:tcPr>
            <w:tcW w:w="781" w:type="pct"/>
            <w:vAlign w:val="center"/>
          </w:tcPr>
          <w:p>
            <w:pPr>
              <w:adjustRightInd w:val="0"/>
              <w:snapToGrid w:val="0"/>
              <w:jc w:val="center"/>
              <w:rPr>
                <w:bCs/>
                <w:sz w:val="18"/>
                <w:szCs w:val="18"/>
              </w:rPr>
            </w:pPr>
            <w:r>
              <w:rPr>
                <w:bCs/>
                <w:sz w:val="18"/>
                <w:szCs w:val="18"/>
              </w:rPr>
              <w:t>排放浓度（mg/m</w:t>
            </w:r>
            <w:r>
              <w:rPr>
                <w:bCs/>
                <w:sz w:val="18"/>
                <w:szCs w:val="18"/>
                <w:vertAlign w:val="superscript"/>
              </w:rPr>
              <w:t>3</w:t>
            </w:r>
            <w:r>
              <w:rPr>
                <w:bCs/>
                <w:sz w:val="18"/>
                <w:szCs w:val="18"/>
              </w:rPr>
              <w:t>）</w:t>
            </w:r>
          </w:p>
        </w:tc>
        <w:tc>
          <w:tcPr>
            <w:tcW w:w="661" w:type="pct"/>
            <w:vAlign w:val="center"/>
          </w:tcPr>
          <w:p>
            <w:pPr>
              <w:adjustRightInd w:val="0"/>
              <w:snapToGrid w:val="0"/>
              <w:jc w:val="center"/>
              <w:rPr>
                <w:bCs/>
                <w:sz w:val="18"/>
                <w:szCs w:val="18"/>
              </w:rPr>
            </w:pPr>
            <w:r>
              <w:rPr>
                <w:bCs/>
                <w:sz w:val="18"/>
                <w:szCs w:val="18"/>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restart"/>
            <w:vAlign w:val="center"/>
          </w:tcPr>
          <w:p>
            <w:pPr>
              <w:adjustRightInd w:val="0"/>
              <w:snapToGrid w:val="0"/>
              <w:jc w:val="center"/>
              <w:rPr>
                <w:bCs/>
                <w:sz w:val="18"/>
                <w:szCs w:val="18"/>
              </w:rPr>
            </w:pPr>
            <w:r>
              <w:rPr>
                <w:bCs/>
                <w:sz w:val="18"/>
                <w:szCs w:val="18"/>
              </w:rPr>
              <w:t>导热油炉</w:t>
            </w:r>
          </w:p>
        </w:tc>
        <w:tc>
          <w:tcPr>
            <w:tcW w:w="313" w:type="pct"/>
            <w:vMerge w:val="restart"/>
            <w:vAlign w:val="center"/>
          </w:tcPr>
          <w:p>
            <w:pPr>
              <w:adjustRightInd w:val="0"/>
              <w:snapToGrid w:val="0"/>
              <w:jc w:val="center"/>
              <w:rPr>
                <w:bCs/>
                <w:sz w:val="18"/>
                <w:szCs w:val="18"/>
              </w:rPr>
            </w:pPr>
            <w:r>
              <w:rPr>
                <w:bCs/>
                <w:sz w:val="18"/>
                <w:szCs w:val="18"/>
              </w:rPr>
              <w:t>有组织</w:t>
            </w:r>
          </w:p>
        </w:tc>
        <w:tc>
          <w:tcPr>
            <w:tcW w:w="408" w:type="pct"/>
            <w:vAlign w:val="center"/>
          </w:tcPr>
          <w:p>
            <w:pPr>
              <w:adjustRightInd w:val="0"/>
              <w:snapToGrid w:val="0"/>
              <w:jc w:val="center"/>
              <w:rPr>
                <w:bCs/>
                <w:sz w:val="18"/>
                <w:szCs w:val="18"/>
              </w:rPr>
            </w:pPr>
            <w:r>
              <w:rPr>
                <w:bCs/>
                <w:sz w:val="18"/>
                <w:szCs w:val="18"/>
              </w:rPr>
              <w:t>烟尘</w:t>
            </w:r>
          </w:p>
        </w:tc>
        <w:tc>
          <w:tcPr>
            <w:tcW w:w="781" w:type="pct"/>
            <w:vAlign w:val="center"/>
          </w:tcPr>
          <w:p>
            <w:pPr>
              <w:adjustRightInd w:val="0"/>
              <w:snapToGrid w:val="0"/>
              <w:jc w:val="center"/>
              <w:rPr>
                <w:bCs/>
                <w:sz w:val="18"/>
                <w:szCs w:val="18"/>
              </w:rPr>
            </w:pPr>
            <w:r>
              <w:rPr>
                <w:sz w:val="18"/>
                <w:szCs w:val="18"/>
              </w:rPr>
              <w:t>14.603</w:t>
            </w:r>
          </w:p>
        </w:tc>
        <w:tc>
          <w:tcPr>
            <w:tcW w:w="563" w:type="pct"/>
            <w:vAlign w:val="center"/>
          </w:tcPr>
          <w:p>
            <w:pPr>
              <w:adjustRightInd w:val="0"/>
              <w:snapToGrid w:val="0"/>
              <w:jc w:val="center"/>
              <w:rPr>
                <w:bCs/>
                <w:sz w:val="18"/>
                <w:szCs w:val="18"/>
              </w:rPr>
            </w:pPr>
            <w:r>
              <w:rPr>
                <w:sz w:val="18"/>
                <w:szCs w:val="18"/>
              </w:rPr>
              <w:t>0.004</w:t>
            </w:r>
          </w:p>
        </w:tc>
        <w:tc>
          <w:tcPr>
            <w:tcW w:w="853" w:type="pct"/>
            <w:vAlign w:val="center"/>
          </w:tcPr>
          <w:p>
            <w:pPr>
              <w:adjustRightInd w:val="0"/>
              <w:snapToGrid w:val="0"/>
              <w:jc w:val="center"/>
              <w:rPr>
                <w:bCs/>
                <w:sz w:val="18"/>
                <w:szCs w:val="18"/>
              </w:rPr>
            </w:pPr>
            <w:r>
              <w:rPr>
                <w:sz w:val="18"/>
                <w:szCs w:val="18"/>
              </w:rPr>
              <w:t>布袋除尘器</w:t>
            </w:r>
          </w:p>
        </w:tc>
        <w:tc>
          <w:tcPr>
            <w:tcW w:w="781" w:type="pct"/>
            <w:vAlign w:val="center"/>
          </w:tcPr>
          <w:p>
            <w:pPr>
              <w:adjustRightInd w:val="0"/>
              <w:snapToGrid w:val="0"/>
              <w:jc w:val="center"/>
              <w:rPr>
                <w:bCs/>
                <w:sz w:val="18"/>
                <w:szCs w:val="18"/>
              </w:rPr>
            </w:pPr>
            <w:r>
              <w:rPr>
                <w:sz w:val="18"/>
                <w:szCs w:val="18"/>
              </w:rPr>
              <w:t>0.146</w:t>
            </w:r>
          </w:p>
        </w:tc>
        <w:tc>
          <w:tcPr>
            <w:tcW w:w="661" w:type="pct"/>
            <w:vAlign w:val="center"/>
          </w:tcPr>
          <w:p>
            <w:pPr>
              <w:adjustRightInd w:val="0"/>
              <w:snapToGrid w:val="0"/>
              <w:jc w:val="center"/>
              <w:rPr>
                <w:bCs/>
                <w:sz w:val="18"/>
                <w:szCs w:val="18"/>
              </w:rPr>
            </w:pPr>
            <w:r>
              <w:rPr>
                <w:sz w:val="18"/>
                <w:szCs w:val="18"/>
              </w:rPr>
              <w:t>0.039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bCs/>
                <w:sz w:val="18"/>
                <w:szCs w:val="18"/>
              </w:rPr>
              <w:t>SO</w:t>
            </w:r>
            <w:r>
              <w:rPr>
                <w:bCs/>
                <w:sz w:val="18"/>
                <w:szCs w:val="18"/>
                <w:vertAlign w:val="subscript"/>
              </w:rPr>
              <w:t>2</w:t>
            </w:r>
          </w:p>
        </w:tc>
        <w:tc>
          <w:tcPr>
            <w:tcW w:w="781" w:type="pct"/>
            <w:vAlign w:val="center"/>
          </w:tcPr>
          <w:p>
            <w:pPr>
              <w:adjustRightInd w:val="0"/>
              <w:snapToGrid w:val="0"/>
              <w:jc w:val="center"/>
              <w:rPr>
                <w:bCs/>
                <w:sz w:val="18"/>
                <w:szCs w:val="18"/>
              </w:rPr>
            </w:pPr>
            <w:r>
              <w:rPr>
                <w:sz w:val="18"/>
                <w:szCs w:val="18"/>
              </w:rPr>
              <w:t>160.076</w:t>
            </w:r>
          </w:p>
        </w:tc>
        <w:tc>
          <w:tcPr>
            <w:tcW w:w="563" w:type="pct"/>
            <w:vAlign w:val="center"/>
          </w:tcPr>
          <w:p>
            <w:pPr>
              <w:adjustRightInd w:val="0"/>
              <w:snapToGrid w:val="0"/>
              <w:jc w:val="center"/>
              <w:rPr>
                <w:bCs/>
                <w:sz w:val="18"/>
                <w:szCs w:val="18"/>
              </w:rPr>
            </w:pPr>
            <w:r>
              <w:rPr>
                <w:sz w:val="18"/>
                <w:szCs w:val="18"/>
              </w:rPr>
              <w:t>0.043</w:t>
            </w:r>
          </w:p>
        </w:tc>
        <w:tc>
          <w:tcPr>
            <w:tcW w:w="853" w:type="pct"/>
            <w:vAlign w:val="center"/>
          </w:tcPr>
          <w:p>
            <w:pPr>
              <w:adjustRightInd w:val="0"/>
              <w:snapToGrid w:val="0"/>
              <w:jc w:val="center"/>
              <w:rPr>
                <w:bCs/>
                <w:sz w:val="18"/>
                <w:szCs w:val="18"/>
              </w:rPr>
            </w:pPr>
            <w:r>
              <w:rPr>
                <w:sz w:val="18"/>
                <w:szCs w:val="18"/>
              </w:rPr>
              <w:t>/</w:t>
            </w:r>
          </w:p>
        </w:tc>
        <w:tc>
          <w:tcPr>
            <w:tcW w:w="781" w:type="pct"/>
            <w:vAlign w:val="center"/>
          </w:tcPr>
          <w:p>
            <w:pPr>
              <w:adjustRightInd w:val="0"/>
              <w:snapToGrid w:val="0"/>
              <w:jc w:val="center"/>
              <w:rPr>
                <w:bCs/>
                <w:sz w:val="18"/>
                <w:szCs w:val="18"/>
              </w:rPr>
            </w:pPr>
            <w:r>
              <w:rPr>
                <w:sz w:val="18"/>
                <w:szCs w:val="18"/>
              </w:rPr>
              <w:t>160.076</w:t>
            </w:r>
          </w:p>
        </w:tc>
        <w:tc>
          <w:tcPr>
            <w:tcW w:w="661" w:type="pct"/>
            <w:vAlign w:val="center"/>
          </w:tcPr>
          <w:p>
            <w:pPr>
              <w:adjustRightInd w:val="0"/>
              <w:snapToGrid w:val="0"/>
              <w:jc w:val="center"/>
              <w:rPr>
                <w:bCs/>
                <w:sz w:val="18"/>
                <w:szCs w:val="18"/>
              </w:rPr>
            </w:pPr>
            <w:r>
              <w:rPr>
                <w:sz w:val="18"/>
                <w:szCs w:val="18"/>
              </w:rPr>
              <w:t>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bCs/>
                <w:sz w:val="18"/>
                <w:szCs w:val="18"/>
              </w:rPr>
              <w:t>NO</w:t>
            </w:r>
            <w:r>
              <w:rPr>
                <w:bCs/>
                <w:sz w:val="18"/>
                <w:szCs w:val="18"/>
                <w:vertAlign w:val="subscript"/>
              </w:rPr>
              <w:t>x</w:t>
            </w:r>
          </w:p>
        </w:tc>
        <w:tc>
          <w:tcPr>
            <w:tcW w:w="781" w:type="pct"/>
            <w:vAlign w:val="center"/>
          </w:tcPr>
          <w:p>
            <w:pPr>
              <w:adjustRightInd w:val="0"/>
              <w:snapToGrid w:val="0"/>
              <w:jc w:val="center"/>
              <w:rPr>
                <w:bCs/>
                <w:sz w:val="18"/>
                <w:szCs w:val="18"/>
              </w:rPr>
            </w:pPr>
            <w:r>
              <w:rPr>
                <w:sz w:val="18"/>
                <w:szCs w:val="18"/>
              </w:rPr>
              <w:t>170.186</w:t>
            </w:r>
          </w:p>
        </w:tc>
        <w:tc>
          <w:tcPr>
            <w:tcW w:w="563" w:type="pct"/>
            <w:vAlign w:val="center"/>
          </w:tcPr>
          <w:p>
            <w:pPr>
              <w:adjustRightInd w:val="0"/>
              <w:snapToGrid w:val="0"/>
              <w:jc w:val="center"/>
              <w:rPr>
                <w:bCs/>
                <w:sz w:val="18"/>
                <w:szCs w:val="18"/>
              </w:rPr>
            </w:pPr>
            <w:r>
              <w:rPr>
                <w:sz w:val="18"/>
                <w:szCs w:val="18"/>
              </w:rPr>
              <w:t>0.045</w:t>
            </w:r>
          </w:p>
        </w:tc>
        <w:tc>
          <w:tcPr>
            <w:tcW w:w="853" w:type="pct"/>
            <w:vAlign w:val="center"/>
          </w:tcPr>
          <w:p>
            <w:pPr>
              <w:adjustRightInd w:val="0"/>
              <w:snapToGrid w:val="0"/>
              <w:jc w:val="center"/>
              <w:rPr>
                <w:bCs/>
                <w:sz w:val="18"/>
                <w:szCs w:val="18"/>
              </w:rPr>
            </w:pPr>
            <w:r>
              <w:rPr>
                <w:sz w:val="18"/>
                <w:szCs w:val="18"/>
              </w:rPr>
              <w:t>/</w:t>
            </w:r>
          </w:p>
        </w:tc>
        <w:tc>
          <w:tcPr>
            <w:tcW w:w="781" w:type="pct"/>
            <w:vAlign w:val="center"/>
          </w:tcPr>
          <w:p>
            <w:pPr>
              <w:adjustRightInd w:val="0"/>
              <w:snapToGrid w:val="0"/>
              <w:jc w:val="center"/>
              <w:rPr>
                <w:bCs/>
                <w:sz w:val="18"/>
                <w:szCs w:val="18"/>
              </w:rPr>
            </w:pPr>
            <w:r>
              <w:rPr>
                <w:sz w:val="18"/>
                <w:szCs w:val="18"/>
              </w:rPr>
              <w:t>170.186</w:t>
            </w:r>
          </w:p>
        </w:tc>
        <w:tc>
          <w:tcPr>
            <w:tcW w:w="661" w:type="pct"/>
            <w:vAlign w:val="center"/>
          </w:tcPr>
          <w:p>
            <w:pPr>
              <w:adjustRightInd w:val="0"/>
              <w:snapToGrid w:val="0"/>
              <w:jc w:val="center"/>
              <w:rPr>
                <w:bCs/>
                <w:sz w:val="18"/>
                <w:szCs w:val="18"/>
              </w:rPr>
            </w:pPr>
            <w:r>
              <w:rPr>
                <w:sz w:val="18"/>
                <w:szCs w:val="18"/>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restart"/>
            <w:vAlign w:val="center"/>
          </w:tcPr>
          <w:p>
            <w:pPr>
              <w:adjustRightInd w:val="0"/>
              <w:snapToGrid w:val="0"/>
              <w:jc w:val="center"/>
              <w:rPr>
                <w:rFonts w:hint="default" w:eastAsia="宋体"/>
                <w:bCs/>
                <w:sz w:val="18"/>
                <w:szCs w:val="18"/>
                <w:lang w:val="en-US" w:eastAsia="zh-CN"/>
              </w:rPr>
            </w:pPr>
            <w:r>
              <w:rPr>
                <w:bCs/>
                <w:sz w:val="18"/>
                <w:szCs w:val="18"/>
              </w:rPr>
              <w:t>烘干滚筒</w:t>
            </w:r>
            <w:r>
              <w:rPr>
                <w:rFonts w:hint="eastAsia"/>
                <w:bCs/>
                <w:sz w:val="18"/>
                <w:szCs w:val="18"/>
                <w:lang w:val="en-US" w:eastAsia="zh-CN"/>
              </w:rPr>
              <w:t>燃烧烟气、石料筛分工艺粉尘</w:t>
            </w:r>
          </w:p>
        </w:tc>
        <w:tc>
          <w:tcPr>
            <w:tcW w:w="313" w:type="pct"/>
            <w:vMerge w:val="restart"/>
            <w:vAlign w:val="center"/>
          </w:tcPr>
          <w:p>
            <w:pPr>
              <w:adjustRightInd w:val="0"/>
              <w:snapToGrid w:val="0"/>
              <w:jc w:val="center"/>
              <w:rPr>
                <w:bCs/>
                <w:sz w:val="18"/>
                <w:szCs w:val="18"/>
              </w:rPr>
            </w:pPr>
            <w:r>
              <w:rPr>
                <w:bCs/>
                <w:sz w:val="18"/>
                <w:szCs w:val="18"/>
              </w:rPr>
              <w:t>有组织</w:t>
            </w:r>
          </w:p>
        </w:tc>
        <w:tc>
          <w:tcPr>
            <w:tcW w:w="408" w:type="pct"/>
            <w:vAlign w:val="center"/>
          </w:tcPr>
          <w:p>
            <w:pPr>
              <w:adjustRightInd w:val="0"/>
              <w:snapToGrid w:val="0"/>
              <w:jc w:val="center"/>
              <w:rPr>
                <w:rFonts w:hint="eastAsia" w:eastAsia="宋体"/>
                <w:bCs/>
                <w:sz w:val="18"/>
                <w:szCs w:val="18"/>
                <w:lang w:eastAsia="zh-CN"/>
              </w:rPr>
            </w:pPr>
            <w:r>
              <w:rPr>
                <w:rFonts w:hint="eastAsia"/>
                <w:bCs/>
                <w:sz w:val="18"/>
                <w:szCs w:val="18"/>
                <w:lang w:val="en-US" w:eastAsia="zh-CN"/>
              </w:rPr>
              <w:t>粉尘</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113.93</w:t>
            </w:r>
          </w:p>
        </w:tc>
        <w:tc>
          <w:tcPr>
            <w:tcW w:w="563"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1.673</w:t>
            </w:r>
          </w:p>
        </w:tc>
        <w:tc>
          <w:tcPr>
            <w:tcW w:w="853" w:type="pct"/>
            <w:vAlign w:val="center"/>
          </w:tcPr>
          <w:p>
            <w:pPr>
              <w:adjustRightInd w:val="0"/>
              <w:snapToGrid w:val="0"/>
              <w:jc w:val="center"/>
              <w:rPr>
                <w:bCs/>
                <w:color w:val="auto"/>
                <w:sz w:val="18"/>
                <w:szCs w:val="18"/>
              </w:rPr>
            </w:pPr>
            <w:r>
              <w:rPr>
                <w:color w:val="auto"/>
                <w:sz w:val="18"/>
                <w:szCs w:val="18"/>
              </w:rPr>
              <w:t>布袋除尘器</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0.96</w:t>
            </w:r>
          </w:p>
        </w:tc>
        <w:tc>
          <w:tcPr>
            <w:tcW w:w="661"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14.126</w:t>
            </w:r>
            <w:r>
              <w:rPr>
                <w:rFonts w:hint="default" w:ascii="Times New Roman" w:hAnsi="Times New Roman" w:cs="Times New Roman"/>
                <w:color w:val="auto"/>
                <w:sz w:val="18"/>
                <w:szCs w:val="18"/>
                <w:highlight w:val="none"/>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bCs/>
                <w:sz w:val="18"/>
                <w:szCs w:val="18"/>
              </w:rPr>
              <w:t>SO</w:t>
            </w:r>
            <w:r>
              <w:rPr>
                <w:bCs/>
                <w:sz w:val="18"/>
                <w:szCs w:val="18"/>
                <w:vertAlign w:val="subscript"/>
              </w:rPr>
              <w:t>2</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2.86</w:t>
            </w:r>
          </w:p>
        </w:tc>
        <w:tc>
          <w:tcPr>
            <w:tcW w:w="563"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c>
          <w:tcPr>
            <w:tcW w:w="853" w:type="pct"/>
            <w:vAlign w:val="center"/>
          </w:tcPr>
          <w:p>
            <w:pPr>
              <w:adjustRightInd w:val="0"/>
              <w:snapToGrid w:val="0"/>
              <w:jc w:val="center"/>
              <w:rPr>
                <w:bCs/>
                <w:color w:val="auto"/>
                <w:sz w:val="18"/>
                <w:szCs w:val="18"/>
              </w:rPr>
            </w:pPr>
            <w:r>
              <w:rPr>
                <w:color w:val="auto"/>
                <w:sz w:val="18"/>
                <w:szCs w:val="18"/>
              </w:rPr>
              <w:t>/</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2.86</w:t>
            </w:r>
          </w:p>
        </w:tc>
        <w:tc>
          <w:tcPr>
            <w:tcW w:w="661"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bCs/>
                <w:sz w:val="18"/>
                <w:szCs w:val="18"/>
              </w:rPr>
              <w:t>NO</w:t>
            </w:r>
            <w:r>
              <w:rPr>
                <w:bCs/>
                <w:sz w:val="18"/>
                <w:szCs w:val="18"/>
                <w:vertAlign w:val="subscript"/>
              </w:rPr>
              <w:t>x</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8.58</w:t>
            </w:r>
          </w:p>
        </w:tc>
        <w:tc>
          <w:tcPr>
            <w:tcW w:w="563"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0.126</w:t>
            </w:r>
          </w:p>
        </w:tc>
        <w:tc>
          <w:tcPr>
            <w:tcW w:w="853" w:type="pct"/>
            <w:vAlign w:val="center"/>
          </w:tcPr>
          <w:p>
            <w:pPr>
              <w:adjustRightInd w:val="0"/>
              <w:snapToGrid w:val="0"/>
              <w:jc w:val="center"/>
              <w:rPr>
                <w:rFonts w:hint="eastAsia" w:eastAsia="宋体"/>
                <w:bCs/>
                <w:color w:val="auto"/>
                <w:sz w:val="18"/>
                <w:szCs w:val="18"/>
                <w:lang w:eastAsia="zh-CN"/>
              </w:rPr>
            </w:pPr>
            <w:r>
              <w:rPr>
                <w:rFonts w:hint="eastAsia"/>
                <w:color w:val="auto"/>
                <w:sz w:val="18"/>
                <w:szCs w:val="18"/>
                <w:lang w:val="en-US" w:eastAsia="zh-CN"/>
              </w:rPr>
              <w:t>低氮燃烧</w:t>
            </w:r>
          </w:p>
        </w:tc>
        <w:tc>
          <w:tcPr>
            <w:tcW w:w="781" w:type="pct"/>
            <w:vAlign w:val="center"/>
          </w:tcPr>
          <w:p>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2.59</w:t>
            </w:r>
          </w:p>
        </w:tc>
        <w:tc>
          <w:tcPr>
            <w:tcW w:w="661"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eastAsia" w:ascii="Times New Roman" w:hAnsi="Times New Roman" w:cs="Times New Roman"/>
                <w:color w:val="auto"/>
                <w:kern w:val="24"/>
                <w:sz w:val="18"/>
                <w:szCs w:val="18"/>
                <w:highlight w:val="none"/>
                <w:lang w:val="en-US" w:eastAsia="zh-CN" w:bidi="ar-SA"/>
              </w:rPr>
              <w:t>0.038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restart"/>
            <w:vAlign w:val="center"/>
          </w:tcPr>
          <w:p>
            <w:pPr>
              <w:adjustRightInd w:val="0"/>
              <w:snapToGrid w:val="0"/>
              <w:jc w:val="center"/>
              <w:rPr>
                <w:bCs/>
                <w:sz w:val="18"/>
                <w:szCs w:val="18"/>
              </w:rPr>
            </w:pPr>
            <w:r>
              <w:rPr>
                <w:bCs/>
                <w:sz w:val="18"/>
                <w:szCs w:val="18"/>
              </w:rPr>
              <w:t>沥青烟气</w:t>
            </w:r>
          </w:p>
        </w:tc>
        <w:tc>
          <w:tcPr>
            <w:tcW w:w="313" w:type="pct"/>
            <w:vMerge w:val="restart"/>
            <w:vAlign w:val="center"/>
          </w:tcPr>
          <w:p>
            <w:pPr>
              <w:adjustRightInd w:val="0"/>
              <w:snapToGrid w:val="0"/>
              <w:jc w:val="center"/>
              <w:rPr>
                <w:bCs/>
                <w:sz w:val="18"/>
                <w:szCs w:val="18"/>
              </w:rPr>
            </w:pPr>
            <w:r>
              <w:rPr>
                <w:bCs/>
                <w:sz w:val="18"/>
                <w:szCs w:val="18"/>
              </w:rPr>
              <w:t>有组织</w:t>
            </w:r>
          </w:p>
        </w:tc>
        <w:tc>
          <w:tcPr>
            <w:tcW w:w="408" w:type="pct"/>
            <w:vAlign w:val="center"/>
          </w:tcPr>
          <w:p>
            <w:pPr>
              <w:adjustRightInd w:val="0"/>
              <w:snapToGrid w:val="0"/>
              <w:jc w:val="center"/>
              <w:rPr>
                <w:bCs/>
                <w:sz w:val="18"/>
                <w:szCs w:val="18"/>
              </w:rPr>
            </w:pPr>
            <w:r>
              <w:rPr>
                <w:sz w:val="18"/>
                <w:szCs w:val="18"/>
              </w:rPr>
              <w:t>沥青烟</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sz w:val="18"/>
                <w:szCs w:val="18"/>
              </w:rPr>
              <w:t>37.5 kg/a</w:t>
            </w:r>
          </w:p>
        </w:tc>
        <w:tc>
          <w:tcPr>
            <w:tcW w:w="853" w:type="pct"/>
            <w:vAlign w:val="center"/>
          </w:tcPr>
          <w:p>
            <w:pPr>
              <w:adjustRightInd w:val="0"/>
              <w:snapToGrid w:val="0"/>
              <w:jc w:val="center"/>
              <w:rPr>
                <w:bCs/>
                <w:sz w:val="18"/>
                <w:szCs w:val="18"/>
              </w:rPr>
            </w:pPr>
            <w:r>
              <w:rPr>
                <w:sz w:val="18"/>
                <w:szCs w:val="18"/>
              </w:rPr>
              <w:t>集气罩+活性炭吸附</w:t>
            </w:r>
          </w:p>
        </w:tc>
        <w:tc>
          <w:tcPr>
            <w:tcW w:w="781" w:type="pct"/>
            <w:vAlign w:val="center"/>
          </w:tcPr>
          <w:p>
            <w:pPr>
              <w:adjustRightInd w:val="0"/>
              <w:snapToGrid w:val="0"/>
              <w:jc w:val="center"/>
              <w:rPr>
                <w:bCs/>
                <w:sz w:val="18"/>
                <w:szCs w:val="18"/>
              </w:rPr>
            </w:pPr>
            <w:r>
              <w:rPr>
                <w:sz w:val="18"/>
                <w:szCs w:val="18"/>
              </w:rPr>
              <w:t>0.008</w:t>
            </w:r>
          </w:p>
        </w:tc>
        <w:tc>
          <w:tcPr>
            <w:tcW w:w="661" w:type="pct"/>
            <w:vAlign w:val="center"/>
          </w:tcPr>
          <w:p>
            <w:pPr>
              <w:adjustRightInd w:val="0"/>
              <w:snapToGrid w:val="0"/>
              <w:jc w:val="center"/>
              <w:rPr>
                <w:bCs/>
                <w:sz w:val="18"/>
                <w:szCs w:val="18"/>
              </w:rPr>
            </w:pPr>
            <w:r>
              <w:rPr>
                <w:sz w:val="18"/>
                <w:szCs w:val="18"/>
              </w:rPr>
              <w:t>0.478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sz w:val="18"/>
                <w:szCs w:val="18"/>
              </w:rPr>
              <w:t>苯并[a]芘</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sz w:val="18"/>
                <w:szCs w:val="18"/>
              </w:rPr>
              <w:t>0.0375 kg/a</w:t>
            </w:r>
          </w:p>
        </w:tc>
        <w:tc>
          <w:tcPr>
            <w:tcW w:w="853" w:type="pct"/>
            <w:vAlign w:val="center"/>
          </w:tcPr>
          <w:p>
            <w:pPr>
              <w:adjustRightInd w:val="0"/>
              <w:snapToGrid w:val="0"/>
              <w:jc w:val="center"/>
              <w:rPr>
                <w:bCs/>
                <w:sz w:val="18"/>
                <w:szCs w:val="18"/>
              </w:rPr>
            </w:pPr>
            <w:r>
              <w:rPr>
                <w:sz w:val="18"/>
                <w:szCs w:val="18"/>
              </w:rPr>
              <w:t>集气罩+活性炭吸附</w:t>
            </w:r>
          </w:p>
        </w:tc>
        <w:tc>
          <w:tcPr>
            <w:tcW w:w="781" w:type="pct"/>
            <w:vAlign w:val="center"/>
          </w:tcPr>
          <w:p>
            <w:pPr>
              <w:adjustRightInd w:val="0"/>
              <w:snapToGrid w:val="0"/>
              <w:jc w:val="center"/>
              <w:rPr>
                <w:bCs/>
                <w:sz w:val="18"/>
                <w:szCs w:val="18"/>
              </w:rPr>
            </w:pPr>
            <w:r>
              <w:rPr>
                <w:sz w:val="18"/>
                <w:szCs w:val="18"/>
              </w:rPr>
              <w:t>0.008×10</w:t>
            </w:r>
            <w:r>
              <w:rPr>
                <w:sz w:val="18"/>
                <w:szCs w:val="18"/>
                <w:vertAlign w:val="superscript"/>
              </w:rPr>
              <w:t>-3</w:t>
            </w:r>
          </w:p>
        </w:tc>
        <w:tc>
          <w:tcPr>
            <w:tcW w:w="661" w:type="pct"/>
            <w:vAlign w:val="center"/>
          </w:tcPr>
          <w:p>
            <w:pPr>
              <w:adjustRightInd w:val="0"/>
              <w:snapToGrid w:val="0"/>
              <w:jc w:val="center"/>
              <w:rPr>
                <w:bCs/>
                <w:sz w:val="18"/>
                <w:szCs w:val="18"/>
              </w:rPr>
            </w:pPr>
            <w:r>
              <w:rPr>
                <w:sz w:val="18"/>
                <w:szCs w:val="18"/>
              </w:rPr>
              <w:t>0.478×10</w:t>
            </w:r>
            <w:r>
              <w:rPr>
                <w:sz w:val="18"/>
                <w:szCs w:val="18"/>
                <w:vertAlign w:val="superscript"/>
              </w:rPr>
              <w:t>-3</w:t>
            </w:r>
            <w:r>
              <w:rPr>
                <w:sz w:val="18"/>
                <w:szCs w:val="18"/>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restart"/>
            <w:vAlign w:val="center"/>
          </w:tcPr>
          <w:p>
            <w:pPr>
              <w:adjustRightInd w:val="0"/>
              <w:snapToGrid w:val="0"/>
              <w:jc w:val="center"/>
              <w:rPr>
                <w:bCs/>
                <w:sz w:val="18"/>
                <w:szCs w:val="18"/>
              </w:rPr>
            </w:pPr>
            <w:r>
              <w:rPr>
                <w:bCs/>
                <w:sz w:val="18"/>
                <w:szCs w:val="18"/>
              </w:rPr>
              <w:t>无组织</w:t>
            </w:r>
          </w:p>
        </w:tc>
        <w:tc>
          <w:tcPr>
            <w:tcW w:w="408" w:type="pct"/>
            <w:vAlign w:val="center"/>
          </w:tcPr>
          <w:p>
            <w:pPr>
              <w:adjustRightInd w:val="0"/>
              <w:snapToGrid w:val="0"/>
              <w:jc w:val="center"/>
              <w:rPr>
                <w:bCs/>
                <w:sz w:val="18"/>
                <w:szCs w:val="18"/>
              </w:rPr>
            </w:pPr>
            <w:r>
              <w:rPr>
                <w:sz w:val="18"/>
                <w:szCs w:val="18"/>
              </w:rPr>
              <w:t>沥青烟</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bCs/>
                <w:sz w:val="18"/>
                <w:szCs w:val="18"/>
              </w:rPr>
              <w:t>/</w:t>
            </w:r>
          </w:p>
        </w:tc>
        <w:tc>
          <w:tcPr>
            <w:tcW w:w="853" w:type="pct"/>
            <w:vAlign w:val="center"/>
          </w:tcPr>
          <w:p>
            <w:pPr>
              <w:adjustRightInd w:val="0"/>
              <w:snapToGrid w:val="0"/>
              <w:jc w:val="center"/>
              <w:rPr>
                <w:bCs/>
                <w:sz w:val="18"/>
                <w:szCs w:val="18"/>
              </w:rPr>
            </w:pPr>
            <w:r>
              <w:rPr>
                <w:bCs/>
                <w:sz w:val="18"/>
                <w:szCs w:val="18"/>
              </w:rPr>
              <w:t>/</w:t>
            </w:r>
          </w:p>
        </w:tc>
        <w:tc>
          <w:tcPr>
            <w:tcW w:w="781" w:type="pct"/>
            <w:vAlign w:val="center"/>
          </w:tcPr>
          <w:p>
            <w:pPr>
              <w:adjustRightInd w:val="0"/>
              <w:snapToGrid w:val="0"/>
              <w:jc w:val="center"/>
              <w:rPr>
                <w:bCs/>
                <w:sz w:val="18"/>
                <w:szCs w:val="18"/>
              </w:rPr>
            </w:pPr>
            <w:r>
              <w:rPr>
                <w:bCs/>
                <w:sz w:val="18"/>
                <w:szCs w:val="18"/>
              </w:rPr>
              <w:t>/</w:t>
            </w:r>
          </w:p>
        </w:tc>
        <w:tc>
          <w:tcPr>
            <w:tcW w:w="661" w:type="pct"/>
            <w:vAlign w:val="center"/>
          </w:tcPr>
          <w:p>
            <w:pPr>
              <w:adjustRightInd w:val="0"/>
              <w:snapToGrid w:val="0"/>
              <w:jc w:val="center"/>
              <w:rPr>
                <w:bCs/>
                <w:sz w:val="18"/>
                <w:szCs w:val="18"/>
              </w:rPr>
            </w:pPr>
            <w:r>
              <w:rPr>
                <w:bCs/>
                <w:sz w:val="18"/>
                <w:szCs w:val="18"/>
              </w:rPr>
              <w:t xml:space="preserve">0.084 </w:t>
            </w:r>
            <w:r>
              <w:rPr>
                <w:sz w:val="18"/>
                <w:szCs w:val="18"/>
              </w:rPr>
              <w:t>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Merge w:val="continue"/>
            <w:vAlign w:val="center"/>
          </w:tcPr>
          <w:p>
            <w:pPr>
              <w:widowControl/>
              <w:adjustRightInd w:val="0"/>
              <w:snapToGrid w:val="0"/>
              <w:jc w:val="center"/>
              <w:rPr>
                <w:bCs/>
                <w:sz w:val="18"/>
                <w:szCs w:val="18"/>
              </w:rPr>
            </w:pPr>
          </w:p>
        </w:tc>
        <w:tc>
          <w:tcPr>
            <w:tcW w:w="313" w:type="pct"/>
            <w:vMerge w:val="continue"/>
            <w:vAlign w:val="center"/>
          </w:tcPr>
          <w:p>
            <w:pPr>
              <w:widowControl/>
              <w:adjustRightInd w:val="0"/>
              <w:snapToGrid w:val="0"/>
              <w:jc w:val="center"/>
              <w:rPr>
                <w:bCs/>
                <w:sz w:val="18"/>
                <w:szCs w:val="18"/>
              </w:rPr>
            </w:pPr>
          </w:p>
        </w:tc>
        <w:tc>
          <w:tcPr>
            <w:tcW w:w="408" w:type="pct"/>
            <w:vAlign w:val="center"/>
          </w:tcPr>
          <w:p>
            <w:pPr>
              <w:adjustRightInd w:val="0"/>
              <w:snapToGrid w:val="0"/>
              <w:jc w:val="center"/>
              <w:rPr>
                <w:bCs/>
                <w:sz w:val="18"/>
                <w:szCs w:val="18"/>
              </w:rPr>
            </w:pPr>
            <w:r>
              <w:rPr>
                <w:sz w:val="18"/>
                <w:szCs w:val="18"/>
              </w:rPr>
              <w:t>苯并[a]芘</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bCs/>
                <w:sz w:val="18"/>
                <w:szCs w:val="18"/>
              </w:rPr>
              <w:t>/</w:t>
            </w:r>
          </w:p>
        </w:tc>
        <w:tc>
          <w:tcPr>
            <w:tcW w:w="853" w:type="pct"/>
            <w:vAlign w:val="center"/>
          </w:tcPr>
          <w:p>
            <w:pPr>
              <w:adjustRightInd w:val="0"/>
              <w:snapToGrid w:val="0"/>
              <w:jc w:val="center"/>
              <w:rPr>
                <w:bCs/>
                <w:sz w:val="18"/>
                <w:szCs w:val="18"/>
              </w:rPr>
            </w:pPr>
            <w:r>
              <w:rPr>
                <w:bCs/>
                <w:sz w:val="18"/>
                <w:szCs w:val="18"/>
              </w:rPr>
              <w:t>/</w:t>
            </w:r>
          </w:p>
        </w:tc>
        <w:tc>
          <w:tcPr>
            <w:tcW w:w="781" w:type="pct"/>
            <w:vAlign w:val="center"/>
          </w:tcPr>
          <w:p>
            <w:pPr>
              <w:adjustRightInd w:val="0"/>
              <w:snapToGrid w:val="0"/>
              <w:jc w:val="center"/>
              <w:rPr>
                <w:bCs/>
                <w:sz w:val="18"/>
                <w:szCs w:val="18"/>
              </w:rPr>
            </w:pPr>
            <w:r>
              <w:rPr>
                <w:bCs/>
                <w:sz w:val="18"/>
                <w:szCs w:val="18"/>
              </w:rPr>
              <w:t>/</w:t>
            </w:r>
          </w:p>
        </w:tc>
        <w:tc>
          <w:tcPr>
            <w:tcW w:w="661" w:type="pct"/>
            <w:vAlign w:val="center"/>
          </w:tcPr>
          <w:p>
            <w:pPr>
              <w:adjustRightInd w:val="0"/>
              <w:snapToGrid w:val="0"/>
              <w:jc w:val="center"/>
              <w:rPr>
                <w:bCs/>
                <w:sz w:val="18"/>
                <w:szCs w:val="18"/>
              </w:rPr>
            </w:pPr>
            <w:r>
              <w:rPr>
                <w:bCs/>
                <w:sz w:val="18"/>
                <w:szCs w:val="18"/>
              </w:rPr>
              <w:t>0.084</w:t>
            </w:r>
            <w:r>
              <w:rPr>
                <w:sz w:val="18"/>
                <w:szCs w:val="18"/>
              </w:rPr>
              <w:t>×10</w:t>
            </w:r>
            <w:r>
              <w:rPr>
                <w:sz w:val="18"/>
                <w:szCs w:val="18"/>
                <w:vertAlign w:val="superscript"/>
              </w:rPr>
              <w:t>-3</w:t>
            </w:r>
            <w:r>
              <w:rPr>
                <w:sz w:val="18"/>
                <w:szCs w:val="18"/>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Align w:val="center"/>
          </w:tcPr>
          <w:p>
            <w:pPr>
              <w:adjustRightInd w:val="0"/>
              <w:snapToGrid w:val="0"/>
              <w:jc w:val="center"/>
              <w:rPr>
                <w:bCs/>
                <w:sz w:val="18"/>
                <w:szCs w:val="18"/>
              </w:rPr>
            </w:pPr>
            <w:r>
              <w:rPr>
                <w:bCs/>
                <w:sz w:val="18"/>
                <w:szCs w:val="18"/>
              </w:rPr>
              <w:t>投料运输、逸散粉尘</w:t>
            </w:r>
          </w:p>
        </w:tc>
        <w:tc>
          <w:tcPr>
            <w:tcW w:w="313" w:type="pct"/>
            <w:vAlign w:val="center"/>
          </w:tcPr>
          <w:p>
            <w:pPr>
              <w:adjustRightInd w:val="0"/>
              <w:snapToGrid w:val="0"/>
              <w:jc w:val="center"/>
              <w:rPr>
                <w:bCs/>
                <w:sz w:val="18"/>
                <w:szCs w:val="18"/>
              </w:rPr>
            </w:pPr>
            <w:r>
              <w:rPr>
                <w:bCs/>
                <w:sz w:val="18"/>
                <w:szCs w:val="18"/>
              </w:rPr>
              <w:t>无组织</w:t>
            </w:r>
          </w:p>
        </w:tc>
        <w:tc>
          <w:tcPr>
            <w:tcW w:w="408" w:type="pct"/>
            <w:vAlign w:val="center"/>
          </w:tcPr>
          <w:p>
            <w:pPr>
              <w:adjustRightInd w:val="0"/>
              <w:snapToGrid w:val="0"/>
              <w:jc w:val="center"/>
              <w:rPr>
                <w:bCs/>
                <w:sz w:val="18"/>
                <w:szCs w:val="18"/>
              </w:rPr>
            </w:pPr>
            <w:r>
              <w:rPr>
                <w:bCs/>
                <w:sz w:val="18"/>
                <w:szCs w:val="18"/>
              </w:rPr>
              <w:t>粉尘</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bCs/>
                <w:sz w:val="18"/>
                <w:szCs w:val="18"/>
              </w:rPr>
              <w:t>0.056</w:t>
            </w:r>
          </w:p>
        </w:tc>
        <w:tc>
          <w:tcPr>
            <w:tcW w:w="853" w:type="pct"/>
            <w:vAlign w:val="center"/>
          </w:tcPr>
          <w:p>
            <w:pPr>
              <w:adjustRightInd w:val="0"/>
              <w:snapToGrid w:val="0"/>
              <w:jc w:val="center"/>
              <w:rPr>
                <w:bCs/>
                <w:sz w:val="18"/>
                <w:szCs w:val="18"/>
              </w:rPr>
            </w:pPr>
            <w:r>
              <w:rPr>
                <w:bCs/>
                <w:sz w:val="18"/>
                <w:szCs w:val="18"/>
              </w:rPr>
              <w:t>路面硬化、及时清扫、洒水抑尘</w:t>
            </w:r>
          </w:p>
        </w:tc>
        <w:tc>
          <w:tcPr>
            <w:tcW w:w="781" w:type="pct"/>
            <w:vAlign w:val="center"/>
          </w:tcPr>
          <w:p>
            <w:pPr>
              <w:adjustRightInd w:val="0"/>
              <w:snapToGrid w:val="0"/>
              <w:jc w:val="center"/>
              <w:rPr>
                <w:bCs/>
                <w:sz w:val="18"/>
                <w:szCs w:val="18"/>
              </w:rPr>
            </w:pPr>
            <w:r>
              <w:rPr>
                <w:bCs/>
                <w:sz w:val="18"/>
                <w:szCs w:val="18"/>
              </w:rPr>
              <w:t>/</w:t>
            </w:r>
          </w:p>
        </w:tc>
        <w:tc>
          <w:tcPr>
            <w:tcW w:w="661" w:type="pct"/>
            <w:vAlign w:val="center"/>
          </w:tcPr>
          <w:p>
            <w:pPr>
              <w:adjustRightInd w:val="0"/>
              <w:snapToGrid w:val="0"/>
              <w:jc w:val="center"/>
              <w:rPr>
                <w:bCs/>
                <w:sz w:val="18"/>
                <w:szCs w:val="18"/>
              </w:rPr>
            </w:pPr>
            <w:r>
              <w:rPr>
                <w:bCs/>
                <w:sz w:val="18"/>
                <w:szCs w:val="18"/>
              </w:rPr>
              <w:t>0.0168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6" w:type="pct"/>
            <w:vAlign w:val="center"/>
          </w:tcPr>
          <w:p>
            <w:pPr>
              <w:adjustRightInd w:val="0"/>
              <w:snapToGrid w:val="0"/>
              <w:jc w:val="center"/>
              <w:rPr>
                <w:bCs/>
                <w:sz w:val="18"/>
                <w:szCs w:val="18"/>
              </w:rPr>
            </w:pPr>
            <w:r>
              <w:rPr>
                <w:bCs/>
                <w:sz w:val="18"/>
                <w:szCs w:val="18"/>
              </w:rPr>
              <w:t>运输车辆</w:t>
            </w:r>
          </w:p>
        </w:tc>
        <w:tc>
          <w:tcPr>
            <w:tcW w:w="313" w:type="pct"/>
            <w:vAlign w:val="center"/>
          </w:tcPr>
          <w:p>
            <w:pPr>
              <w:adjustRightInd w:val="0"/>
              <w:snapToGrid w:val="0"/>
              <w:jc w:val="center"/>
              <w:rPr>
                <w:bCs/>
                <w:sz w:val="18"/>
                <w:szCs w:val="18"/>
              </w:rPr>
            </w:pPr>
            <w:r>
              <w:rPr>
                <w:bCs/>
                <w:sz w:val="18"/>
                <w:szCs w:val="18"/>
              </w:rPr>
              <w:t>无组织</w:t>
            </w:r>
          </w:p>
        </w:tc>
        <w:tc>
          <w:tcPr>
            <w:tcW w:w="408" w:type="pct"/>
            <w:vAlign w:val="center"/>
          </w:tcPr>
          <w:p>
            <w:pPr>
              <w:adjustRightInd w:val="0"/>
              <w:snapToGrid w:val="0"/>
              <w:jc w:val="center"/>
              <w:rPr>
                <w:bCs/>
                <w:sz w:val="18"/>
                <w:szCs w:val="18"/>
              </w:rPr>
            </w:pPr>
            <w:r>
              <w:rPr>
                <w:bCs/>
                <w:sz w:val="18"/>
                <w:szCs w:val="18"/>
              </w:rPr>
              <w:t>粉尘</w:t>
            </w:r>
          </w:p>
        </w:tc>
        <w:tc>
          <w:tcPr>
            <w:tcW w:w="781" w:type="pct"/>
            <w:vAlign w:val="center"/>
          </w:tcPr>
          <w:p>
            <w:pPr>
              <w:adjustRightInd w:val="0"/>
              <w:snapToGrid w:val="0"/>
              <w:jc w:val="center"/>
              <w:rPr>
                <w:bCs/>
                <w:sz w:val="18"/>
                <w:szCs w:val="18"/>
              </w:rPr>
            </w:pPr>
            <w:r>
              <w:rPr>
                <w:bCs/>
                <w:sz w:val="18"/>
                <w:szCs w:val="18"/>
              </w:rPr>
              <w:t>/</w:t>
            </w:r>
          </w:p>
        </w:tc>
        <w:tc>
          <w:tcPr>
            <w:tcW w:w="563" w:type="pct"/>
            <w:vAlign w:val="center"/>
          </w:tcPr>
          <w:p>
            <w:pPr>
              <w:adjustRightInd w:val="0"/>
              <w:snapToGrid w:val="0"/>
              <w:jc w:val="center"/>
              <w:rPr>
                <w:bCs/>
                <w:sz w:val="18"/>
                <w:szCs w:val="18"/>
              </w:rPr>
            </w:pPr>
            <w:r>
              <w:rPr>
                <w:bCs/>
                <w:sz w:val="18"/>
                <w:szCs w:val="18"/>
              </w:rPr>
              <w:t>1.208 kg/a</w:t>
            </w:r>
          </w:p>
        </w:tc>
        <w:tc>
          <w:tcPr>
            <w:tcW w:w="853" w:type="pct"/>
            <w:vAlign w:val="center"/>
          </w:tcPr>
          <w:p>
            <w:pPr>
              <w:adjustRightInd w:val="0"/>
              <w:snapToGrid w:val="0"/>
              <w:jc w:val="center"/>
              <w:rPr>
                <w:bCs/>
                <w:sz w:val="18"/>
                <w:szCs w:val="18"/>
              </w:rPr>
            </w:pPr>
            <w:r>
              <w:rPr>
                <w:bCs/>
                <w:sz w:val="18"/>
                <w:szCs w:val="18"/>
              </w:rPr>
              <w:t>路面硬化、及时清扫、洒水抑尘</w:t>
            </w:r>
          </w:p>
        </w:tc>
        <w:tc>
          <w:tcPr>
            <w:tcW w:w="781" w:type="pct"/>
            <w:vAlign w:val="center"/>
          </w:tcPr>
          <w:p>
            <w:pPr>
              <w:adjustRightInd w:val="0"/>
              <w:snapToGrid w:val="0"/>
              <w:jc w:val="center"/>
              <w:rPr>
                <w:bCs/>
                <w:sz w:val="18"/>
                <w:szCs w:val="18"/>
              </w:rPr>
            </w:pPr>
            <w:r>
              <w:rPr>
                <w:bCs/>
                <w:sz w:val="18"/>
                <w:szCs w:val="18"/>
              </w:rPr>
              <w:t>/</w:t>
            </w:r>
          </w:p>
        </w:tc>
        <w:tc>
          <w:tcPr>
            <w:tcW w:w="661" w:type="pct"/>
            <w:vAlign w:val="center"/>
          </w:tcPr>
          <w:p>
            <w:pPr>
              <w:adjustRightInd w:val="0"/>
              <w:snapToGrid w:val="0"/>
              <w:jc w:val="center"/>
              <w:rPr>
                <w:bCs/>
                <w:sz w:val="18"/>
                <w:szCs w:val="18"/>
              </w:rPr>
            </w:pPr>
            <w:r>
              <w:rPr>
                <w:bCs/>
                <w:sz w:val="18"/>
                <w:szCs w:val="18"/>
              </w:rPr>
              <w:t>0.242 kg/a</w:t>
            </w:r>
          </w:p>
        </w:tc>
      </w:tr>
    </w:tbl>
    <w:p>
      <w:pPr>
        <w:adjustRightInd w:val="0"/>
        <w:snapToGrid w:val="0"/>
        <w:spacing w:line="360" w:lineRule="auto"/>
        <w:ind w:firstLine="420" w:firstLineChars="200"/>
      </w:pPr>
    </w:p>
    <w:p>
      <w:pPr>
        <w:adjustRightInd w:val="0"/>
        <w:snapToGrid w:val="0"/>
        <w:spacing w:line="360" w:lineRule="auto"/>
        <w:ind w:firstLine="420" w:firstLineChars="200"/>
      </w:pPr>
      <w:r>
        <w:t>2、大气环境影响评价工作等级的确定</w:t>
      </w:r>
    </w:p>
    <w:p>
      <w:pPr>
        <w:adjustRightInd w:val="0"/>
        <w:snapToGrid w:val="0"/>
        <w:spacing w:line="360" w:lineRule="auto"/>
        <w:ind w:firstLine="420" w:firstLineChars="200"/>
      </w:pPr>
      <w:r>
        <w:t>依据《环境影响评价技术导则 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adjustRightInd w:val="0"/>
        <w:snapToGrid w:val="0"/>
        <w:spacing w:line="360" w:lineRule="auto"/>
        <w:ind w:firstLine="420" w:firstLineChars="200"/>
      </w:pPr>
      <w:r>
        <w:t>（1）P</w:t>
      </w:r>
      <w:r>
        <w:rPr>
          <w:vertAlign w:val="subscript"/>
        </w:rPr>
        <w:t>max</w:t>
      </w:r>
      <w:r>
        <w:t>及D</w:t>
      </w:r>
      <w:r>
        <w:rPr>
          <w:vertAlign w:val="subscript"/>
        </w:rPr>
        <w:t>10%</w:t>
      </w:r>
      <w:r>
        <w:t>的确定</w:t>
      </w:r>
    </w:p>
    <w:p>
      <w:pPr>
        <w:adjustRightInd w:val="0"/>
        <w:snapToGrid w:val="0"/>
        <w:spacing w:line="360" w:lineRule="auto"/>
        <w:ind w:firstLine="420" w:firstLineChars="200"/>
      </w:pPr>
      <w:r>
        <w:t>依据《环境影响评价技术导则 大气环境》(HJ2.2-2018)中最大地面浓度占标率P</w:t>
      </w:r>
      <w:r>
        <w:rPr>
          <w:vertAlign w:val="subscript"/>
        </w:rPr>
        <w:t>i</w:t>
      </w:r>
      <w:r>
        <w:t>定义如下：</w:t>
      </w:r>
    </w:p>
    <w:p>
      <w:pPr>
        <w:jc w:val="center"/>
      </w:pPr>
      <w:r>
        <w:drawing>
          <wp:inline distT="0" distB="0" distL="0" distR="0">
            <wp:extent cx="1089025" cy="397510"/>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89025" cy="397510"/>
                    </a:xfrm>
                    <a:prstGeom prst="rect">
                      <a:avLst/>
                    </a:prstGeom>
                    <a:noFill/>
                    <a:ln>
                      <a:noFill/>
                    </a:ln>
                  </pic:spPr>
                </pic:pic>
              </a:graphicData>
            </a:graphic>
          </wp:inline>
        </w:drawing>
      </w:r>
    </w:p>
    <w:p>
      <w:pPr>
        <w:adjustRightInd w:val="0"/>
        <w:snapToGrid w:val="0"/>
        <w:spacing w:line="360" w:lineRule="auto"/>
        <w:ind w:firstLine="420" w:firstLineChars="200"/>
      </w:pPr>
      <w:r>
        <w:rPr>
          <w:i/>
          <w:iCs/>
        </w:rPr>
        <w:t>P</w:t>
      </w:r>
      <w:r>
        <w:rPr>
          <w:i/>
          <w:iCs/>
          <w:vertAlign w:val="subscript"/>
        </w:rPr>
        <w:t>i</w:t>
      </w:r>
      <w:r>
        <w:t>——第i个污染物的最大地面空气质量浓度占标率，%；</w:t>
      </w:r>
    </w:p>
    <w:p>
      <w:pPr>
        <w:adjustRightInd w:val="0"/>
        <w:snapToGrid w:val="0"/>
        <w:spacing w:line="360" w:lineRule="auto"/>
        <w:ind w:firstLine="420" w:firstLineChars="200"/>
      </w:pPr>
      <w:r>
        <w:rPr>
          <w:i/>
          <w:iCs/>
        </w:rPr>
        <w:t>C</w:t>
      </w:r>
      <w:r>
        <w:rPr>
          <w:i/>
          <w:iCs/>
          <w:vertAlign w:val="subscript"/>
        </w:rPr>
        <w:t>i</w:t>
      </w:r>
      <w:r>
        <w:t>——采用估算模型计算出的第i个污染物的最大1h地面空气质量浓度，μg/m</w:t>
      </w:r>
      <w:r>
        <w:rPr>
          <w:vertAlign w:val="superscript"/>
        </w:rPr>
        <w:t>3</w:t>
      </w:r>
      <w:r>
        <w:t>；</w:t>
      </w:r>
    </w:p>
    <w:p>
      <w:pPr>
        <w:adjustRightInd w:val="0"/>
        <w:snapToGrid w:val="0"/>
        <w:spacing w:line="360" w:lineRule="auto"/>
        <w:ind w:firstLine="420" w:firstLineChars="200"/>
      </w:pPr>
      <w:r>
        <w:rPr>
          <w:i/>
          <w:iCs/>
        </w:rPr>
        <w:t>C</w:t>
      </w:r>
      <w:r>
        <w:rPr>
          <w:i/>
          <w:iCs/>
          <w:vertAlign w:val="subscript"/>
        </w:rPr>
        <w:t>0i</w:t>
      </w:r>
      <w:r>
        <w:t>——第i个污染物的环境空气质量浓度标准，μg/m</w:t>
      </w:r>
      <w:r>
        <w:rPr>
          <w:vertAlign w:val="superscript"/>
        </w:rPr>
        <w:t>3</w:t>
      </w:r>
      <w:r>
        <w:t>。</w:t>
      </w:r>
    </w:p>
    <w:p>
      <w:pPr>
        <w:adjustRightInd w:val="0"/>
        <w:snapToGrid w:val="0"/>
        <w:spacing w:line="360" w:lineRule="auto"/>
        <w:ind w:firstLine="420" w:firstLineChars="200"/>
      </w:pPr>
      <w:r>
        <w:t>（2）评价等级判别表</w:t>
      </w:r>
    </w:p>
    <w:p>
      <w:pPr>
        <w:adjustRightInd w:val="0"/>
        <w:snapToGrid w:val="0"/>
        <w:spacing w:line="360" w:lineRule="auto"/>
        <w:ind w:firstLine="420" w:firstLineChars="200"/>
      </w:pPr>
      <w:r>
        <w:t>评价等级按下表的分级判据进行划分。</w:t>
      </w:r>
    </w:p>
    <w:p>
      <w:pPr>
        <w:adjustRightInd w:val="0"/>
        <w:snapToGrid w:val="0"/>
        <w:spacing w:line="360" w:lineRule="auto"/>
        <w:jc w:val="center"/>
      </w:pPr>
      <w:r>
        <w:t>表</w:t>
      </w:r>
      <w:r>
        <w:rPr>
          <w:rFonts w:hint="eastAsia"/>
          <w:lang w:val="en-US" w:eastAsia="zh-CN"/>
        </w:rPr>
        <w:t>11</w:t>
      </w:r>
      <w:r>
        <w:t xml:space="preserve">  评价等级判别表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27"/>
        <w:gridCol w:w="4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pct"/>
            <w:tcBorders>
              <w:top w:val="single" w:color="auto" w:sz="12"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评价工作等级</w:t>
            </w:r>
          </w:p>
        </w:tc>
        <w:tc>
          <w:tcPr>
            <w:tcW w:w="2805" w:type="pct"/>
            <w:tcBorders>
              <w:top w:val="single" w:color="auto" w:sz="12"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pct"/>
            <w:tcBorders>
              <w:top w:val="single" w:color="auto" w:sz="4"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一级评价</w:t>
            </w:r>
          </w:p>
        </w:tc>
        <w:tc>
          <w:tcPr>
            <w:tcW w:w="2805" w:type="pct"/>
            <w:tcBorders>
              <w:top w:val="single" w:color="auto" w:sz="4"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P</w:t>
            </w:r>
            <w:r>
              <w:rPr>
                <w:sz w:val="18"/>
                <w:szCs w:val="18"/>
                <w:vertAlign w:val="subscript"/>
              </w:rPr>
              <w:t>max</w:t>
            </w:r>
            <w:r>
              <w:rPr>
                <w:rFonts w:hint="eastAsia" w:ascii="宋体" w:hAnsi="宋体" w:cs="宋体"/>
                <w:sz w:val="18"/>
                <w:szCs w:val="18"/>
              </w:rPr>
              <w:t>≧</w:t>
            </w:r>
            <w:r>
              <w:rPr>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pct"/>
            <w:tcBorders>
              <w:top w:val="single" w:color="auto" w:sz="4"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二级评价</w:t>
            </w:r>
          </w:p>
        </w:tc>
        <w:tc>
          <w:tcPr>
            <w:tcW w:w="2805" w:type="pct"/>
            <w:tcBorders>
              <w:top w:val="single" w:color="auto" w:sz="4" w:space="0"/>
              <w:left w:val="single" w:color="auto" w:sz="4" w:space="0"/>
              <w:bottom w:val="single" w:color="auto" w:sz="4" w:space="0"/>
              <w:right w:val="nil"/>
            </w:tcBorders>
            <w:vAlign w:val="center"/>
          </w:tcPr>
          <w:p>
            <w:pPr>
              <w:adjustRightInd w:val="0"/>
              <w:snapToGrid w:val="0"/>
              <w:jc w:val="center"/>
              <w:rPr>
                <w:sz w:val="18"/>
                <w:szCs w:val="18"/>
              </w:rPr>
            </w:pPr>
            <w:r>
              <w:rPr>
                <w:sz w:val="18"/>
                <w:szCs w:val="18"/>
              </w:rPr>
              <w:t>1%</w:t>
            </w:r>
            <w:r>
              <w:rPr>
                <w:rFonts w:hint="eastAsia" w:ascii="宋体" w:hAnsi="宋体" w:cs="宋体"/>
                <w:sz w:val="18"/>
                <w:szCs w:val="18"/>
              </w:rPr>
              <w:t>≦</w:t>
            </w:r>
            <w:r>
              <w:rPr>
                <w:sz w:val="18"/>
                <w:szCs w:val="18"/>
              </w:rPr>
              <w:t>P</w:t>
            </w:r>
            <w:r>
              <w:rPr>
                <w:sz w:val="18"/>
                <w:szCs w:val="18"/>
                <w:vertAlign w:val="subscript"/>
              </w:rPr>
              <w:t>max</w:t>
            </w:r>
            <w:r>
              <w:rPr>
                <w:sz w:val="18"/>
                <w:szCs w:val="18"/>
              </w:rPr>
              <w:t>&lt;10%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5" w:type="pct"/>
            <w:tcBorders>
              <w:top w:val="single" w:color="auto" w:sz="4" w:space="0"/>
              <w:left w:val="nil"/>
              <w:bottom w:val="single" w:color="auto" w:sz="12" w:space="0"/>
              <w:right w:val="single" w:color="auto" w:sz="4" w:space="0"/>
            </w:tcBorders>
            <w:vAlign w:val="center"/>
          </w:tcPr>
          <w:p>
            <w:pPr>
              <w:adjustRightInd w:val="0"/>
              <w:snapToGrid w:val="0"/>
              <w:jc w:val="center"/>
              <w:rPr>
                <w:sz w:val="18"/>
                <w:szCs w:val="18"/>
              </w:rPr>
            </w:pPr>
            <w:r>
              <w:rPr>
                <w:sz w:val="18"/>
                <w:szCs w:val="18"/>
              </w:rPr>
              <w:t>三级评价</w:t>
            </w:r>
          </w:p>
        </w:tc>
        <w:tc>
          <w:tcPr>
            <w:tcW w:w="2805" w:type="pct"/>
            <w:tcBorders>
              <w:top w:val="single" w:color="auto" w:sz="4" w:space="0"/>
              <w:left w:val="single" w:color="auto" w:sz="4" w:space="0"/>
              <w:bottom w:val="single" w:color="auto" w:sz="12" w:space="0"/>
              <w:right w:val="nil"/>
            </w:tcBorders>
            <w:vAlign w:val="center"/>
          </w:tcPr>
          <w:p>
            <w:pPr>
              <w:adjustRightInd w:val="0"/>
              <w:snapToGrid w:val="0"/>
              <w:jc w:val="center"/>
              <w:rPr>
                <w:sz w:val="18"/>
                <w:szCs w:val="18"/>
              </w:rPr>
            </w:pPr>
            <w:r>
              <w:rPr>
                <w:sz w:val="18"/>
                <w:szCs w:val="18"/>
              </w:rPr>
              <w:t>P</w:t>
            </w:r>
            <w:r>
              <w:rPr>
                <w:sz w:val="18"/>
                <w:szCs w:val="18"/>
                <w:vertAlign w:val="subscript"/>
              </w:rPr>
              <w:t>max</w:t>
            </w:r>
            <w:r>
              <w:rPr>
                <w:sz w:val="18"/>
                <w:szCs w:val="18"/>
              </w:rPr>
              <w:t>&lt;1%</w:t>
            </w:r>
          </w:p>
        </w:tc>
      </w:tr>
    </w:tbl>
    <w:p>
      <w:pPr>
        <w:adjustRightInd w:val="0"/>
        <w:snapToGrid w:val="0"/>
        <w:spacing w:line="360" w:lineRule="auto"/>
        <w:ind w:firstLine="420" w:firstLineChars="200"/>
      </w:pPr>
      <w:r>
        <w:t>（3）污染物评价标准</w:t>
      </w:r>
    </w:p>
    <w:p>
      <w:pPr>
        <w:adjustRightInd w:val="0"/>
        <w:snapToGrid w:val="0"/>
        <w:spacing w:line="360" w:lineRule="auto"/>
        <w:ind w:firstLine="420" w:firstLineChars="200"/>
      </w:pPr>
      <w:r>
        <w:t>污染物评价标准和来源见下表。</w:t>
      </w:r>
    </w:p>
    <w:p>
      <w:pPr>
        <w:adjustRightInd w:val="0"/>
        <w:snapToGrid w:val="0"/>
        <w:spacing w:line="360" w:lineRule="auto"/>
        <w:jc w:val="center"/>
      </w:pPr>
      <w:r>
        <w:t>表1</w:t>
      </w:r>
      <w:r>
        <w:rPr>
          <w:rFonts w:hint="eastAsia"/>
          <w:lang w:val="en-US" w:eastAsia="zh-CN"/>
        </w:rPr>
        <w:t>2</w:t>
      </w:r>
      <w:r>
        <w:t xml:space="preserve">  污染物评价标准</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044"/>
        <w:gridCol w:w="865"/>
        <w:gridCol w:w="865"/>
        <w:gridCol w:w="1236"/>
        <w:gridCol w:w="470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污染物名称</w:t>
            </w:r>
          </w:p>
        </w:tc>
        <w:tc>
          <w:tcPr>
            <w:tcW w:w="496" w:type="pct"/>
            <w:vAlign w:val="center"/>
          </w:tcPr>
          <w:p>
            <w:pPr>
              <w:adjustRightInd w:val="0"/>
              <w:snapToGrid w:val="0"/>
              <w:jc w:val="center"/>
              <w:rPr>
                <w:sz w:val="18"/>
                <w:szCs w:val="18"/>
              </w:rPr>
            </w:pPr>
            <w:r>
              <w:rPr>
                <w:sz w:val="18"/>
                <w:szCs w:val="18"/>
              </w:rPr>
              <w:t>功能区</w:t>
            </w:r>
          </w:p>
        </w:tc>
        <w:tc>
          <w:tcPr>
            <w:tcW w:w="496" w:type="pct"/>
            <w:vAlign w:val="center"/>
          </w:tcPr>
          <w:p>
            <w:pPr>
              <w:adjustRightInd w:val="0"/>
              <w:snapToGrid w:val="0"/>
              <w:jc w:val="center"/>
              <w:rPr>
                <w:sz w:val="18"/>
                <w:szCs w:val="18"/>
              </w:rPr>
            </w:pPr>
            <w:r>
              <w:rPr>
                <w:sz w:val="18"/>
                <w:szCs w:val="18"/>
              </w:rPr>
              <w:t>取值时间</w:t>
            </w:r>
          </w:p>
        </w:tc>
        <w:tc>
          <w:tcPr>
            <w:tcW w:w="709" w:type="pct"/>
            <w:vAlign w:val="center"/>
          </w:tcPr>
          <w:p>
            <w:pPr>
              <w:adjustRightInd w:val="0"/>
              <w:snapToGrid w:val="0"/>
              <w:jc w:val="center"/>
              <w:rPr>
                <w:sz w:val="18"/>
                <w:szCs w:val="18"/>
              </w:rPr>
            </w:pPr>
            <w:r>
              <w:rPr>
                <w:sz w:val="18"/>
                <w:szCs w:val="18"/>
              </w:rPr>
              <w:t>标准值(μg/m³)</w:t>
            </w:r>
          </w:p>
        </w:tc>
        <w:tc>
          <w:tcPr>
            <w:tcW w:w="2700" w:type="pct"/>
            <w:vAlign w:val="center"/>
          </w:tcPr>
          <w:p>
            <w:pPr>
              <w:adjustRightInd w:val="0"/>
              <w:snapToGrid w:val="0"/>
              <w:jc w:val="center"/>
              <w:rPr>
                <w:sz w:val="18"/>
                <w:szCs w:val="18"/>
              </w:rPr>
            </w:pPr>
            <w:r>
              <w:rPr>
                <w:sz w:val="18"/>
                <w:szCs w:val="18"/>
              </w:rPr>
              <w:t>标准来源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SO</w:t>
            </w:r>
            <w:r>
              <w:rPr>
                <w:sz w:val="18"/>
                <w:szCs w:val="18"/>
                <w:vertAlign w:val="subscript"/>
              </w:rPr>
              <w:t>2</w:t>
            </w:r>
          </w:p>
        </w:tc>
        <w:tc>
          <w:tcPr>
            <w:tcW w:w="496" w:type="pct"/>
            <w:vAlign w:val="center"/>
          </w:tcPr>
          <w:p>
            <w:pPr>
              <w:adjustRightInd w:val="0"/>
              <w:snapToGrid w:val="0"/>
              <w:jc w:val="center"/>
              <w:rPr>
                <w:sz w:val="18"/>
                <w:szCs w:val="18"/>
              </w:rPr>
            </w:pPr>
            <w:r>
              <w:rPr>
                <w:sz w:val="18"/>
                <w:szCs w:val="18"/>
              </w:rPr>
              <w:t>二类限区</w:t>
            </w:r>
          </w:p>
        </w:tc>
        <w:tc>
          <w:tcPr>
            <w:tcW w:w="496" w:type="pct"/>
            <w:vAlign w:val="center"/>
          </w:tcPr>
          <w:p>
            <w:pPr>
              <w:adjustRightInd w:val="0"/>
              <w:snapToGrid w:val="0"/>
              <w:jc w:val="center"/>
              <w:rPr>
                <w:sz w:val="18"/>
                <w:szCs w:val="18"/>
              </w:rPr>
            </w:pPr>
            <w:r>
              <w:rPr>
                <w:sz w:val="18"/>
                <w:szCs w:val="18"/>
              </w:rPr>
              <w:t>一小时</w:t>
            </w:r>
          </w:p>
        </w:tc>
        <w:tc>
          <w:tcPr>
            <w:tcW w:w="709" w:type="pct"/>
            <w:vAlign w:val="center"/>
          </w:tcPr>
          <w:p>
            <w:pPr>
              <w:adjustRightInd w:val="0"/>
              <w:snapToGrid w:val="0"/>
              <w:jc w:val="center"/>
              <w:rPr>
                <w:sz w:val="18"/>
                <w:szCs w:val="18"/>
              </w:rPr>
            </w:pPr>
            <w:r>
              <w:rPr>
                <w:sz w:val="18"/>
                <w:szCs w:val="18"/>
              </w:rPr>
              <w:t>500.0</w:t>
            </w:r>
          </w:p>
        </w:tc>
        <w:tc>
          <w:tcPr>
            <w:tcW w:w="2700" w:type="pct"/>
            <w:vAlign w:val="center"/>
          </w:tcPr>
          <w:p>
            <w:pPr>
              <w:adjustRightInd w:val="0"/>
              <w:snapToGrid w:val="0"/>
              <w:jc w:val="center"/>
              <w:rPr>
                <w:sz w:val="18"/>
                <w:szCs w:val="18"/>
              </w:rPr>
            </w:pPr>
            <w:r>
              <w:rPr>
                <w:sz w:val="18"/>
                <w:szCs w:val="18"/>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TSP</w:t>
            </w:r>
          </w:p>
        </w:tc>
        <w:tc>
          <w:tcPr>
            <w:tcW w:w="496" w:type="pct"/>
            <w:vAlign w:val="center"/>
          </w:tcPr>
          <w:p>
            <w:pPr>
              <w:adjustRightInd w:val="0"/>
              <w:snapToGrid w:val="0"/>
              <w:jc w:val="center"/>
              <w:rPr>
                <w:sz w:val="18"/>
                <w:szCs w:val="18"/>
              </w:rPr>
            </w:pPr>
            <w:r>
              <w:rPr>
                <w:sz w:val="18"/>
                <w:szCs w:val="18"/>
              </w:rPr>
              <w:t>二类限区</w:t>
            </w:r>
          </w:p>
        </w:tc>
        <w:tc>
          <w:tcPr>
            <w:tcW w:w="496" w:type="pct"/>
            <w:vAlign w:val="center"/>
          </w:tcPr>
          <w:p>
            <w:pPr>
              <w:adjustRightInd w:val="0"/>
              <w:snapToGrid w:val="0"/>
              <w:jc w:val="center"/>
              <w:rPr>
                <w:sz w:val="18"/>
                <w:szCs w:val="18"/>
              </w:rPr>
            </w:pPr>
            <w:r>
              <w:rPr>
                <w:sz w:val="18"/>
                <w:szCs w:val="18"/>
              </w:rPr>
              <w:t>日均</w:t>
            </w:r>
          </w:p>
        </w:tc>
        <w:tc>
          <w:tcPr>
            <w:tcW w:w="709" w:type="pct"/>
            <w:vAlign w:val="center"/>
          </w:tcPr>
          <w:p>
            <w:pPr>
              <w:adjustRightInd w:val="0"/>
              <w:snapToGrid w:val="0"/>
              <w:jc w:val="center"/>
              <w:rPr>
                <w:sz w:val="18"/>
                <w:szCs w:val="18"/>
              </w:rPr>
            </w:pPr>
            <w:r>
              <w:rPr>
                <w:sz w:val="18"/>
                <w:szCs w:val="18"/>
              </w:rPr>
              <w:t>300.0</w:t>
            </w:r>
          </w:p>
        </w:tc>
        <w:tc>
          <w:tcPr>
            <w:tcW w:w="2700" w:type="pct"/>
            <w:vAlign w:val="center"/>
          </w:tcPr>
          <w:p>
            <w:pPr>
              <w:adjustRightInd w:val="0"/>
              <w:snapToGrid w:val="0"/>
              <w:jc w:val="center"/>
              <w:rPr>
                <w:sz w:val="18"/>
                <w:szCs w:val="18"/>
              </w:rPr>
            </w:pPr>
            <w:r>
              <w:rPr>
                <w:sz w:val="18"/>
                <w:szCs w:val="18"/>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NOx</w:t>
            </w:r>
          </w:p>
        </w:tc>
        <w:tc>
          <w:tcPr>
            <w:tcW w:w="496" w:type="pct"/>
            <w:vAlign w:val="center"/>
          </w:tcPr>
          <w:p>
            <w:pPr>
              <w:adjustRightInd w:val="0"/>
              <w:snapToGrid w:val="0"/>
              <w:jc w:val="center"/>
              <w:rPr>
                <w:sz w:val="18"/>
                <w:szCs w:val="18"/>
              </w:rPr>
            </w:pPr>
            <w:r>
              <w:rPr>
                <w:sz w:val="18"/>
                <w:szCs w:val="18"/>
              </w:rPr>
              <w:t>二类限区</w:t>
            </w:r>
          </w:p>
        </w:tc>
        <w:tc>
          <w:tcPr>
            <w:tcW w:w="496" w:type="pct"/>
            <w:vAlign w:val="center"/>
          </w:tcPr>
          <w:p>
            <w:pPr>
              <w:adjustRightInd w:val="0"/>
              <w:snapToGrid w:val="0"/>
              <w:jc w:val="center"/>
              <w:rPr>
                <w:sz w:val="18"/>
                <w:szCs w:val="18"/>
              </w:rPr>
            </w:pPr>
            <w:r>
              <w:rPr>
                <w:sz w:val="18"/>
                <w:szCs w:val="18"/>
              </w:rPr>
              <w:t>一小时</w:t>
            </w:r>
          </w:p>
        </w:tc>
        <w:tc>
          <w:tcPr>
            <w:tcW w:w="709" w:type="pct"/>
            <w:vAlign w:val="center"/>
          </w:tcPr>
          <w:p>
            <w:pPr>
              <w:adjustRightInd w:val="0"/>
              <w:snapToGrid w:val="0"/>
              <w:jc w:val="center"/>
              <w:rPr>
                <w:sz w:val="18"/>
                <w:szCs w:val="18"/>
              </w:rPr>
            </w:pPr>
            <w:r>
              <w:rPr>
                <w:sz w:val="18"/>
                <w:szCs w:val="18"/>
              </w:rPr>
              <w:t>250.0</w:t>
            </w:r>
          </w:p>
        </w:tc>
        <w:tc>
          <w:tcPr>
            <w:tcW w:w="2700" w:type="pct"/>
            <w:vAlign w:val="center"/>
          </w:tcPr>
          <w:p>
            <w:pPr>
              <w:adjustRightInd w:val="0"/>
              <w:snapToGrid w:val="0"/>
              <w:jc w:val="center"/>
              <w:rPr>
                <w:sz w:val="18"/>
                <w:szCs w:val="18"/>
              </w:rPr>
            </w:pPr>
            <w:r>
              <w:rPr>
                <w:sz w:val="18"/>
                <w:szCs w:val="18"/>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BaP</w:t>
            </w:r>
          </w:p>
        </w:tc>
        <w:tc>
          <w:tcPr>
            <w:tcW w:w="496" w:type="pct"/>
            <w:vAlign w:val="center"/>
          </w:tcPr>
          <w:p>
            <w:pPr>
              <w:adjustRightInd w:val="0"/>
              <w:snapToGrid w:val="0"/>
              <w:jc w:val="center"/>
              <w:rPr>
                <w:sz w:val="18"/>
                <w:szCs w:val="18"/>
              </w:rPr>
            </w:pPr>
            <w:r>
              <w:rPr>
                <w:sz w:val="18"/>
                <w:szCs w:val="18"/>
              </w:rPr>
              <w:t>二类限区</w:t>
            </w:r>
          </w:p>
        </w:tc>
        <w:tc>
          <w:tcPr>
            <w:tcW w:w="496" w:type="pct"/>
            <w:vAlign w:val="center"/>
          </w:tcPr>
          <w:p>
            <w:pPr>
              <w:adjustRightInd w:val="0"/>
              <w:snapToGrid w:val="0"/>
              <w:jc w:val="center"/>
              <w:rPr>
                <w:sz w:val="18"/>
                <w:szCs w:val="18"/>
              </w:rPr>
            </w:pPr>
            <w:r>
              <w:rPr>
                <w:sz w:val="18"/>
                <w:szCs w:val="18"/>
              </w:rPr>
              <w:t>日均</w:t>
            </w:r>
          </w:p>
        </w:tc>
        <w:tc>
          <w:tcPr>
            <w:tcW w:w="709" w:type="pct"/>
            <w:vAlign w:val="center"/>
          </w:tcPr>
          <w:p>
            <w:pPr>
              <w:adjustRightInd w:val="0"/>
              <w:snapToGrid w:val="0"/>
              <w:jc w:val="center"/>
              <w:rPr>
                <w:sz w:val="18"/>
                <w:szCs w:val="18"/>
              </w:rPr>
            </w:pPr>
            <w:r>
              <w:rPr>
                <w:sz w:val="18"/>
                <w:szCs w:val="18"/>
              </w:rPr>
              <w:t>0.0025</w:t>
            </w:r>
          </w:p>
        </w:tc>
        <w:tc>
          <w:tcPr>
            <w:tcW w:w="2700" w:type="pct"/>
            <w:vAlign w:val="center"/>
          </w:tcPr>
          <w:p>
            <w:pPr>
              <w:adjustRightInd w:val="0"/>
              <w:snapToGrid w:val="0"/>
              <w:jc w:val="center"/>
              <w:rPr>
                <w:sz w:val="18"/>
                <w:szCs w:val="18"/>
              </w:rPr>
            </w:pPr>
            <w:r>
              <w:rPr>
                <w:sz w:val="18"/>
                <w:szCs w:val="18"/>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99" w:type="pct"/>
            <w:vAlign w:val="center"/>
          </w:tcPr>
          <w:p>
            <w:pPr>
              <w:adjustRightInd w:val="0"/>
              <w:snapToGrid w:val="0"/>
              <w:jc w:val="center"/>
              <w:rPr>
                <w:sz w:val="18"/>
                <w:szCs w:val="18"/>
              </w:rPr>
            </w:pPr>
            <w:r>
              <w:rPr>
                <w:sz w:val="18"/>
                <w:szCs w:val="18"/>
              </w:rPr>
              <w:t>沥青烟</w:t>
            </w:r>
          </w:p>
        </w:tc>
        <w:tc>
          <w:tcPr>
            <w:tcW w:w="496" w:type="pct"/>
            <w:vAlign w:val="center"/>
          </w:tcPr>
          <w:p>
            <w:pPr>
              <w:adjustRightInd w:val="0"/>
              <w:snapToGrid w:val="0"/>
              <w:jc w:val="center"/>
              <w:rPr>
                <w:sz w:val="18"/>
                <w:szCs w:val="18"/>
              </w:rPr>
            </w:pPr>
            <w:r>
              <w:rPr>
                <w:sz w:val="18"/>
                <w:szCs w:val="18"/>
              </w:rPr>
              <w:t>二类限区</w:t>
            </w:r>
          </w:p>
        </w:tc>
        <w:tc>
          <w:tcPr>
            <w:tcW w:w="496" w:type="pct"/>
            <w:vAlign w:val="center"/>
          </w:tcPr>
          <w:p>
            <w:pPr>
              <w:adjustRightInd w:val="0"/>
              <w:snapToGrid w:val="0"/>
              <w:jc w:val="center"/>
              <w:rPr>
                <w:sz w:val="18"/>
                <w:szCs w:val="18"/>
              </w:rPr>
            </w:pPr>
            <w:r>
              <w:rPr>
                <w:sz w:val="18"/>
                <w:szCs w:val="18"/>
              </w:rPr>
              <w:t>一小时</w:t>
            </w:r>
          </w:p>
        </w:tc>
        <w:tc>
          <w:tcPr>
            <w:tcW w:w="709" w:type="pct"/>
            <w:vAlign w:val="center"/>
          </w:tcPr>
          <w:p>
            <w:pPr>
              <w:adjustRightInd w:val="0"/>
              <w:snapToGrid w:val="0"/>
              <w:jc w:val="center"/>
              <w:rPr>
                <w:sz w:val="18"/>
                <w:szCs w:val="18"/>
              </w:rPr>
            </w:pPr>
            <w:r>
              <w:rPr>
                <w:sz w:val="18"/>
                <w:szCs w:val="18"/>
              </w:rPr>
              <w:t>63.7</w:t>
            </w:r>
          </w:p>
        </w:tc>
        <w:tc>
          <w:tcPr>
            <w:tcW w:w="2700" w:type="pct"/>
            <w:vAlign w:val="center"/>
          </w:tcPr>
          <w:p>
            <w:pPr>
              <w:adjustRightInd w:val="0"/>
              <w:snapToGrid w:val="0"/>
              <w:jc w:val="center"/>
              <w:rPr>
                <w:sz w:val="18"/>
                <w:szCs w:val="18"/>
              </w:rPr>
            </w:pPr>
            <w:r>
              <w:rPr>
                <w:sz w:val="18"/>
                <w:szCs w:val="18"/>
              </w:rPr>
              <w:t>《大气污染物综合排放标准详解》中原苏联居住区最大一次浓度</w:t>
            </w:r>
          </w:p>
        </w:tc>
      </w:tr>
    </w:tbl>
    <w:p>
      <w:pPr>
        <w:adjustRightInd w:val="0"/>
        <w:snapToGrid w:val="0"/>
        <w:spacing w:line="360" w:lineRule="auto"/>
        <w:ind w:firstLine="420" w:firstLineChars="200"/>
      </w:pPr>
      <w:r>
        <w:t>3、污染源参数</w:t>
      </w:r>
    </w:p>
    <w:p>
      <w:pPr>
        <w:adjustRightInd w:val="0"/>
        <w:snapToGrid w:val="0"/>
        <w:spacing w:line="360" w:lineRule="auto"/>
        <w:jc w:val="center"/>
      </w:pPr>
      <w:r>
        <w:t>表1</w:t>
      </w:r>
      <w:r>
        <w:rPr>
          <w:rFonts w:hint="eastAsia"/>
          <w:lang w:val="en-US" w:eastAsia="zh-CN"/>
        </w:rPr>
        <w:t>3</w:t>
      </w:r>
      <w:r>
        <w:t xml:space="preserve">  主要废气污染源参数一览表(点源)</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61"/>
        <w:gridCol w:w="706"/>
        <w:gridCol w:w="650"/>
        <w:gridCol w:w="785"/>
        <w:gridCol w:w="710"/>
        <w:gridCol w:w="633"/>
        <w:gridCol w:w="556"/>
        <w:gridCol w:w="636"/>
        <w:gridCol w:w="549"/>
        <w:gridCol w:w="633"/>
        <w:gridCol w:w="633"/>
        <w:gridCol w:w="633"/>
        <w:gridCol w:w="63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51" w:type="pct"/>
            <w:vMerge w:val="restart"/>
            <w:tcBorders>
              <w:top w:val="single" w:color="auto" w:sz="1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污染源名称</w:t>
            </w:r>
          </w:p>
        </w:tc>
        <w:tc>
          <w:tcPr>
            <w:tcW w:w="778" w:type="pct"/>
            <w:gridSpan w:val="2"/>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排气筒底部中心坐标(°)</w:t>
            </w:r>
          </w:p>
        </w:tc>
        <w:tc>
          <w:tcPr>
            <w:tcW w:w="450" w:type="pct"/>
            <w:vMerge w:val="restar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排气筒底部海拔高度(m)</w:t>
            </w:r>
          </w:p>
        </w:tc>
        <w:tc>
          <w:tcPr>
            <w:tcW w:w="1454" w:type="pct"/>
            <w:gridSpan w:val="4"/>
            <w:tcBorders>
              <w:top w:val="single" w:color="auto" w:sz="12"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排气筒参数</w:t>
            </w:r>
          </w:p>
        </w:tc>
        <w:tc>
          <w:tcPr>
            <w:tcW w:w="1767" w:type="pct"/>
            <w:gridSpan w:val="5"/>
            <w:tcBorders>
              <w:top w:val="single" w:color="auto" w:sz="1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污染物排放速率(kg/h)</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51" w:type="pct"/>
            <w:vMerge w:val="continue"/>
            <w:tcBorders>
              <w:top w:val="single" w:color="auto" w:sz="12" w:space="0"/>
              <w:left w:val="nil"/>
              <w:bottom w:val="single" w:color="auto" w:sz="2" w:space="0"/>
              <w:right w:val="single" w:color="auto" w:sz="2" w:space="0"/>
            </w:tcBorders>
            <w:vAlign w:val="center"/>
          </w:tcPr>
          <w:p>
            <w:pPr>
              <w:widowControl/>
              <w:adjustRightInd w:val="0"/>
              <w:snapToGrid w:val="0"/>
              <w:jc w:val="center"/>
              <w:rPr>
                <w:sz w:val="18"/>
                <w:szCs w:val="18"/>
              </w:rPr>
            </w:pPr>
          </w:p>
        </w:tc>
        <w:tc>
          <w:tcPr>
            <w:tcW w:w="405"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经度</w:t>
            </w:r>
          </w:p>
        </w:tc>
        <w:tc>
          <w:tcPr>
            <w:tcW w:w="37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纬度</w:t>
            </w:r>
          </w:p>
        </w:tc>
        <w:tc>
          <w:tcPr>
            <w:tcW w:w="450" w:type="pct"/>
            <w:vMerge w:val="continue"/>
            <w:tcBorders>
              <w:top w:val="single" w:color="auto" w:sz="12" w:space="0"/>
              <w:left w:val="single" w:color="auto" w:sz="2" w:space="0"/>
              <w:bottom w:val="single" w:color="auto" w:sz="2" w:space="0"/>
              <w:right w:val="single" w:color="auto" w:sz="2" w:space="0"/>
            </w:tcBorders>
            <w:vAlign w:val="center"/>
          </w:tcPr>
          <w:p>
            <w:pPr>
              <w:widowControl/>
              <w:adjustRightInd w:val="0"/>
              <w:snapToGrid w:val="0"/>
              <w:jc w:val="center"/>
              <w:rPr>
                <w:sz w:val="18"/>
                <w:szCs w:val="18"/>
              </w:rPr>
            </w:pPr>
          </w:p>
        </w:tc>
        <w:tc>
          <w:tcPr>
            <w:tcW w:w="407"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高度(m)</w:t>
            </w:r>
          </w:p>
        </w:tc>
        <w:tc>
          <w:tcPr>
            <w:tcW w:w="363"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内径(m)</w:t>
            </w:r>
          </w:p>
        </w:tc>
        <w:tc>
          <w:tcPr>
            <w:tcW w:w="319"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温度(℃)</w:t>
            </w:r>
          </w:p>
        </w:tc>
        <w:tc>
          <w:tcPr>
            <w:tcW w:w="365"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流速(m/s)</w:t>
            </w:r>
          </w:p>
        </w:tc>
        <w:tc>
          <w:tcPr>
            <w:tcW w:w="315"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SO</w:t>
            </w:r>
            <w:r>
              <w:rPr>
                <w:sz w:val="18"/>
                <w:szCs w:val="18"/>
                <w:vertAlign w:val="subscript"/>
              </w:rPr>
              <w:t>2</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NOx</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TSP</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沥青烟</w:t>
            </w:r>
          </w:p>
        </w:tc>
        <w:tc>
          <w:tcPr>
            <w:tcW w:w="363"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BaP</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51" w:type="pc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1#排气筒（导热油炉）</w:t>
            </w:r>
          </w:p>
        </w:tc>
        <w:tc>
          <w:tcPr>
            <w:tcW w:w="405"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126.538509</w:t>
            </w:r>
          </w:p>
        </w:tc>
        <w:tc>
          <w:tcPr>
            <w:tcW w:w="37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41.958001</w:t>
            </w:r>
          </w:p>
        </w:tc>
        <w:tc>
          <w:tcPr>
            <w:tcW w:w="45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576.0000</w:t>
            </w:r>
          </w:p>
        </w:tc>
        <w:tc>
          <w:tcPr>
            <w:tcW w:w="407" w:type="pct"/>
            <w:tcBorders>
              <w:top w:val="single" w:color="auto" w:sz="4"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15.0000</w:t>
            </w:r>
          </w:p>
        </w:tc>
        <w:tc>
          <w:tcPr>
            <w:tcW w:w="363" w:type="pct"/>
            <w:tcBorders>
              <w:top w:val="single" w:color="auto" w:sz="4"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0.3000</w:t>
            </w:r>
          </w:p>
        </w:tc>
        <w:tc>
          <w:tcPr>
            <w:tcW w:w="319" w:type="pct"/>
            <w:tcBorders>
              <w:top w:val="single" w:color="auto" w:sz="4"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85.00</w:t>
            </w:r>
          </w:p>
        </w:tc>
        <w:tc>
          <w:tcPr>
            <w:tcW w:w="365" w:type="pct"/>
            <w:tcBorders>
              <w:top w:val="single" w:color="auto" w:sz="4"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11.00</w:t>
            </w:r>
          </w:p>
        </w:tc>
        <w:tc>
          <w:tcPr>
            <w:tcW w:w="315"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0.0299</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0.0312</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0.0000</w:t>
            </w:r>
          </w:p>
        </w:tc>
        <w:tc>
          <w:tcPr>
            <w:tcW w:w="3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w:t>
            </w:r>
          </w:p>
        </w:tc>
        <w:tc>
          <w:tcPr>
            <w:tcW w:w="363"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551" w:type="pct"/>
            <w:tcBorders>
              <w:top w:val="single" w:color="auto" w:sz="2" w:space="0"/>
              <w:left w:val="nil"/>
              <w:bottom w:val="single" w:color="auto" w:sz="12" w:space="0"/>
              <w:right w:val="single" w:color="auto" w:sz="2" w:space="0"/>
            </w:tcBorders>
            <w:vAlign w:val="center"/>
          </w:tcPr>
          <w:p>
            <w:pPr>
              <w:adjustRightInd w:val="0"/>
              <w:snapToGrid w:val="0"/>
              <w:jc w:val="center"/>
              <w:rPr>
                <w:sz w:val="18"/>
                <w:szCs w:val="18"/>
              </w:rPr>
            </w:pPr>
            <w:r>
              <w:rPr>
                <w:sz w:val="18"/>
                <w:szCs w:val="18"/>
              </w:rPr>
              <w:t>2#排气筒（烘干滚筒</w:t>
            </w:r>
            <w:r>
              <w:rPr>
                <w:rFonts w:hint="eastAsia"/>
                <w:sz w:val="18"/>
                <w:szCs w:val="18"/>
              </w:rPr>
              <w:t>、粉尘、沥青烟气</w:t>
            </w:r>
            <w:r>
              <w:rPr>
                <w:sz w:val="18"/>
                <w:szCs w:val="18"/>
              </w:rPr>
              <w:t>）</w:t>
            </w:r>
          </w:p>
        </w:tc>
        <w:tc>
          <w:tcPr>
            <w:tcW w:w="405"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126.538654</w:t>
            </w:r>
          </w:p>
        </w:tc>
        <w:tc>
          <w:tcPr>
            <w:tcW w:w="37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41.957997</w:t>
            </w:r>
          </w:p>
        </w:tc>
        <w:tc>
          <w:tcPr>
            <w:tcW w:w="450"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576.0000</w:t>
            </w:r>
          </w:p>
        </w:tc>
        <w:tc>
          <w:tcPr>
            <w:tcW w:w="407"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15.0000</w:t>
            </w:r>
          </w:p>
        </w:tc>
        <w:tc>
          <w:tcPr>
            <w:tcW w:w="36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0.3000</w:t>
            </w:r>
          </w:p>
        </w:tc>
        <w:tc>
          <w:tcPr>
            <w:tcW w:w="319"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65.00</w:t>
            </w:r>
          </w:p>
        </w:tc>
        <w:tc>
          <w:tcPr>
            <w:tcW w:w="365"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11.00</w:t>
            </w:r>
          </w:p>
        </w:tc>
        <w:tc>
          <w:tcPr>
            <w:tcW w:w="315"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0.0292</w:t>
            </w:r>
          </w:p>
        </w:tc>
        <w:tc>
          <w:tcPr>
            <w:tcW w:w="36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0.0264</w:t>
            </w:r>
          </w:p>
        </w:tc>
        <w:tc>
          <w:tcPr>
            <w:tcW w:w="36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0.0098</w:t>
            </w:r>
          </w:p>
        </w:tc>
        <w:tc>
          <w:tcPr>
            <w:tcW w:w="36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0.0000</w:t>
            </w:r>
          </w:p>
        </w:tc>
        <w:tc>
          <w:tcPr>
            <w:tcW w:w="363" w:type="pct"/>
            <w:tcBorders>
              <w:top w:val="single" w:color="auto" w:sz="2" w:space="0"/>
              <w:left w:val="single" w:color="auto" w:sz="2" w:space="0"/>
              <w:bottom w:val="single" w:color="auto" w:sz="12" w:space="0"/>
              <w:right w:val="nil"/>
            </w:tcBorders>
            <w:vAlign w:val="center"/>
          </w:tcPr>
          <w:p>
            <w:pPr>
              <w:adjustRightInd w:val="0"/>
              <w:snapToGrid w:val="0"/>
              <w:jc w:val="center"/>
              <w:rPr>
                <w:sz w:val="18"/>
                <w:szCs w:val="18"/>
              </w:rPr>
            </w:pPr>
            <w:r>
              <w:rPr>
                <w:sz w:val="18"/>
                <w:szCs w:val="18"/>
              </w:rPr>
              <w:t>0.0000</w:t>
            </w:r>
          </w:p>
        </w:tc>
      </w:tr>
    </w:tbl>
    <w:p>
      <w:pPr>
        <w:adjustRightInd w:val="0"/>
        <w:snapToGrid w:val="0"/>
        <w:spacing w:before="156" w:beforeLines="50" w:line="360" w:lineRule="auto"/>
        <w:jc w:val="center"/>
      </w:pPr>
      <w:r>
        <w:t>表1</w:t>
      </w:r>
      <w:r>
        <w:rPr>
          <w:rFonts w:hint="eastAsia"/>
          <w:lang w:val="en-US" w:eastAsia="zh-CN"/>
        </w:rPr>
        <w:t>4</w:t>
      </w:r>
      <w:r>
        <w:t xml:space="preserve">  主要废气污染源参数一览表(矩形面源)</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82"/>
        <w:gridCol w:w="1071"/>
        <w:gridCol w:w="975"/>
        <w:gridCol w:w="1044"/>
        <w:gridCol w:w="809"/>
        <w:gridCol w:w="891"/>
        <w:gridCol w:w="1008"/>
        <w:gridCol w:w="705"/>
        <w:gridCol w:w="722"/>
        <w:gridCol w:w="71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55" w:type="pct"/>
            <w:vMerge w:val="restart"/>
            <w:tcBorders>
              <w:top w:val="single" w:color="auto" w:sz="1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污染源名称</w:t>
            </w:r>
          </w:p>
        </w:tc>
        <w:tc>
          <w:tcPr>
            <w:tcW w:w="1177" w:type="pct"/>
            <w:gridSpan w:val="2"/>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坐标(°)</w:t>
            </w:r>
          </w:p>
        </w:tc>
        <w:tc>
          <w:tcPr>
            <w:tcW w:w="607" w:type="pct"/>
            <w:vMerge w:val="restar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海拔高度(m)</w:t>
            </w:r>
          </w:p>
        </w:tc>
        <w:tc>
          <w:tcPr>
            <w:tcW w:w="1523" w:type="pct"/>
            <w:gridSpan w:val="3"/>
            <w:tcBorders>
              <w:top w:val="single" w:color="auto" w:sz="12"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矩形面源</w:t>
            </w:r>
          </w:p>
        </w:tc>
        <w:tc>
          <w:tcPr>
            <w:tcW w:w="1238" w:type="pct"/>
            <w:gridSpan w:val="3"/>
            <w:tcBorders>
              <w:top w:val="single" w:color="auto" w:sz="1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污染物排放速率(kg/h)</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55" w:type="pct"/>
            <w:vMerge w:val="continue"/>
            <w:tcBorders>
              <w:top w:val="single" w:color="auto" w:sz="12" w:space="0"/>
              <w:left w:val="nil"/>
              <w:bottom w:val="single" w:color="auto" w:sz="2" w:space="0"/>
              <w:right w:val="single" w:color="auto" w:sz="2" w:space="0"/>
            </w:tcBorders>
            <w:vAlign w:val="center"/>
          </w:tcPr>
          <w:p>
            <w:pPr>
              <w:widowControl/>
              <w:adjustRightInd w:val="0"/>
              <w:snapToGrid w:val="0"/>
              <w:jc w:val="center"/>
              <w:rPr>
                <w:sz w:val="18"/>
                <w:szCs w:val="18"/>
              </w:rPr>
            </w:pPr>
          </w:p>
        </w:tc>
        <w:tc>
          <w:tcPr>
            <w:tcW w:w="61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经度</w:t>
            </w:r>
          </w:p>
        </w:tc>
        <w:tc>
          <w:tcPr>
            <w:tcW w:w="563"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纬度</w:t>
            </w:r>
          </w:p>
        </w:tc>
        <w:tc>
          <w:tcPr>
            <w:tcW w:w="607" w:type="pct"/>
            <w:vMerge w:val="continue"/>
            <w:tcBorders>
              <w:top w:val="single" w:color="auto" w:sz="12" w:space="0"/>
              <w:left w:val="single" w:color="auto" w:sz="2" w:space="0"/>
              <w:bottom w:val="single" w:color="auto" w:sz="2" w:space="0"/>
              <w:right w:val="single" w:color="auto" w:sz="2" w:space="0"/>
            </w:tcBorders>
            <w:vAlign w:val="center"/>
          </w:tcPr>
          <w:p>
            <w:pPr>
              <w:widowControl/>
              <w:adjustRightInd w:val="0"/>
              <w:snapToGrid w:val="0"/>
              <w:jc w:val="center"/>
              <w:rPr>
                <w:sz w:val="18"/>
                <w:szCs w:val="18"/>
              </w:rPr>
            </w:pPr>
          </w:p>
        </w:tc>
        <w:tc>
          <w:tcPr>
            <w:tcW w:w="470"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长度(m)</w:t>
            </w:r>
          </w:p>
        </w:tc>
        <w:tc>
          <w:tcPr>
            <w:tcW w:w="470"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宽度(m)</w:t>
            </w:r>
          </w:p>
        </w:tc>
        <w:tc>
          <w:tcPr>
            <w:tcW w:w="584" w:type="pct"/>
            <w:tcBorders>
              <w:top w:val="single" w:color="auto" w:sz="4" w:space="0"/>
              <w:left w:val="single" w:color="auto" w:sz="2" w:space="0"/>
              <w:bottom w:val="single" w:color="auto" w:sz="4" w:space="0"/>
              <w:right w:val="single" w:color="auto" w:sz="2" w:space="0"/>
            </w:tcBorders>
            <w:vAlign w:val="center"/>
          </w:tcPr>
          <w:p>
            <w:pPr>
              <w:adjustRightInd w:val="0"/>
              <w:snapToGrid w:val="0"/>
              <w:jc w:val="center"/>
              <w:rPr>
                <w:sz w:val="18"/>
                <w:szCs w:val="18"/>
              </w:rPr>
            </w:pPr>
            <w:r>
              <w:rPr>
                <w:sz w:val="18"/>
                <w:szCs w:val="18"/>
              </w:rPr>
              <w:t>有效高度(m)</w:t>
            </w:r>
          </w:p>
        </w:tc>
        <w:tc>
          <w:tcPr>
            <w:tcW w:w="408" w:type="pct"/>
            <w:tcBorders>
              <w:top w:val="single" w:color="auto" w:sz="2" w:space="0"/>
              <w:left w:val="single" w:color="auto" w:sz="2" w:space="0"/>
              <w:bottom w:val="single" w:color="auto" w:sz="2" w:space="0"/>
              <w:right w:val="single" w:color="auto" w:sz="4" w:space="0"/>
            </w:tcBorders>
            <w:vAlign w:val="center"/>
          </w:tcPr>
          <w:p>
            <w:pPr>
              <w:adjustRightInd w:val="0"/>
              <w:snapToGrid w:val="0"/>
              <w:jc w:val="center"/>
              <w:rPr>
                <w:sz w:val="18"/>
                <w:szCs w:val="18"/>
              </w:rPr>
            </w:pPr>
            <w:r>
              <w:rPr>
                <w:sz w:val="18"/>
                <w:szCs w:val="18"/>
              </w:rPr>
              <w:t>TSP</w:t>
            </w:r>
          </w:p>
        </w:tc>
        <w:tc>
          <w:tcPr>
            <w:tcW w:w="422"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沥青烟</w:t>
            </w:r>
          </w:p>
        </w:tc>
        <w:tc>
          <w:tcPr>
            <w:tcW w:w="408"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BaP</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55" w:type="pct"/>
            <w:tcBorders>
              <w:top w:val="single" w:color="auto" w:sz="2" w:space="0"/>
              <w:left w:val="nil"/>
              <w:bottom w:val="single" w:color="auto" w:sz="12" w:space="0"/>
              <w:right w:val="single" w:color="auto" w:sz="2" w:space="0"/>
            </w:tcBorders>
            <w:vAlign w:val="center"/>
          </w:tcPr>
          <w:p>
            <w:pPr>
              <w:adjustRightInd w:val="0"/>
              <w:snapToGrid w:val="0"/>
              <w:jc w:val="center"/>
              <w:rPr>
                <w:sz w:val="18"/>
                <w:szCs w:val="18"/>
              </w:rPr>
            </w:pPr>
            <w:r>
              <w:rPr>
                <w:sz w:val="18"/>
                <w:szCs w:val="18"/>
              </w:rPr>
              <w:t>厂界</w:t>
            </w:r>
          </w:p>
        </w:tc>
        <w:tc>
          <w:tcPr>
            <w:tcW w:w="614"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126.538069</w:t>
            </w:r>
          </w:p>
        </w:tc>
        <w:tc>
          <w:tcPr>
            <w:tcW w:w="563"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41.958611</w:t>
            </w:r>
          </w:p>
        </w:tc>
        <w:tc>
          <w:tcPr>
            <w:tcW w:w="607"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576.0000</w:t>
            </w:r>
          </w:p>
        </w:tc>
        <w:tc>
          <w:tcPr>
            <w:tcW w:w="470" w:type="pct"/>
            <w:tcBorders>
              <w:top w:val="single" w:color="auto" w:sz="4"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87.1800</w:t>
            </w:r>
          </w:p>
        </w:tc>
        <w:tc>
          <w:tcPr>
            <w:tcW w:w="470" w:type="pct"/>
            <w:tcBorders>
              <w:top w:val="single" w:color="auto" w:sz="4"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196.7500</w:t>
            </w:r>
          </w:p>
        </w:tc>
        <w:tc>
          <w:tcPr>
            <w:tcW w:w="584" w:type="pct"/>
            <w:tcBorders>
              <w:top w:val="single" w:color="auto" w:sz="4"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10.0000</w:t>
            </w:r>
          </w:p>
        </w:tc>
        <w:tc>
          <w:tcPr>
            <w:tcW w:w="408" w:type="pct"/>
            <w:tcBorders>
              <w:top w:val="single" w:color="auto" w:sz="2" w:space="0"/>
              <w:left w:val="single" w:color="auto" w:sz="2" w:space="0"/>
              <w:bottom w:val="single" w:color="auto" w:sz="12" w:space="0"/>
              <w:right w:val="single" w:color="auto" w:sz="4" w:space="0"/>
            </w:tcBorders>
            <w:vAlign w:val="center"/>
          </w:tcPr>
          <w:p>
            <w:pPr>
              <w:adjustRightInd w:val="0"/>
              <w:snapToGrid w:val="0"/>
              <w:jc w:val="center"/>
              <w:rPr>
                <w:sz w:val="18"/>
                <w:szCs w:val="18"/>
              </w:rPr>
            </w:pPr>
            <w:r>
              <w:rPr>
                <w:sz w:val="18"/>
                <w:szCs w:val="18"/>
              </w:rPr>
              <w:t>0.0118</w:t>
            </w:r>
          </w:p>
        </w:tc>
        <w:tc>
          <w:tcPr>
            <w:tcW w:w="422" w:type="pct"/>
            <w:tcBorders>
              <w:top w:val="single" w:color="auto" w:sz="2"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0.0001</w:t>
            </w:r>
          </w:p>
        </w:tc>
        <w:tc>
          <w:tcPr>
            <w:tcW w:w="408" w:type="pct"/>
            <w:tcBorders>
              <w:top w:val="single" w:color="auto" w:sz="2" w:space="0"/>
              <w:left w:val="single" w:color="auto" w:sz="4" w:space="0"/>
              <w:bottom w:val="single" w:color="auto" w:sz="12" w:space="0"/>
              <w:right w:val="nil"/>
            </w:tcBorders>
            <w:vAlign w:val="center"/>
          </w:tcPr>
          <w:p>
            <w:pPr>
              <w:adjustRightInd w:val="0"/>
              <w:snapToGrid w:val="0"/>
              <w:jc w:val="center"/>
              <w:rPr>
                <w:sz w:val="18"/>
                <w:szCs w:val="18"/>
              </w:rPr>
            </w:pPr>
            <w:r>
              <w:rPr>
                <w:sz w:val="18"/>
                <w:szCs w:val="18"/>
              </w:rPr>
              <w:t>0.0000</w:t>
            </w:r>
          </w:p>
        </w:tc>
      </w:tr>
    </w:tbl>
    <w:p>
      <w:pPr>
        <w:adjustRightInd w:val="0"/>
        <w:snapToGrid w:val="0"/>
        <w:spacing w:line="360" w:lineRule="auto"/>
        <w:ind w:firstLine="420" w:firstLineChars="200"/>
      </w:pPr>
      <w:r>
        <w:t>4、项目参数</w:t>
      </w:r>
    </w:p>
    <w:p>
      <w:pPr>
        <w:adjustRightInd w:val="0"/>
        <w:snapToGrid w:val="0"/>
        <w:spacing w:line="360" w:lineRule="auto"/>
        <w:ind w:firstLine="420" w:firstLineChars="200"/>
      </w:pPr>
      <w:r>
        <w:t>估算模式所用参数详见下表。</w:t>
      </w:r>
    </w:p>
    <w:p>
      <w:pPr>
        <w:adjustRightInd w:val="0"/>
        <w:snapToGrid w:val="0"/>
        <w:spacing w:line="360" w:lineRule="auto"/>
        <w:jc w:val="center"/>
      </w:pPr>
      <w:r>
        <w:t>表1</w:t>
      </w:r>
      <w:r>
        <w:rPr>
          <w:rFonts w:hint="eastAsia"/>
          <w:lang w:val="en-US" w:eastAsia="zh-CN"/>
        </w:rPr>
        <w:t>5</w:t>
      </w:r>
      <w:r>
        <w:t xml:space="preserve">  估算模型参数表</w:t>
      </w:r>
    </w:p>
    <w:tbl>
      <w:tblPr>
        <w:tblStyle w:val="10"/>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3602"/>
        <w:gridCol w:w="3864"/>
        <w:gridCol w:w="125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tcBorders>
              <w:top w:val="single" w:color="auto" w:sz="12"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参数</w:t>
            </w:r>
          </w:p>
        </w:tc>
        <w:tc>
          <w:tcPr>
            <w:tcW w:w="2934" w:type="pct"/>
            <w:gridSpan w:val="2"/>
            <w:tcBorders>
              <w:top w:val="single" w:color="auto" w:sz="1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取值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restart"/>
            <w:tcBorders>
              <w:top w:val="single" w:color="auto" w:sz="4"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城市/农村选项</w:t>
            </w: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城市/农村</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农村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continue"/>
            <w:tcBorders>
              <w:top w:val="single" w:color="auto" w:sz="4" w:space="0"/>
              <w:left w:val="nil"/>
              <w:bottom w:val="single" w:color="auto" w:sz="4" w:space="0"/>
              <w:right w:val="single" w:color="auto" w:sz="4" w:space="0"/>
            </w:tcBorders>
            <w:vAlign w:val="center"/>
          </w:tcPr>
          <w:p>
            <w:pPr>
              <w:widowControl/>
              <w:adjustRightInd w:val="0"/>
              <w:snapToGrid w:val="0"/>
              <w:jc w:val="center"/>
              <w:rPr>
                <w:sz w:val="18"/>
                <w:szCs w:val="18"/>
              </w:rPr>
            </w:pP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人口数(城市人口数)</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tcBorders>
              <w:top w:val="single" w:color="auto" w:sz="4" w:space="0"/>
              <w:left w:val="nil"/>
              <w:bottom w:val="single" w:color="auto" w:sz="2" w:space="0"/>
              <w:right w:val="single" w:color="auto" w:sz="4" w:space="0"/>
            </w:tcBorders>
            <w:vAlign w:val="center"/>
          </w:tcPr>
          <w:p>
            <w:pPr>
              <w:adjustRightInd w:val="0"/>
              <w:snapToGrid w:val="0"/>
              <w:jc w:val="center"/>
              <w:rPr>
                <w:sz w:val="18"/>
                <w:szCs w:val="18"/>
              </w:rPr>
            </w:pPr>
            <w:r>
              <w:rPr>
                <w:sz w:val="18"/>
                <w:szCs w:val="18"/>
              </w:rPr>
              <w:t>最高环境温度</w:t>
            </w:r>
          </w:p>
        </w:tc>
        <w:tc>
          <w:tcPr>
            <w:tcW w:w="2934" w:type="pct"/>
            <w:gridSpan w:val="2"/>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37.9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tcBorders>
              <w:top w:val="single" w:color="auto" w:sz="2" w:space="0"/>
              <w:left w:val="nil"/>
              <w:bottom w:val="single" w:color="auto" w:sz="2" w:space="0"/>
              <w:right w:val="single" w:color="auto" w:sz="4" w:space="0"/>
            </w:tcBorders>
            <w:vAlign w:val="center"/>
          </w:tcPr>
          <w:p>
            <w:pPr>
              <w:adjustRightInd w:val="0"/>
              <w:snapToGrid w:val="0"/>
              <w:jc w:val="center"/>
              <w:rPr>
                <w:sz w:val="18"/>
                <w:szCs w:val="18"/>
              </w:rPr>
            </w:pPr>
            <w:r>
              <w:rPr>
                <w:sz w:val="18"/>
                <w:szCs w:val="18"/>
              </w:rPr>
              <w:t>最低环境温度</w:t>
            </w:r>
          </w:p>
        </w:tc>
        <w:tc>
          <w:tcPr>
            <w:tcW w:w="2934" w:type="pct"/>
            <w:gridSpan w:val="2"/>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-35.1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tcBorders>
              <w:top w:val="single" w:color="auto" w:sz="2"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土地利用类型</w:t>
            </w:r>
          </w:p>
        </w:tc>
        <w:tc>
          <w:tcPr>
            <w:tcW w:w="2934" w:type="pct"/>
            <w:gridSpan w:val="2"/>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阔叶林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tcBorders>
              <w:top w:val="single" w:color="auto" w:sz="4"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区域湿度条件</w:t>
            </w:r>
          </w:p>
        </w:tc>
        <w:tc>
          <w:tcPr>
            <w:tcW w:w="2934" w:type="pct"/>
            <w:gridSpan w:val="2"/>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潮湿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restart"/>
            <w:tcBorders>
              <w:top w:val="single" w:color="auto" w:sz="4" w:space="0"/>
              <w:left w:val="nil"/>
              <w:bottom w:val="single" w:color="auto" w:sz="4" w:space="0"/>
              <w:right w:val="single" w:color="auto" w:sz="4" w:space="0"/>
            </w:tcBorders>
            <w:vAlign w:val="center"/>
          </w:tcPr>
          <w:p>
            <w:pPr>
              <w:adjustRightInd w:val="0"/>
              <w:snapToGrid w:val="0"/>
              <w:jc w:val="center"/>
              <w:rPr>
                <w:sz w:val="18"/>
                <w:szCs w:val="18"/>
              </w:rPr>
            </w:pPr>
            <w:r>
              <w:rPr>
                <w:sz w:val="18"/>
                <w:szCs w:val="18"/>
              </w:rPr>
              <w:t>是否考虑地形</w:t>
            </w: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考虑地形</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continue"/>
            <w:tcBorders>
              <w:top w:val="single" w:color="auto" w:sz="4" w:space="0"/>
              <w:left w:val="nil"/>
              <w:bottom w:val="single" w:color="auto" w:sz="4" w:space="0"/>
              <w:right w:val="single" w:color="auto" w:sz="4" w:space="0"/>
            </w:tcBorders>
            <w:vAlign w:val="center"/>
          </w:tcPr>
          <w:p>
            <w:pPr>
              <w:widowControl/>
              <w:adjustRightInd w:val="0"/>
              <w:snapToGrid w:val="0"/>
              <w:jc w:val="center"/>
              <w:rPr>
                <w:sz w:val="18"/>
                <w:szCs w:val="18"/>
              </w:rPr>
            </w:pP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地形数据分辨率(m)</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restart"/>
            <w:tcBorders>
              <w:top w:val="single" w:color="auto" w:sz="4" w:space="0"/>
              <w:left w:val="nil"/>
              <w:bottom w:val="single" w:color="auto" w:sz="12" w:space="0"/>
              <w:right w:val="single" w:color="auto" w:sz="4" w:space="0"/>
            </w:tcBorders>
            <w:vAlign w:val="center"/>
          </w:tcPr>
          <w:p>
            <w:pPr>
              <w:adjustRightInd w:val="0"/>
              <w:snapToGrid w:val="0"/>
              <w:jc w:val="center"/>
              <w:rPr>
                <w:sz w:val="18"/>
                <w:szCs w:val="18"/>
              </w:rPr>
            </w:pPr>
            <w:r>
              <w:rPr>
                <w:sz w:val="18"/>
                <w:szCs w:val="18"/>
              </w:rPr>
              <w:t>是否考虑岸线熏烟</w:t>
            </w: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考虑岸线熏烟</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continue"/>
            <w:tcBorders>
              <w:top w:val="single" w:color="auto" w:sz="12" w:space="0"/>
              <w:left w:val="nil"/>
              <w:bottom w:val="single" w:color="auto" w:sz="12" w:space="0"/>
              <w:right w:val="single" w:color="auto" w:sz="4" w:space="0"/>
            </w:tcBorders>
            <w:vAlign w:val="center"/>
          </w:tcPr>
          <w:p>
            <w:pPr>
              <w:widowControl/>
              <w:adjustRightInd w:val="0"/>
              <w:snapToGrid w:val="0"/>
              <w:jc w:val="center"/>
              <w:rPr>
                <w:sz w:val="18"/>
                <w:szCs w:val="18"/>
              </w:rPr>
            </w:pPr>
          </w:p>
        </w:tc>
        <w:tc>
          <w:tcPr>
            <w:tcW w:w="2216" w:type="pct"/>
            <w:tcBorders>
              <w:top w:val="single" w:color="auto" w:sz="2" w:space="0"/>
              <w:left w:val="single" w:color="auto" w:sz="4" w:space="0"/>
              <w:bottom w:val="single" w:color="auto" w:sz="2" w:space="0"/>
              <w:right w:val="single" w:color="auto" w:sz="4" w:space="0"/>
            </w:tcBorders>
            <w:vAlign w:val="center"/>
          </w:tcPr>
          <w:p>
            <w:pPr>
              <w:adjustRightInd w:val="0"/>
              <w:snapToGrid w:val="0"/>
              <w:jc w:val="center"/>
              <w:rPr>
                <w:sz w:val="18"/>
                <w:szCs w:val="18"/>
              </w:rPr>
            </w:pPr>
            <w:r>
              <w:rPr>
                <w:sz w:val="18"/>
                <w:szCs w:val="18"/>
              </w:rPr>
              <w:t>岸线距离/m</w:t>
            </w:r>
          </w:p>
        </w:tc>
        <w:tc>
          <w:tcPr>
            <w:tcW w:w="719" w:type="pct"/>
            <w:tcBorders>
              <w:top w:val="single" w:color="auto" w:sz="2" w:space="0"/>
              <w:left w:val="single" w:color="auto" w:sz="4" w:space="0"/>
              <w:bottom w:val="single" w:color="auto" w:sz="2" w:space="0"/>
              <w:right w:val="nil"/>
            </w:tcBorders>
            <w:vAlign w:val="center"/>
          </w:tcPr>
          <w:p>
            <w:pPr>
              <w:adjustRightInd w:val="0"/>
              <w:snapToGrid w:val="0"/>
              <w:jc w:val="center"/>
              <w:rPr>
                <w:sz w:val="18"/>
                <w:szCs w:val="18"/>
              </w:rPr>
            </w:pPr>
            <w:r>
              <w:rPr>
                <w:sz w:val="18"/>
                <w:szCs w:val="1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66" w:type="pct"/>
            <w:vMerge w:val="continue"/>
            <w:tcBorders>
              <w:top w:val="single" w:color="auto" w:sz="12" w:space="0"/>
              <w:left w:val="nil"/>
              <w:bottom w:val="single" w:color="auto" w:sz="12" w:space="0"/>
              <w:right w:val="single" w:color="auto" w:sz="4" w:space="0"/>
            </w:tcBorders>
            <w:vAlign w:val="center"/>
          </w:tcPr>
          <w:p>
            <w:pPr>
              <w:widowControl/>
              <w:adjustRightInd w:val="0"/>
              <w:snapToGrid w:val="0"/>
              <w:jc w:val="center"/>
              <w:rPr>
                <w:sz w:val="18"/>
                <w:szCs w:val="18"/>
              </w:rPr>
            </w:pPr>
          </w:p>
        </w:tc>
        <w:tc>
          <w:tcPr>
            <w:tcW w:w="2216" w:type="pct"/>
            <w:tcBorders>
              <w:top w:val="single" w:color="auto" w:sz="2" w:space="0"/>
              <w:left w:val="single" w:color="auto" w:sz="4" w:space="0"/>
              <w:bottom w:val="single" w:color="auto" w:sz="12" w:space="0"/>
              <w:right w:val="single" w:color="auto" w:sz="4" w:space="0"/>
            </w:tcBorders>
            <w:vAlign w:val="center"/>
          </w:tcPr>
          <w:p>
            <w:pPr>
              <w:adjustRightInd w:val="0"/>
              <w:snapToGrid w:val="0"/>
              <w:jc w:val="center"/>
              <w:rPr>
                <w:sz w:val="18"/>
                <w:szCs w:val="18"/>
              </w:rPr>
            </w:pPr>
            <w:r>
              <w:rPr>
                <w:sz w:val="18"/>
                <w:szCs w:val="18"/>
              </w:rPr>
              <w:t>岸线方向/°</w:t>
            </w:r>
          </w:p>
        </w:tc>
        <w:tc>
          <w:tcPr>
            <w:tcW w:w="719" w:type="pct"/>
            <w:tcBorders>
              <w:top w:val="single" w:color="auto" w:sz="2" w:space="0"/>
              <w:left w:val="single" w:color="auto" w:sz="4" w:space="0"/>
              <w:bottom w:val="single" w:color="auto" w:sz="12" w:space="0"/>
              <w:right w:val="nil"/>
            </w:tcBorders>
            <w:vAlign w:val="center"/>
          </w:tcPr>
          <w:p>
            <w:pPr>
              <w:adjustRightInd w:val="0"/>
              <w:snapToGrid w:val="0"/>
              <w:jc w:val="center"/>
              <w:rPr>
                <w:sz w:val="18"/>
                <w:szCs w:val="18"/>
              </w:rPr>
            </w:pPr>
            <w:r>
              <w:rPr>
                <w:sz w:val="18"/>
                <w:szCs w:val="18"/>
              </w:rPr>
              <w:t>/</w:t>
            </w:r>
          </w:p>
        </w:tc>
      </w:tr>
    </w:tbl>
    <w:p>
      <w:pPr>
        <w:adjustRightInd w:val="0"/>
        <w:snapToGrid w:val="0"/>
        <w:spacing w:line="360" w:lineRule="auto"/>
        <w:ind w:firstLine="420" w:firstLineChars="200"/>
      </w:pPr>
      <w:r>
        <w:t>5、评价工作等级确定</w:t>
      </w:r>
    </w:p>
    <w:p>
      <w:pPr>
        <w:adjustRightInd w:val="0"/>
        <w:snapToGrid w:val="0"/>
        <w:spacing w:line="360" w:lineRule="auto"/>
        <w:ind w:firstLine="420" w:firstLineChars="200"/>
      </w:pPr>
      <w:r>
        <w:t>本项目所有污染源的正常排放的污染物的P</w:t>
      </w:r>
      <w:r>
        <w:rPr>
          <w:vertAlign w:val="subscript"/>
        </w:rPr>
        <w:t>max</w:t>
      </w:r>
      <w:r>
        <w:t>和D</w:t>
      </w:r>
      <w:r>
        <w:rPr>
          <w:vertAlign w:val="subscript"/>
        </w:rPr>
        <w:t>10%</w:t>
      </w:r>
      <w:r>
        <w:t>预测结果如下:</w:t>
      </w:r>
    </w:p>
    <w:p>
      <w:pPr>
        <w:adjustRightInd w:val="0"/>
        <w:snapToGrid w:val="0"/>
        <w:spacing w:line="360" w:lineRule="auto"/>
        <w:jc w:val="center"/>
      </w:pPr>
      <w:r>
        <w:t>表1</w:t>
      </w:r>
      <w:r>
        <w:rPr>
          <w:rFonts w:hint="eastAsia"/>
          <w:lang w:val="en-US" w:eastAsia="zh-CN"/>
        </w:rPr>
        <w:t>6</w:t>
      </w:r>
      <w:r>
        <w:t xml:space="preserve">  P</w:t>
      </w:r>
      <w:r>
        <w:rPr>
          <w:vertAlign w:val="subscript"/>
        </w:rPr>
        <w:t>max</w:t>
      </w:r>
      <w:r>
        <w:t>和D</w:t>
      </w:r>
      <w:r>
        <w:rPr>
          <w:vertAlign w:val="subscript"/>
        </w:rPr>
        <w:t>10%</w:t>
      </w:r>
      <w:r>
        <w:t>预测和计算结果一览表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946"/>
        <w:gridCol w:w="1234"/>
        <w:gridCol w:w="1960"/>
        <w:gridCol w:w="1442"/>
        <w:gridCol w:w="1046"/>
        <w:gridCol w:w="109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tcBorders>
              <w:top w:val="single" w:color="auto" w:sz="1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污染源名称</w:t>
            </w:r>
          </w:p>
        </w:tc>
        <w:tc>
          <w:tcPr>
            <w:tcW w:w="708" w:type="pc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评价因子</w:t>
            </w:r>
          </w:p>
        </w:tc>
        <w:tc>
          <w:tcPr>
            <w:tcW w:w="1124" w:type="pc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评价标准(μg/m³)</w:t>
            </w:r>
          </w:p>
        </w:tc>
        <w:tc>
          <w:tcPr>
            <w:tcW w:w="827" w:type="pc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C</w:t>
            </w:r>
            <w:r>
              <w:rPr>
                <w:sz w:val="18"/>
                <w:szCs w:val="18"/>
                <w:vertAlign w:val="subscript"/>
              </w:rPr>
              <w:t>max</w:t>
            </w:r>
            <w:r>
              <w:rPr>
                <w:sz w:val="18"/>
                <w:szCs w:val="18"/>
              </w:rPr>
              <w:t>(μg/m³)</w:t>
            </w:r>
          </w:p>
        </w:tc>
        <w:tc>
          <w:tcPr>
            <w:tcW w:w="600" w:type="pct"/>
            <w:tcBorders>
              <w:top w:val="single" w:color="auto" w:sz="1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P</w:t>
            </w:r>
            <w:r>
              <w:rPr>
                <w:sz w:val="18"/>
                <w:szCs w:val="18"/>
                <w:vertAlign w:val="subscript"/>
              </w:rPr>
              <w:t>max</w:t>
            </w:r>
            <w:r>
              <w:rPr>
                <w:sz w:val="18"/>
                <w:szCs w:val="18"/>
              </w:rPr>
              <w:t>(%)</w:t>
            </w:r>
          </w:p>
        </w:tc>
        <w:tc>
          <w:tcPr>
            <w:tcW w:w="625" w:type="pct"/>
            <w:tcBorders>
              <w:top w:val="single" w:color="auto" w:sz="1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D</w:t>
            </w:r>
            <w:r>
              <w:rPr>
                <w:sz w:val="18"/>
                <w:szCs w:val="18"/>
                <w:vertAlign w:val="subscript"/>
              </w:rPr>
              <w:t>10%</w:t>
            </w:r>
            <w:r>
              <w:rPr>
                <w:sz w:val="18"/>
                <w:szCs w:val="18"/>
              </w:rPr>
              <w:t>(m)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restart"/>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r>
              <w:rPr>
                <w:sz w:val="18"/>
                <w:szCs w:val="18"/>
              </w:rPr>
              <w:t>1#排气筒（导热油炉）</w:t>
            </w: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TSP</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900.0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.0172</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.0000</w:t>
            </w:r>
          </w:p>
        </w:tc>
        <w:tc>
          <w:tcPr>
            <w:tcW w:w="625" w:type="pct"/>
            <w:tcBorders>
              <w:top w:val="single" w:color="auto" w:sz="2" w:space="0"/>
              <w:left w:val="single" w:color="auto" w:sz="2" w:space="0"/>
              <w:bottom w:val="single" w:color="auto" w:sz="2" w:space="0"/>
              <w:right w:val="nil"/>
            </w:tcBorders>
            <w:vAlign w:val="center"/>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top w:val="single" w:color="auto" w:sz="2" w:space="0"/>
              <w:left w:val="nil"/>
              <w:bottom w:val="single" w:color="auto" w:sz="2" w:space="0"/>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SO</w:t>
            </w:r>
            <w:r>
              <w:rPr>
                <w:sz w:val="18"/>
                <w:szCs w:val="18"/>
                <w:vertAlign w:val="subscript"/>
              </w:rPr>
              <w:t>2</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500.0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1</w:t>
            </w:r>
            <w:r>
              <w:rPr>
                <w:sz w:val="18"/>
                <w:szCs w:val="18"/>
              </w:rPr>
              <w:t>9.0197</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3</w:t>
            </w:r>
            <w:r>
              <w:rPr>
                <w:sz w:val="18"/>
                <w:szCs w:val="18"/>
              </w:rPr>
              <w:t>.8000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top w:val="single" w:color="auto" w:sz="2" w:space="0"/>
              <w:left w:val="nil"/>
              <w:bottom w:val="single" w:color="auto" w:sz="2" w:space="0"/>
              <w:right w:val="single" w:color="auto" w:sz="2" w:space="0"/>
            </w:tcBorders>
            <w:vAlign w:val="center"/>
          </w:tcPr>
          <w:p>
            <w:pPr>
              <w:widowControl/>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NOx</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250.0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1</w:t>
            </w:r>
            <w:r>
              <w:rPr>
                <w:sz w:val="18"/>
                <w:szCs w:val="18"/>
              </w:rPr>
              <w:t>9.9051</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7</w:t>
            </w:r>
            <w:r>
              <w:rPr>
                <w:sz w:val="18"/>
                <w:szCs w:val="18"/>
              </w:rPr>
              <w:t>.9600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restart"/>
            <w:tcBorders>
              <w:top w:val="single" w:color="auto" w:sz="2" w:space="0"/>
              <w:left w:val="nil"/>
              <w:right w:val="single" w:color="auto" w:sz="2" w:space="0"/>
            </w:tcBorders>
            <w:vAlign w:val="center"/>
          </w:tcPr>
          <w:p>
            <w:pPr>
              <w:adjustRightInd w:val="0"/>
              <w:snapToGrid w:val="0"/>
              <w:jc w:val="center"/>
              <w:rPr>
                <w:sz w:val="18"/>
                <w:szCs w:val="18"/>
              </w:rPr>
            </w:pPr>
            <w:r>
              <w:rPr>
                <w:sz w:val="18"/>
                <w:szCs w:val="18"/>
              </w:rPr>
              <w:t>2#排气筒（烘干滚筒</w:t>
            </w:r>
            <w:r>
              <w:rPr>
                <w:rFonts w:hint="eastAsia"/>
                <w:sz w:val="18"/>
                <w:szCs w:val="18"/>
              </w:rPr>
              <w:t>、粉尘、沥青烟气</w:t>
            </w:r>
            <w:r>
              <w:rPr>
                <w:sz w:val="18"/>
                <w:szCs w:val="18"/>
              </w:rPr>
              <w:t>）</w:t>
            </w: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TSP</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900.0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7</w:t>
            </w:r>
            <w:r>
              <w:rPr>
                <w:sz w:val="18"/>
                <w:szCs w:val="18"/>
              </w:rPr>
              <w:t>.9378</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.8800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SO</w:t>
            </w:r>
            <w:r>
              <w:rPr>
                <w:sz w:val="18"/>
                <w:szCs w:val="18"/>
                <w:vertAlign w:val="subscript"/>
              </w:rPr>
              <w:t>2</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500.0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2</w:t>
            </w:r>
            <w:r>
              <w:rPr>
                <w:sz w:val="18"/>
                <w:szCs w:val="18"/>
              </w:rPr>
              <w:t>3.6514</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4</w:t>
            </w:r>
            <w:r>
              <w:rPr>
                <w:sz w:val="18"/>
                <w:szCs w:val="18"/>
              </w:rPr>
              <w:t>.7300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NOx</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250.0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2</w:t>
            </w:r>
            <w:r>
              <w:rPr>
                <w:sz w:val="18"/>
                <w:szCs w:val="18"/>
              </w:rPr>
              <w:t>1.3835</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8</w:t>
            </w:r>
            <w:r>
              <w:rPr>
                <w:sz w:val="18"/>
                <w:szCs w:val="18"/>
              </w:rPr>
              <w:t>.5500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沥青烟</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63.7</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.0267</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.0400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bottom w:val="single" w:color="auto" w:sz="2" w:space="0"/>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BaP</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0.0075</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.0003</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3</w:t>
            </w:r>
            <w:r>
              <w:rPr>
                <w:sz w:val="18"/>
                <w:szCs w:val="18"/>
              </w:rPr>
              <w:t>.5600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restart"/>
            <w:tcBorders>
              <w:top w:val="single" w:color="auto" w:sz="2" w:space="0"/>
              <w:left w:val="nil"/>
              <w:right w:val="single" w:color="auto" w:sz="2" w:space="0"/>
            </w:tcBorders>
            <w:vAlign w:val="center"/>
          </w:tcPr>
          <w:p>
            <w:pPr>
              <w:adjustRightInd w:val="0"/>
              <w:snapToGrid w:val="0"/>
              <w:jc w:val="center"/>
              <w:rPr>
                <w:sz w:val="18"/>
                <w:szCs w:val="18"/>
              </w:rPr>
            </w:pPr>
            <w:r>
              <w:rPr>
                <w:sz w:val="18"/>
                <w:szCs w:val="18"/>
              </w:rPr>
              <w:t>厂界</w:t>
            </w: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TSP</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900.0</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4</w:t>
            </w:r>
            <w:r>
              <w:rPr>
                <w:sz w:val="18"/>
                <w:szCs w:val="18"/>
              </w:rPr>
              <w:t>.3384</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.4800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沥青烟</w:t>
            </w:r>
          </w:p>
        </w:tc>
        <w:tc>
          <w:tcPr>
            <w:tcW w:w="1124"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sz w:val="18"/>
                <w:szCs w:val="18"/>
              </w:rPr>
              <w:t>63.7</w:t>
            </w:r>
          </w:p>
        </w:tc>
        <w:tc>
          <w:tcPr>
            <w:tcW w:w="827"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.0213</w:t>
            </w:r>
          </w:p>
        </w:tc>
        <w:tc>
          <w:tcPr>
            <w:tcW w:w="600" w:type="pct"/>
            <w:tcBorders>
              <w:top w:val="single" w:color="auto" w:sz="2" w:space="0"/>
              <w:left w:val="single" w:color="auto" w:sz="2" w:space="0"/>
              <w:bottom w:val="single" w:color="auto" w:sz="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.300</w:t>
            </w:r>
          </w:p>
        </w:tc>
        <w:tc>
          <w:tcPr>
            <w:tcW w:w="625" w:type="pct"/>
            <w:tcBorders>
              <w:top w:val="single" w:color="auto" w:sz="2" w:space="0"/>
              <w:left w:val="single" w:color="auto" w:sz="2" w:space="0"/>
              <w:bottom w:val="single" w:color="auto" w:sz="2" w:space="0"/>
              <w:right w:val="nil"/>
            </w:tcBorders>
          </w:tcPr>
          <w:p>
            <w:pPr>
              <w:adjustRightInd w:val="0"/>
              <w:snapToGrid w:val="0"/>
              <w:jc w:val="center"/>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16" w:type="pct"/>
            <w:vMerge w:val="continue"/>
            <w:tcBorders>
              <w:left w:val="nil"/>
              <w:bottom w:val="single" w:color="auto" w:sz="12" w:space="0"/>
              <w:right w:val="single" w:color="auto" w:sz="2" w:space="0"/>
            </w:tcBorders>
            <w:vAlign w:val="center"/>
          </w:tcPr>
          <w:p>
            <w:pPr>
              <w:adjustRightInd w:val="0"/>
              <w:snapToGrid w:val="0"/>
              <w:jc w:val="center"/>
              <w:rPr>
                <w:sz w:val="18"/>
                <w:szCs w:val="18"/>
              </w:rPr>
            </w:pPr>
          </w:p>
        </w:tc>
        <w:tc>
          <w:tcPr>
            <w:tcW w:w="708"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BaP</w:t>
            </w:r>
          </w:p>
        </w:tc>
        <w:tc>
          <w:tcPr>
            <w:tcW w:w="1124"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sz w:val="18"/>
                <w:szCs w:val="18"/>
              </w:rPr>
              <w:t>0.0075</w:t>
            </w:r>
          </w:p>
        </w:tc>
        <w:tc>
          <w:tcPr>
            <w:tcW w:w="827"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.0000</w:t>
            </w:r>
          </w:p>
        </w:tc>
        <w:tc>
          <w:tcPr>
            <w:tcW w:w="600" w:type="pct"/>
            <w:tcBorders>
              <w:top w:val="single" w:color="auto" w:sz="2" w:space="0"/>
              <w:left w:val="single" w:color="auto" w:sz="2" w:space="0"/>
              <w:bottom w:val="single" w:color="auto" w:sz="12" w:space="0"/>
              <w:right w:val="single" w:color="auto" w:sz="2" w:space="0"/>
            </w:tcBorders>
            <w:vAlign w:val="center"/>
          </w:tcPr>
          <w:p>
            <w:pPr>
              <w:adjustRightInd w:val="0"/>
              <w:snapToGrid w:val="0"/>
              <w:jc w:val="center"/>
              <w:rPr>
                <w:sz w:val="18"/>
                <w:szCs w:val="18"/>
              </w:rPr>
            </w:pPr>
            <w:r>
              <w:rPr>
                <w:rFonts w:hint="eastAsia"/>
                <w:sz w:val="18"/>
                <w:szCs w:val="18"/>
              </w:rPr>
              <w:t>0</w:t>
            </w:r>
            <w:r>
              <w:rPr>
                <w:sz w:val="18"/>
                <w:szCs w:val="18"/>
              </w:rPr>
              <w:t>.2800</w:t>
            </w:r>
          </w:p>
        </w:tc>
        <w:tc>
          <w:tcPr>
            <w:tcW w:w="625" w:type="pct"/>
            <w:tcBorders>
              <w:top w:val="single" w:color="auto" w:sz="2" w:space="0"/>
              <w:left w:val="single" w:color="auto" w:sz="2" w:space="0"/>
              <w:bottom w:val="single" w:color="auto" w:sz="12" w:space="0"/>
              <w:right w:val="nil"/>
            </w:tcBorders>
          </w:tcPr>
          <w:p>
            <w:pPr>
              <w:adjustRightInd w:val="0"/>
              <w:snapToGrid w:val="0"/>
              <w:jc w:val="center"/>
              <w:rPr>
                <w:sz w:val="18"/>
                <w:szCs w:val="18"/>
              </w:rPr>
            </w:pPr>
            <w:r>
              <w:rPr>
                <w:sz w:val="18"/>
                <w:szCs w:val="18"/>
              </w:rPr>
              <w:t>/</w:t>
            </w:r>
          </w:p>
        </w:tc>
      </w:tr>
    </w:tbl>
    <w:p>
      <w:pPr>
        <w:adjustRightInd w:val="0"/>
        <w:snapToGrid w:val="0"/>
        <w:spacing w:line="360" w:lineRule="auto"/>
        <w:ind w:firstLine="420" w:firstLineChars="200"/>
      </w:pPr>
      <w:r>
        <w:t>本项目P</w:t>
      </w:r>
      <w:r>
        <w:rPr>
          <w:vertAlign w:val="subscript"/>
        </w:rPr>
        <w:t>max</w:t>
      </w:r>
      <w:r>
        <w:t>最大值出现为</w:t>
      </w:r>
      <w:r>
        <w:rPr>
          <w:rFonts w:hint="eastAsia"/>
        </w:rPr>
        <w:t>2#排气筒烘干滚筒燃烧烟气</w:t>
      </w:r>
      <w:r>
        <w:t>的NOx P</w:t>
      </w:r>
      <w:r>
        <w:rPr>
          <w:vertAlign w:val="subscript"/>
        </w:rPr>
        <w:t>max</w:t>
      </w:r>
      <w:r>
        <w:t>值为8.55 %</w:t>
      </w:r>
      <w:r>
        <w:rPr>
          <w:rFonts w:hint="eastAsia"/>
        </w:rPr>
        <w:t>，</w:t>
      </w:r>
      <w:r>
        <w:t>C</w:t>
      </w:r>
      <w:r>
        <w:rPr>
          <w:vertAlign w:val="subscript"/>
        </w:rPr>
        <w:t>max</w:t>
      </w:r>
      <w:r>
        <w:t>为21.3835 μg/m³</w:t>
      </w:r>
      <w:r>
        <w:rPr>
          <w:rFonts w:hint="eastAsia"/>
        </w:rPr>
        <w:t>，</w:t>
      </w:r>
      <w:r>
        <w:t>根据《环境影响评价技术导则 大气环境》（HJ2.2-2018）分级判据，确定本项目大气环境影响评价工作等级为二级。</w:t>
      </w:r>
    </w:p>
    <w:p>
      <w:pPr>
        <w:adjustRightInd w:val="0"/>
        <w:snapToGrid w:val="0"/>
        <w:spacing w:line="360" w:lineRule="auto"/>
        <w:ind w:firstLine="420" w:firstLineChars="200"/>
      </w:pPr>
      <w:r>
        <w:t>6、污染物排放量核算</w:t>
      </w:r>
    </w:p>
    <w:p>
      <w:pPr>
        <w:adjustRightInd w:val="0"/>
        <w:snapToGrid w:val="0"/>
        <w:spacing w:line="360" w:lineRule="auto"/>
        <w:ind w:firstLine="420" w:firstLineChars="200"/>
      </w:pPr>
      <w:r>
        <w:t>根据《环境影响评价技术导则 大气环境》(HJ2.2-2018)要求，二级评价项目不进行进一步预测与评价，只对污染物排放量进行核算。本项目运营期大气污染物排放情况详见下表。</w:t>
      </w:r>
    </w:p>
    <w:p>
      <w:pPr>
        <w:adjustRightInd w:val="0"/>
        <w:snapToGrid w:val="0"/>
        <w:spacing w:line="360" w:lineRule="auto"/>
        <w:jc w:val="center"/>
      </w:pPr>
      <w:r>
        <w:t>表1</w:t>
      </w:r>
      <w:r>
        <w:rPr>
          <w:rFonts w:hint="eastAsia"/>
          <w:lang w:val="en-US" w:eastAsia="zh-CN"/>
        </w:rPr>
        <w:t>7</w:t>
      </w:r>
      <w:r>
        <w:t xml:space="preserve">  运营期大气污染物有组织排放量核算表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784"/>
        <w:gridCol w:w="724"/>
        <w:gridCol w:w="2003"/>
        <w:gridCol w:w="1864"/>
        <w:gridCol w:w="1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13" w:type="pct"/>
            <w:vAlign w:val="center"/>
          </w:tcPr>
          <w:p>
            <w:pPr>
              <w:adjustRightInd w:val="0"/>
              <w:snapToGrid w:val="0"/>
              <w:jc w:val="center"/>
              <w:rPr>
                <w:sz w:val="18"/>
                <w:szCs w:val="18"/>
              </w:rPr>
            </w:pPr>
            <w:r>
              <w:rPr>
                <w:sz w:val="18"/>
                <w:szCs w:val="18"/>
              </w:rPr>
              <w:t>序号</w:t>
            </w:r>
          </w:p>
        </w:tc>
        <w:tc>
          <w:tcPr>
            <w:tcW w:w="1023" w:type="pct"/>
            <w:vAlign w:val="center"/>
          </w:tcPr>
          <w:p>
            <w:pPr>
              <w:adjustRightInd w:val="0"/>
              <w:snapToGrid w:val="0"/>
              <w:jc w:val="center"/>
              <w:rPr>
                <w:sz w:val="18"/>
                <w:szCs w:val="18"/>
              </w:rPr>
            </w:pPr>
            <w:r>
              <w:rPr>
                <w:sz w:val="18"/>
                <w:szCs w:val="18"/>
              </w:rPr>
              <w:t>排放口</w:t>
            </w:r>
          </w:p>
        </w:tc>
        <w:tc>
          <w:tcPr>
            <w:tcW w:w="415" w:type="pct"/>
            <w:vAlign w:val="center"/>
          </w:tcPr>
          <w:p>
            <w:pPr>
              <w:adjustRightInd w:val="0"/>
              <w:snapToGrid w:val="0"/>
              <w:jc w:val="center"/>
              <w:rPr>
                <w:sz w:val="18"/>
                <w:szCs w:val="18"/>
              </w:rPr>
            </w:pPr>
            <w:r>
              <w:rPr>
                <w:sz w:val="18"/>
                <w:szCs w:val="18"/>
              </w:rPr>
              <w:t>污染物</w:t>
            </w:r>
          </w:p>
        </w:tc>
        <w:tc>
          <w:tcPr>
            <w:tcW w:w="1149" w:type="pct"/>
            <w:vAlign w:val="center"/>
          </w:tcPr>
          <w:p>
            <w:pPr>
              <w:adjustRightInd w:val="0"/>
              <w:snapToGrid w:val="0"/>
              <w:jc w:val="center"/>
              <w:rPr>
                <w:sz w:val="18"/>
                <w:szCs w:val="18"/>
              </w:rPr>
            </w:pPr>
            <w:r>
              <w:rPr>
                <w:sz w:val="18"/>
                <w:szCs w:val="18"/>
              </w:rPr>
              <w:t>核算排放浓度/（mg/m</w:t>
            </w:r>
            <w:r>
              <w:rPr>
                <w:sz w:val="18"/>
                <w:szCs w:val="18"/>
                <w:vertAlign w:val="superscript"/>
              </w:rPr>
              <w:t>3</w:t>
            </w:r>
            <w:r>
              <w:rPr>
                <w:sz w:val="18"/>
                <w:szCs w:val="18"/>
              </w:rPr>
              <w:t>）</w:t>
            </w:r>
          </w:p>
        </w:tc>
        <w:tc>
          <w:tcPr>
            <w:tcW w:w="1067" w:type="pct"/>
            <w:vAlign w:val="center"/>
          </w:tcPr>
          <w:p>
            <w:pPr>
              <w:adjustRightInd w:val="0"/>
              <w:snapToGrid w:val="0"/>
              <w:jc w:val="center"/>
              <w:rPr>
                <w:sz w:val="18"/>
                <w:szCs w:val="18"/>
              </w:rPr>
            </w:pPr>
            <w:r>
              <w:rPr>
                <w:sz w:val="18"/>
                <w:szCs w:val="18"/>
              </w:rPr>
              <w:t>核算排放速率/（kg/h）</w:t>
            </w:r>
          </w:p>
        </w:tc>
        <w:tc>
          <w:tcPr>
            <w:tcW w:w="1029" w:type="pct"/>
            <w:vAlign w:val="center"/>
          </w:tcPr>
          <w:p>
            <w:pPr>
              <w:adjustRightInd w:val="0"/>
              <w:snapToGrid w:val="0"/>
              <w:jc w:val="center"/>
              <w:rPr>
                <w:sz w:val="18"/>
                <w:szCs w:val="18"/>
              </w:rPr>
            </w:pPr>
            <w:r>
              <w:rPr>
                <w:sz w:val="18"/>
                <w:szCs w:val="18"/>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000" w:type="pct"/>
            <w:gridSpan w:val="6"/>
            <w:vAlign w:val="center"/>
          </w:tcPr>
          <w:p>
            <w:pPr>
              <w:adjustRightInd w:val="0"/>
              <w:snapToGrid w:val="0"/>
              <w:jc w:val="center"/>
              <w:rPr>
                <w:sz w:val="18"/>
                <w:szCs w:val="18"/>
              </w:rPr>
            </w:pPr>
            <w:r>
              <w:rPr>
                <w:sz w:val="18"/>
                <w:szCs w:val="18"/>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13" w:type="pct"/>
            <w:vMerge w:val="restart"/>
            <w:vAlign w:val="center"/>
          </w:tcPr>
          <w:p>
            <w:pPr>
              <w:adjustRightInd w:val="0"/>
              <w:snapToGrid w:val="0"/>
              <w:jc w:val="center"/>
              <w:rPr>
                <w:sz w:val="18"/>
                <w:szCs w:val="18"/>
              </w:rPr>
            </w:pPr>
            <w:r>
              <w:rPr>
                <w:sz w:val="18"/>
                <w:szCs w:val="18"/>
              </w:rPr>
              <w:t>1</w:t>
            </w:r>
          </w:p>
        </w:tc>
        <w:tc>
          <w:tcPr>
            <w:tcW w:w="1023" w:type="pct"/>
            <w:vMerge w:val="restart"/>
            <w:vAlign w:val="center"/>
          </w:tcPr>
          <w:p>
            <w:pPr>
              <w:adjustRightInd w:val="0"/>
              <w:snapToGrid w:val="0"/>
              <w:jc w:val="center"/>
              <w:rPr>
                <w:sz w:val="18"/>
                <w:szCs w:val="18"/>
              </w:rPr>
            </w:pPr>
            <w:r>
              <w:rPr>
                <w:sz w:val="18"/>
                <w:szCs w:val="18"/>
              </w:rPr>
              <w:t>1#排气筒（导热油炉）</w:t>
            </w:r>
          </w:p>
          <w:p>
            <w:pPr>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TSP</w:t>
            </w:r>
          </w:p>
        </w:tc>
        <w:tc>
          <w:tcPr>
            <w:tcW w:w="1149" w:type="pct"/>
            <w:vAlign w:val="center"/>
          </w:tcPr>
          <w:p>
            <w:pPr>
              <w:adjustRightInd w:val="0"/>
              <w:snapToGrid w:val="0"/>
              <w:jc w:val="center"/>
              <w:rPr>
                <w:sz w:val="18"/>
                <w:szCs w:val="18"/>
              </w:rPr>
            </w:pPr>
            <w:r>
              <w:rPr>
                <w:sz w:val="18"/>
                <w:szCs w:val="18"/>
              </w:rPr>
              <w:t>0.146</w:t>
            </w:r>
          </w:p>
        </w:tc>
        <w:tc>
          <w:tcPr>
            <w:tcW w:w="1067" w:type="pct"/>
            <w:vAlign w:val="center"/>
          </w:tcPr>
          <w:p>
            <w:pPr>
              <w:widowControl/>
              <w:adjustRightInd w:val="0"/>
              <w:snapToGrid w:val="0"/>
              <w:jc w:val="center"/>
              <w:textAlignment w:val="center"/>
              <w:rPr>
                <w:kern w:val="0"/>
                <w:sz w:val="18"/>
                <w:szCs w:val="18"/>
              </w:rPr>
            </w:pPr>
            <w:r>
              <w:rPr>
                <w:rFonts w:hint="eastAsia"/>
                <w:kern w:val="0"/>
                <w:sz w:val="18"/>
                <w:szCs w:val="18"/>
              </w:rPr>
              <w:t>0</w:t>
            </w:r>
            <w:r>
              <w:rPr>
                <w:kern w:val="0"/>
                <w:sz w:val="18"/>
                <w:szCs w:val="18"/>
              </w:rPr>
              <w:t>.027</w:t>
            </w:r>
            <w:r>
              <w:rPr>
                <w:sz w:val="18"/>
                <w:szCs w:val="18"/>
              </w:rPr>
              <w:t>×10</w:t>
            </w:r>
            <w:r>
              <w:rPr>
                <w:sz w:val="18"/>
                <w:szCs w:val="18"/>
                <w:vertAlign w:val="superscript"/>
              </w:rPr>
              <w:t>-3</w:t>
            </w:r>
          </w:p>
        </w:tc>
        <w:tc>
          <w:tcPr>
            <w:tcW w:w="1029" w:type="pct"/>
            <w:vAlign w:val="center"/>
          </w:tcPr>
          <w:p>
            <w:pPr>
              <w:pStyle w:val="24"/>
              <w:autoSpaceDE w:val="0"/>
              <w:snapToGrid w:val="0"/>
              <w:spacing w:line="240" w:lineRule="auto"/>
              <w:ind w:firstLine="0"/>
              <w:jc w:val="center"/>
              <w:rPr>
                <w:sz w:val="18"/>
                <w:szCs w:val="18"/>
              </w:rPr>
            </w:pPr>
            <w:r>
              <w:rPr>
                <w:sz w:val="18"/>
                <w:szCs w:val="18"/>
              </w:rPr>
              <w:t>0.039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13" w:type="pct"/>
            <w:vMerge w:val="continue"/>
            <w:vAlign w:val="center"/>
          </w:tcPr>
          <w:p>
            <w:pPr>
              <w:widowControl/>
              <w:adjustRightInd w:val="0"/>
              <w:snapToGrid w:val="0"/>
              <w:jc w:val="center"/>
              <w:rPr>
                <w:sz w:val="18"/>
                <w:szCs w:val="18"/>
              </w:rPr>
            </w:pP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149" w:type="pct"/>
            <w:vAlign w:val="center"/>
          </w:tcPr>
          <w:p>
            <w:pPr>
              <w:adjustRightInd w:val="0"/>
              <w:snapToGrid w:val="0"/>
              <w:jc w:val="center"/>
              <w:rPr>
                <w:sz w:val="18"/>
                <w:szCs w:val="18"/>
              </w:rPr>
            </w:pPr>
            <w:r>
              <w:rPr>
                <w:sz w:val="18"/>
                <w:szCs w:val="18"/>
              </w:rPr>
              <w:t>160.076</w:t>
            </w:r>
          </w:p>
        </w:tc>
        <w:tc>
          <w:tcPr>
            <w:tcW w:w="1067" w:type="pct"/>
            <w:vAlign w:val="center"/>
          </w:tcPr>
          <w:p>
            <w:pPr>
              <w:widowControl/>
              <w:adjustRightInd w:val="0"/>
              <w:snapToGrid w:val="0"/>
              <w:jc w:val="center"/>
              <w:textAlignment w:val="center"/>
              <w:rPr>
                <w:kern w:val="0"/>
                <w:sz w:val="18"/>
                <w:szCs w:val="18"/>
              </w:rPr>
            </w:pPr>
            <w:r>
              <w:rPr>
                <w:rFonts w:hint="eastAsia"/>
                <w:kern w:val="0"/>
                <w:sz w:val="18"/>
                <w:szCs w:val="18"/>
              </w:rPr>
              <w:t>0</w:t>
            </w:r>
            <w:r>
              <w:rPr>
                <w:kern w:val="0"/>
                <w:sz w:val="18"/>
                <w:szCs w:val="18"/>
              </w:rPr>
              <w:t>.0298</w:t>
            </w:r>
          </w:p>
        </w:tc>
        <w:tc>
          <w:tcPr>
            <w:tcW w:w="1029" w:type="pct"/>
            <w:vAlign w:val="center"/>
          </w:tcPr>
          <w:p>
            <w:pPr>
              <w:pStyle w:val="24"/>
              <w:autoSpaceDE w:val="0"/>
              <w:snapToGrid w:val="0"/>
              <w:spacing w:line="240" w:lineRule="auto"/>
              <w:ind w:firstLine="0"/>
              <w:jc w:val="center"/>
              <w:rPr>
                <w:sz w:val="18"/>
                <w:szCs w:val="18"/>
              </w:rPr>
            </w:pPr>
            <w:r>
              <w:rPr>
                <w:sz w:val="18"/>
                <w:szCs w:val="18"/>
              </w:rPr>
              <w:t>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continue"/>
            <w:vAlign w:val="center"/>
          </w:tcPr>
          <w:p>
            <w:pPr>
              <w:widowControl/>
              <w:adjustRightInd w:val="0"/>
              <w:snapToGrid w:val="0"/>
              <w:jc w:val="center"/>
              <w:rPr>
                <w:sz w:val="18"/>
                <w:szCs w:val="18"/>
              </w:rPr>
            </w:pP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149" w:type="pct"/>
            <w:vAlign w:val="center"/>
          </w:tcPr>
          <w:p>
            <w:pPr>
              <w:adjustRightInd w:val="0"/>
              <w:snapToGrid w:val="0"/>
              <w:jc w:val="center"/>
              <w:rPr>
                <w:sz w:val="18"/>
                <w:szCs w:val="18"/>
              </w:rPr>
            </w:pPr>
            <w:r>
              <w:rPr>
                <w:sz w:val="18"/>
                <w:szCs w:val="18"/>
              </w:rPr>
              <w:t>170.186</w:t>
            </w:r>
          </w:p>
        </w:tc>
        <w:tc>
          <w:tcPr>
            <w:tcW w:w="1067" w:type="pct"/>
            <w:vAlign w:val="center"/>
          </w:tcPr>
          <w:p>
            <w:pPr>
              <w:widowControl/>
              <w:adjustRightInd w:val="0"/>
              <w:snapToGrid w:val="0"/>
              <w:jc w:val="center"/>
              <w:textAlignment w:val="center"/>
              <w:rPr>
                <w:kern w:val="0"/>
                <w:sz w:val="18"/>
                <w:szCs w:val="18"/>
              </w:rPr>
            </w:pPr>
            <w:r>
              <w:rPr>
                <w:rFonts w:hint="eastAsia"/>
                <w:kern w:val="0"/>
                <w:sz w:val="18"/>
                <w:szCs w:val="18"/>
              </w:rPr>
              <w:t>0</w:t>
            </w:r>
            <w:r>
              <w:rPr>
                <w:kern w:val="0"/>
                <w:sz w:val="18"/>
                <w:szCs w:val="18"/>
              </w:rPr>
              <w:t>.031</w:t>
            </w:r>
          </w:p>
        </w:tc>
        <w:tc>
          <w:tcPr>
            <w:tcW w:w="1029" w:type="pct"/>
            <w:vAlign w:val="center"/>
          </w:tcPr>
          <w:p>
            <w:pPr>
              <w:pStyle w:val="24"/>
              <w:autoSpaceDE w:val="0"/>
              <w:snapToGrid w:val="0"/>
              <w:spacing w:line="240" w:lineRule="auto"/>
              <w:ind w:firstLine="0"/>
              <w:jc w:val="center"/>
              <w:rPr>
                <w:sz w:val="18"/>
                <w:szCs w:val="18"/>
              </w:rPr>
            </w:pPr>
            <w:r>
              <w:rPr>
                <w:sz w:val="18"/>
                <w:szCs w:val="18"/>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restart"/>
            <w:vAlign w:val="center"/>
          </w:tcPr>
          <w:p>
            <w:pPr>
              <w:widowControl/>
              <w:adjustRightInd w:val="0"/>
              <w:snapToGrid w:val="0"/>
              <w:jc w:val="center"/>
              <w:rPr>
                <w:sz w:val="18"/>
                <w:szCs w:val="18"/>
              </w:rPr>
            </w:pPr>
            <w:r>
              <w:rPr>
                <w:sz w:val="18"/>
                <w:szCs w:val="18"/>
              </w:rPr>
              <w:t>2</w:t>
            </w:r>
          </w:p>
        </w:tc>
        <w:tc>
          <w:tcPr>
            <w:tcW w:w="1023" w:type="pct"/>
            <w:vMerge w:val="restart"/>
            <w:vAlign w:val="center"/>
          </w:tcPr>
          <w:p>
            <w:pPr>
              <w:adjustRightInd w:val="0"/>
              <w:snapToGrid w:val="0"/>
              <w:jc w:val="center"/>
              <w:rPr>
                <w:sz w:val="18"/>
                <w:szCs w:val="18"/>
              </w:rPr>
            </w:pPr>
            <w:r>
              <w:rPr>
                <w:sz w:val="18"/>
                <w:szCs w:val="18"/>
              </w:rPr>
              <w:t>2#排气筒（烘干滚筒</w:t>
            </w:r>
            <w:r>
              <w:rPr>
                <w:rFonts w:hint="eastAsia"/>
                <w:sz w:val="18"/>
                <w:szCs w:val="18"/>
              </w:rPr>
              <w:t>、粉尘、沥青烟气</w:t>
            </w:r>
            <w:r>
              <w:rPr>
                <w:sz w:val="18"/>
                <w:szCs w:val="18"/>
              </w:rPr>
              <w:t>）</w:t>
            </w:r>
          </w:p>
        </w:tc>
        <w:tc>
          <w:tcPr>
            <w:tcW w:w="415" w:type="pct"/>
            <w:vAlign w:val="center"/>
          </w:tcPr>
          <w:p>
            <w:pPr>
              <w:adjustRightInd w:val="0"/>
              <w:snapToGrid w:val="0"/>
              <w:jc w:val="center"/>
              <w:rPr>
                <w:sz w:val="18"/>
                <w:szCs w:val="18"/>
              </w:rPr>
            </w:pPr>
            <w:r>
              <w:rPr>
                <w:sz w:val="18"/>
                <w:szCs w:val="18"/>
              </w:rPr>
              <w:t>TSP</w:t>
            </w:r>
          </w:p>
        </w:tc>
        <w:tc>
          <w:tcPr>
            <w:tcW w:w="1149" w:type="pct"/>
            <w:vAlign w:val="center"/>
          </w:tcPr>
          <w:p>
            <w:pPr>
              <w:adjustRightInd w:val="0"/>
              <w:snapToGrid w:val="0"/>
              <w:jc w:val="center"/>
              <w:rPr>
                <w:sz w:val="18"/>
                <w:szCs w:val="18"/>
              </w:rPr>
            </w:pPr>
            <w:r>
              <w:rPr>
                <w:rFonts w:hint="eastAsia" w:ascii="Times New Roman" w:hAnsi="Times New Roman" w:cs="Times New Roman"/>
                <w:color w:val="auto"/>
                <w:sz w:val="18"/>
                <w:szCs w:val="18"/>
                <w:highlight w:val="none"/>
                <w:lang w:val="en-US" w:eastAsia="zh-CN"/>
              </w:rPr>
              <w:t>0.96</w:t>
            </w:r>
          </w:p>
        </w:tc>
        <w:tc>
          <w:tcPr>
            <w:tcW w:w="1067" w:type="pct"/>
            <w:vAlign w:val="center"/>
          </w:tcPr>
          <w:p>
            <w:pPr>
              <w:widowControl/>
              <w:adjustRightInd w:val="0"/>
              <w:snapToGrid w:val="0"/>
              <w:jc w:val="center"/>
              <w:textAlignment w:val="center"/>
              <w:rPr>
                <w:rFonts w:hint="default" w:eastAsia="宋体"/>
                <w:kern w:val="0"/>
                <w:sz w:val="18"/>
                <w:szCs w:val="18"/>
                <w:lang w:val="en-US" w:eastAsia="zh-CN"/>
              </w:rPr>
            </w:pPr>
            <w:r>
              <w:rPr>
                <w:rFonts w:hint="eastAsia"/>
                <w:kern w:val="0"/>
                <w:sz w:val="18"/>
                <w:szCs w:val="18"/>
                <w:lang w:val="en-US" w:eastAsia="zh-CN"/>
              </w:rPr>
              <w:t>0.0098</w:t>
            </w:r>
          </w:p>
        </w:tc>
        <w:tc>
          <w:tcPr>
            <w:tcW w:w="1029"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14.126</w:t>
            </w:r>
            <w:r>
              <w:rPr>
                <w:rFonts w:hint="default" w:ascii="Times New Roman" w:hAnsi="Times New Roman" w:cs="Times New Roman"/>
                <w:color w:val="auto"/>
                <w:sz w:val="18"/>
                <w:szCs w:val="18"/>
                <w:highlight w:val="none"/>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continue"/>
            <w:vAlign w:val="center"/>
          </w:tcPr>
          <w:p>
            <w:pPr>
              <w:widowControl/>
              <w:adjustRightInd w:val="0"/>
              <w:snapToGrid w:val="0"/>
              <w:jc w:val="center"/>
              <w:rPr>
                <w:sz w:val="18"/>
                <w:szCs w:val="18"/>
              </w:rPr>
            </w:pP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149" w:type="pct"/>
            <w:vAlign w:val="center"/>
          </w:tcPr>
          <w:p>
            <w:pPr>
              <w:adjustRightInd w:val="0"/>
              <w:snapToGrid w:val="0"/>
              <w:jc w:val="center"/>
              <w:rPr>
                <w:sz w:val="18"/>
                <w:szCs w:val="18"/>
              </w:rPr>
            </w:pPr>
            <w:r>
              <w:rPr>
                <w:rFonts w:hint="eastAsia" w:ascii="Times New Roman" w:hAnsi="Times New Roman" w:cs="Times New Roman"/>
                <w:color w:val="auto"/>
                <w:sz w:val="18"/>
                <w:szCs w:val="18"/>
                <w:highlight w:val="none"/>
                <w:lang w:val="en-US" w:eastAsia="zh-CN"/>
              </w:rPr>
              <w:t>2.86</w:t>
            </w:r>
          </w:p>
        </w:tc>
        <w:tc>
          <w:tcPr>
            <w:tcW w:w="1067" w:type="pct"/>
            <w:vAlign w:val="center"/>
          </w:tcPr>
          <w:p>
            <w:pPr>
              <w:widowControl/>
              <w:adjustRightInd w:val="0"/>
              <w:snapToGrid w:val="0"/>
              <w:jc w:val="center"/>
              <w:textAlignment w:val="center"/>
              <w:rPr>
                <w:rFonts w:hint="default" w:eastAsia="宋体"/>
                <w:kern w:val="0"/>
                <w:sz w:val="18"/>
                <w:szCs w:val="18"/>
                <w:lang w:val="en-US" w:eastAsia="zh-CN"/>
              </w:rPr>
            </w:pPr>
            <w:r>
              <w:rPr>
                <w:rFonts w:hint="eastAsia"/>
                <w:kern w:val="0"/>
                <w:sz w:val="18"/>
                <w:szCs w:val="18"/>
                <w:lang w:val="en-US" w:eastAsia="zh-CN"/>
              </w:rPr>
              <w:t>0.0292</w:t>
            </w:r>
          </w:p>
        </w:tc>
        <w:tc>
          <w:tcPr>
            <w:tcW w:w="1029"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default" w:ascii="Times New Roman" w:hAnsi="Times New Roman" w:cs="Times New Roman"/>
                <w:color w:val="auto"/>
                <w:sz w:val="18"/>
                <w:szCs w:val="18"/>
                <w:highlight w:val="none"/>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continue"/>
            <w:vAlign w:val="center"/>
          </w:tcPr>
          <w:p>
            <w:pPr>
              <w:widowControl/>
              <w:adjustRightInd w:val="0"/>
              <w:snapToGrid w:val="0"/>
              <w:jc w:val="center"/>
              <w:rPr>
                <w:sz w:val="18"/>
                <w:szCs w:val="18"/>
              </w:rPr>
            </w:pP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149" w:type="pct"/>
            <w:vAlign w:val="center"/>
          </w:tcPr>
          <w:p>
            <w:pPr>
              <w:adjustRightInd w:val="0"/>
              <w:snapToGrid w:val="0"/>
              <w:jc w:val="center"/>
              <w:rPr>
                <w:sz w:val="18"/>
                <w:szCs w:val="18"/>
              </w:rPr>
            </w:pPr>
            <w:r>
              <w:rPr>
                <w:rFonts w:hint="eastAsia" w:ascii="Times New Roman" w:hAnsi="Times New Roman" w:cs="Times New Roman"/>
                <w:color w:val="auto"/>
                <w:sz w:val="18"/>
                <w:szCs w:val="18"/>
                <w:highlight w:val="none"/>
                <w:lang w:val="en-US" w:eastAsia="zh-CN"/>
              </w:rPr>
              <w:t>2.59</w:t>
            </w:r>
          </w:p>
        </w:tc>
        <w:tc>
          <w:tcPr>
            <w:tcW w:w="1067" w:type="pct"/>
            <w:vAlign w:val="center"/>
          </w:tcPr>
          <w:p>
            <w:pPr>
              <w:widowControl/>
              <w:adjustRightInd w:val="0"/>
              <w:snapToGrid w:val="0"/>
              <w:jc w:val="center"/>
              <w:textAlignment w:val="center"/>
              <w:rPr>
                <w:rFonts w:hint="default" w:eastAsia="宋体"/>
                <w:kern w:val="0"/>
                <w:sz w:val="18"/>
                <w:szCs w:val="18"/>
                <w:lang w:val="en-US" w:eastAsia="zh-CN"/>
              </w:rPr>
            </w:pPr>
            <w:r>
              <w:rPr>
                <w:rFonts w:hint="eastAsia"/>
                <w:kern w:val="0"/>
                <w:sz w:val="18"/>
                <w:szCs w:val="18"/>
                <w:lang w:val="en-US" w:eastAsia="zh-CN"/>
              </w:rPr>
              <w:t>0.0264</w:t>
            </w:r>
          </w:p>
        </w:tc>
        <w:tc>
          <w:tcPr>
            <w:tcW w:w="1029" w:type="pct"/>
            <w:vAlign w:val="center"/>
          </w:tcPr>
          <w:p>
            <w:pPr>
              <w:pStyle w:val="24"/>
              <w:snapToGrid w:val="0"/>
              <w:spacing w:line="240" w:lineRule="auto"/>
              <w:ind w:firstLine="0" w:firstLineChars="0"/>
              <w:jc w:val="center"/>
              <w:rPr>
                <w:rFonts w:hint="default" w:ascii="Times New Roman" w:hAnsi="Times New Roman" w:eastAsia="宋体" w:cs="Times New Roman"/>
                <w:color w:val="auto"/>
                <w:kern w:val="24"/>
                <w:sz w:val="18"/>
                <w:szCs w:val="18"/>
                <w:highlight w:val="none"/>
                <w:lang w:val="en-US" w:eastAsia="zh-CN" w:bidi="ar-SA"/>
              </w:rPr>
            </w:pPr>
            <w:r>
              <w:rPr>
                <w:rFonts w:hint="eastAsia" w:ascii="Times New Roman" w:hAnsi="Times New Roman" w:cs="Times New Roman"/>
                <w:color w:val="auto"/>
                <w:kern w:val="24"/>
                <w:sz w:val="18"/>
                <w:szCs w:val="18"/>
                <w:highlight w:val="none"/>
                <w:lang w:val="en-US" w:eastAsia="zh-CN" w:bidi="ar-SA"/>
              </w:rPr>
              <w:t>0.038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restart"/>
            <w:vAlign w:val="center"/>
          </w:tcPr>
          <w:p>
            <w:pPr>
              <w:widowControl/>
              <w:adjustRightInd w:val="0"/>
              <w:snapToGrid w:val="0"/>
              <w:jc w:val="center"/>
              <w:rPr>
                <w:sz w:val="18"/>
                <w:szCs w:val="18"/>
              </w:rPr>
            </w:pPr>
            <w:r>
              <w:rPr>
                <w:sz w:val="18"/>
                <w:szCs w:val="18"/>
              </w:rPr>
              <w:t>3</w:t>
            </w: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沥青烟</w:t>
            </w:r>
          </w:p>
        </w:tc>
        <w:tc>
          <w:tcPr>
            <w:tcW w:w="1149" w:type="pct"/>
            <w:vAlign w:val="center"/>
          </w:tcPr>
          <w:p>
            <w:pPr>
              <w:adjustRightInd w:val="0"/>
              <w:snapToGrid w:val="0"/>
              <w:jc w:val="center"/>
              <w:rPr>
                <w:sz w:val="18"/>
                <w:szCs w:val="18"/>
              </w:rPr>
            </w:pPr>
            <w:r>
              <w:rPr>
                <w:sz w:val="18"/>
                <w:szCs w:val="18"/>
              </w:rPr>
              <w:t>0.008</w:t>
            </w:r>
          </w:p>
        </w:tc>
        <w:tc>
          <w:tcPr>
            <w:tcW w:w="1067" w:type="pct"/>
            <w:vAlign w:val="center"/>
          </w:tcPr>
          <w:p>
            <w:pPr>
              <w:widowControl/>
              <w:adjustRightInd w:val="0"/>
              <w:snapToGrid w:val="0"/>
              <w:jc w:val="center"/>
              <w:textAlignment w:val="center"/>
              <w:rPr>
                <w:kern w:val="0"/>
                <w:sz w:val="18"/>
                <w:szCs w:val="18"/>
              </w:rPr>
            </w:pPr>
            <w:r>
              <w:rPr>
                <w:rFonts w:hint="eastAsia"/>
                <w:kern w:val="0"/>
                <w:sz w:val="18"/>
                <w:szCs w:val="18"/>
              </w:rPr>
              <w:t>0</w:t>
            </w:r>
            <w:r>
              <w:rPr>
                <w:kern w:val="0"/>
                <w:sz w:val="18"/>
                <w:szCs w:val="18"/>
              </w:rPr>
              <w:t>.332</w:t>
            </w:r>
            <w:r>
              <w:rPr>
                <w:sz w:val="18"/>
                <w:szCs w:val="18"/>
              </w:rPr>
              <w:t>×10</w:t>
            </w:r>
            <w:r>
              <w:rPr>
                <w:sz w:val="18"/>
                <w:szCs w:val="18"/>
                <w:vertAlign w:val="superscript"/>
              </w:rPr>
              <w:t>-3</w:t>
            </w:r>
          </w:p>
        </w:tc>
        <w:tc>
          <w:tcPr>
            <w:tcW w:w="1029" w:type="pct"/>
            <w:vAlign w:val="center"/>
          </w:tcPr>
          <w:p>
            <w:pPr>
              <w:pStyle w:val="24"/>
              <w:autoSpaceDE w:val="0"/>
              <w:snapToGrid w:val="0"/>
              <w:spacing w:line="240" w:lineRule="auto"/>
              <w:ind w:firstLine="0"/>
              <w:jc w:val="center"/>
              <w:rPr>
                <w:sz w:val="18"/>
                <w:szCs w:val="18"/>
              </w:rPr>
            </w:pPr>
            <w:r>
              <w:rPr>
                <w:sz w:val="18"/>
                <w:szCs w:val="18"/>
              </w:rPr>
              <w:t>0.478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313" w:type="pct"/>
            <w:vMerge w:val="continue"/>
            <w:vAlign w:val="center"/>
          </w:tcPr>
          <w:p>
            <w:pPr>
              <w:widowControl/>
              <w:adjustRightInd w:val="0"/>
              <w:snapToGrid w:val="0"/>
              <w:jc w:val="center"/>
              <w:rPr>
                <w:sz w:val="18"/>
                <w:szCs w:val="18"/>
              </w:rPr>
            </w:pPr>
          </w:p>
        </w:tc>
        <w:tc>
          <w:tcPr>
            <w:tcW w:w="1023" w:type="pct"/>
            <w:vMerge w:val="continue"/>
            <w:vAlign w:val="center"/>
          </w:tcPr>
          <w:p>
            <w:pPr>
              <w:widowControl/>
              <w:adjustRightInd w:val="0"/>
              <w:snapToGrid w:val="0"/>
              <w:jc w:val="center"/>
              <w:rPr>
                <w:sz w:val="18"/>
                <w:szCs w:val="18"/>
              </w:rPr>
            </w:pPr>
          </w:p>
        </w:tc>
        <w:tc>
          <w:tcPr>
            <w:tcW w:w="415" w:type="pct"/>
            <w:vAlign w:val="center"/>
          </w:tcPr>
          <w:p>
            <w:pPr>
              <w:adjustRightInd w:val="0"/>
              <w:snapToGrid w:val="0"/>
              <w:jc w:val="center"/>
              <w:rPr>
                <w:sz w:val="18"/>
                <w:szCs w:val="18"/>
              </w:rPr>
            </w:pPr>
            <w:r>
              <w:rPr>
                <w:sz w:val="18"/>
                <w:szCs w:val="18"/>
              </w:rPr>
              <w:t>BaP</w:t>
            </w:r>
          </w:p>
        </w:tc>
        <w:tc>
          <w:tcPr>
            <w:tcW w:w="1149" w:type="pct"/>
            <w:vAlign w:val="center"/>
          </w:tcPr>
          <w:p>
            <w:pPr>
              <w:adjustRightInd w:val="0"/>
              <w:snapToGrid w:val="0"/>
              <w:jc w:val="center"/>
              <w:rPr>
                <w:sz w:val="18"/>
                <w:szCs w:val="18"/>
              </w:rPr>
            </w:pPr>
            <w:r>
              <w:rPr>
                <w:sz w:val="18"/>
                <w:szCs w:val="18"/>
              </w:rPr>
              <w:t>0.008×10</w:t>
            </w:r>
            <w:r>
              <w:rPr>
                <w:sz w:val="18"/>
                <w:szCs w:val="18"/>
                <w:vertAlign w:val="superscript"/>
              </w:rPr>
              <w:t>-3</w:t>
            </w:r>
          </w:p>
        </w:tc>
        <w:tc>
          <w:tcPr>
            <w:tcW w:w="1067" w:type="pct"/>
            <w:vAlign w:val="center"/>
          </w:tcPr>
          <w:p>
            <w:pPr>
              <w:widowControl/>
              <w:adjustRightInd w:val="0"/>
              <w:snapToGrid w:val="0"/>
              <w:jc w:val="center"/>
              <w:textAlignment w:val="center"/>
              <w:rPr>
                <w:kern w:val="0"/>
                <w:sz w:val="18"/>
                <w:szCs w:val="18"/>
              </w:rPr>
            </w:pPr>
            <w:r>
              <w:rPr>
                <w:rFonts w:hint="eastAsia"/>
                <w:kern w:val="0"/>
                <w:sz w:val="18"/>
                <w:szCs w:val="18"/>
              </w:rPr>
              <w:t>0</w:t>
            </w:r>
            <w:r>
              <w:rPr>
                <w:kern w:val="0"/>
                <w:sz w:val="18"/>
                <w:szCs w:val="18"/>
              </w:rPr>
              <w:t>.332</w:t>
            </w:r>
            <w:r>
              <w:rPr>
                <w:sz w:val="18"/>
                <w:szCs w:val="18"/>
              </w:rPr>
              <w:t>×10</w:t>
            </w:r>
            <w:r>
              <w:rPr>
                <w:sz w:val="18"/>
                <w:szCs w:val="18"/>
                <w:vertAlign w:val="superscript"/>
              </w:rPr>
              <w:t>-6</w:t>
            </w:r>
          </w:p>
        </w:tc>
        <w:tc>
          <w:tcPr>
            <w:tcW w:w="1029" w:type="pct"/>
            <w:vAlign w:val="center"/>
          </w:tcPr>
          <w:p>
            <w:pPr>
              <w:pStyle w:val="24"/>
              <w:autoSpaceDE w:val="0"/>
              <w:snapToGrid w:val="0"/>
              <w:spacing w:line="240" w:lineRule="auto"/>
              <w:ind w:firstLine="0"/>
              <w:jc w:val="center"/>
              <w:rPr>
                <w:sz w:val="18"/>
                <w:szCs w:val="18"/>
              </w:rPr>
            </w:pPr>
            <w:r>
              <w:rPr>
                <w:sz w:val="18"/>
                <w:szCs w:val="18"/>
              </w:rPr>
              <w:t>0.478×10</w:t>
            </w:r>
            <w:r>
              <w:rPr>
                <w:sz w:val="18"/>
                <w:szCs w:val="18"/>
                <w:vertAlign w:val="superscript"/>
              </w:rPr>
              <w:t>-3</w:t>
            </w:r>
            <w:r>
              <w:rPr>
                <w:sz w:val="18"/>
                <w:szCs w:val="18"/>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336" w:type="pct"/>
            <w:gridSpan w:val="2"/>
            <w:vMerge w:val="restart"/>
            <w:vAlign w:val="center"/>
          </w:tcPr>
          <w:p>
            <w:pPr>
              <w:adjustRightInd w:val="0"/>
              <w:snapToGrid w:val="0"/>
              <w:jc w:val="center"/>
              <w:rPr>
                <w:sz w:val="18"/>
                <w:szCs w:val="18"/>
              </w:rPr>
            </w:pPr>
            <w:r>
              <w:rPr>
                <w:sz w:val="18"/>
                <w:szCs w:val="18"/>
              </w:rPr>
              <w:t>一般排放口合计</w:t>
            </w:r>
          </w:p>
        </w:tc>
        <w:tc>
          <w:tcPr>
            <w:tcW w:w="2633" w:type="pct"/>
            <w:gridSpan w:val="3"/>
            <w:vAlign w:val="center"/>
          </w:tcPr>
          <w:p>
            <w:pPr>
              <w:widowControl/>
              <w:adjustRightInd w:val="0"/>
              <w:snapToGrid w:val="0"/>
              <w:jc w:val="center"/>
              <w:textAlignment w:val="center"/>
              <w:rPr>
                <w:kern w:val="0"/>
                <w:sz w:val="18"/>
                <w:szCs w:val="18"/>
              </w:rPr>
            </w:pPr>
            <w:r>
              <w:rPr>
                <w:kern w:val="0"/>
                <w:sz w:val="18"/>
                <w:szCs w:val="18"/>
              </w:rPr>
              <w:t>TSP</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1</w:t>
            </w:r>
            <w:r>
              <w:rPr>
                <w:kern w:val="0"/>
                <w:sz w:val="18"/>
                <w:szCs w:val="18"/>
              </w:rPr>
              <w:t>4.165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SO</w:t>
            </w:r>
            <w:r>
              <w:rPr>
                <w:sz w:val="18"/>
                <w:szCs w:val="18"/>
                <w:vertAlign w:val="subscript"/>
              </w:rPr>
              <w:t>2</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0</w:t>
            </w:r>
            <w:r>
              <w:rPr>
                <w:kern w:val="0"/>
                <w:sz w:val="18"/>
                <w:szCs w:val="18"/>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NO</w:t>
            </w:r>
            <w:r>
              <w:rPr>
                <w:sz w:val="18"/>
                <w:szCs w:val="18"/>
                <w:vertAlign w:val="subscript"/>
              </w:rPr>
              <w:t>X</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0</w:t>
            </w:r>
            <w:r>
              <w:rPr>
                <w:kern w:val="0"/>
                <w:sz w:val="18"/>
                <w:szCs w:val="18"/>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沥青烟</w:t>
            </w:r>
          </w:p>
        </w:tc>
        <w:tc>
          <w:tcPr>
            <w:tcW w:w="1029" w:type="pct"/>
            <w:vAlign w:val="center"/>
          </w:tcPr>
          <w:p>
            <w:pPr>
              <w:pStyle w:val="24"/>
              <w:autoSpaceDE w:val="0"/>
              <w:snapToGrid w:val="0"/>
              <w:spacing w:line="240" w:lineRule="auto"/>
              <w:ind w:firstLine="0"/>
              <w:jc w:val="center"/>
              <w:rPr>
                <w:kern w:val="0"/>
                <w:sz w:val="18"/>
                <w:szCs w:val="18"/>
              </w:rPr>
            </w:pPr>
            <w:r>
              <w:rPr>
                <w:sz w:val="18"/>
                <w:szCs w:val="18"/>
              </w:rPr>
              <w:t>0.478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BaP</w:t>
            </w:r>
          </w:p>
        </w:tc>
        <w:tc>
          <w:tcPr>
            <w:tcW w:w="1029" w:type="pct"/>
            <w:vAlign w:val="center"/>
          </w:tcPr>
          <w:p>
            <w:pPr>
              <w:pStyle w:val="24"/>
              <w:autoSpaceDE w:val="0"/>
              <w:snapToGrid w:val="0"/>
              <w:spacing w:line="240" w:lineRule="auto"/>
              <w:ind w:firstLine="0"/>
              <w:jc w:val="center"/>
              <w:rPr>
                <w:kern w:val="0"/>
                <w:sz w:val="18"/>
                <w:szCs w:val="18"/>
              </w:rPr>
            </w:pPr>
            <w:r>
              <w:rPr>
                <w:sz w:val="18"/>
                <w:szCs w:val="18"/>
              </w:rPr>
              <w:t>0.478×10</w:t>
            </w:r>
            <w:r>
              <w:rPr>
                <w:sz w:val="18"/>
                <w:szCs w:val="18"/>
                <w:vertAlign w:val="superscript"/>
              </w:rPr>
              <w:t>-3</w:t>
            </w:r>
            <w:r>
              <w:rPr>
                <w:sz w:val="18"/>
                <w:szCs w:val="18"/>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36" w:type="pct"/>
            <w:gridSpan w:val="2"/>
            <w:vMerge w:val="restart"/>
            <w:vAlign w:val="center"/>
          </w:tcPr>
          <w:p>
            <w:pPr>
              <w:adjustRightInd w:val="0"/>
              <w:snapToGrid w:val="0"/>
              <w:jc w:val="center"/>
              <w:rPr>
                <w:sz w:val="18"/>
                <w:szCs w:val="18"/>
              </w:rPr>
            </w:pPr>
            <w:r>
              <w:rPr>
                <w:sz w:val="18"/>
                <w:szCs w:val="18"/>
              </w:rPr>
              <w:t>有组织排放总计</w:t>
            </w:r>
          </w:p>
        </w:tc>
        <w:tc>
          <w:tcPr>
            <w:tcW w:w="2633" w:type="pct"/>
            <w:gridSpan w:val="3"/>
            <w:vAlign w:val="center"/>
          </w:tcPr>
          <w:p>
            <w:pPr>
              <w:widowControl/>
              <w:adjustRightInd w:val="0"/>
              <w:snapToGrid w:val="0"/>
              <w:jc w:val="center"/>
              <w:textAlignment w:val="center"/>
              <w:rPr>
                <w:sz w:val="18"/>
                <w:szCs w:val="18"/>
              </w:rPr>
            </w:pPr>
            <w:r>
              <w:rPr>
                <w:sz w:val="18"/>
                <w:szCs w:val="18"/>
              </w:rPr>
              <w:t>TSP</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1</w:t>
            </w:r>
            <w:r>
              <w:rPr>
                <w:kern w:val="0"/>
                <w:sz w:val="18"/>
                <w:szCs w:val="18"/>
              </w:rPr>
              <w:t>4.165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SO</w:t>
            </w:r>
            <w:r>
              <w:rPr>
                <w:sz w:val="18"/>
                <w:szCs w:val="18"/>
                <w:vertAlign w:val="subscript"/>
              </w:rPr>
              <w:t>2</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0</w:t>
            </w:r>
            <w:r>
              <w:rPr>
                <w:kern w:val="0"/>
                <w:sz w:val="18"/>
                <w:szCs w:val="18"/>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NO</w:t>
            </w:r>
            <w:r>
              <w:rPr>
                <w:sz w:val="18"/>
                <w:szCs w:val="18"/>
                <w:vertAlign w:val="subscript"/>
              </w:rPr>
              <w:t>X</w:t>
            </w:r>
          </w:p>
        </w:tc>
        <w:tc>
          <w:tcPr>
            <w:tcW w:w="1029" w:type="pct"/>
            <w:vAlign w:val="center"/>
          </w:tcPr>
          <w:p>
            <w:pPr>
              <w:pStyle w:val="24"/>
              <w:autoSpaceDE w:val="0"/>
              <w:snapToGrid w:val="0"/>
              <w:spacing w:line="240" w:lineRule="auto"/>
              <w:ind w:firstLine="0"/>
              <w:jc w:val="center"/>
              <w:rPr>
                <w:kern w:val="0"/>
                <w:sz w:val="18"/>
                <w:szCs w:val="18"/>
              </w:rPr>
            </w:pPr>
            <w:r>
              <w:rPr>
                <w:rFonts w:hint="eastAsia"/>
                <w:kern w:val="0"/>
                <w:sz w:val="18"/>
                <w:szCs w:val="18"/>
              </w:rPr>
              <w:t>0</w:t>
            </w:r>
            <w:r>
              <w:rPr>
                <w:kern w:val="0"/>
                <w:sz w:val="18"/>
                <w:szCs w:val="18"/>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沥青烟</w:t>
            </w:r>
          </w:p>
        </w:tc>
        <w:tc>
          <w:tcPr>
            <w:tcW w:w="1029" w:type="pct"/>
            <w:vAlign w:val="center"/>
          </w:tcPr>
          <w:p>
            <w:pPr>
              <w:pStyle w:val="24"/>
              <w:autoSpaceDE w:val="0"/>
              <w:snapToGrid w:val="0"/>
              <w:spacing w:line="240" w:lineRule="auto"/>
              <w:ind w:firstLine="0"/>
              <w:jc w:val="center"/>
              <w:rPr>
                <w:kern w:val="0"/>
                <w:sz w:val="18"/>
                <w:szCs w:val="18"/>
              </w:rPr>
            </w:pPr>
            <w:r>
              <w:rPr>
                <w:sz w:val="18"/>
                <w:szCs w:val="18"/>
              </w:rPr>
              <w:t>0.478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336" w:type="pct"/>
            <w:gridSpan w:val="2"/>
            <w:vMerge w:val="continue"/>
            <w:vAlign w:val="center"/>
          </w:tcPr>
          <w:p>
            <w:pPr>
              <w:widowControl/>
              <w:adjustRightInd w:val="0"/>
              <w:snapToGrid w:val="0"/>
              <w:jc w:val="center"/>
              <w:rPr>
                <w:sz w:val="18"/>
                <w:szCs w:val="18"/>
              </w:rPr>
            </w:pPr>
          </w:p>
        </w:tc>
        <w:tc>
          <w:tcPr>
            <w:tcW w:w="2633" w:type="pct"/>
            <w:gridSpan w:val="3"/>
            <w:vAlign w:val="center"/>
          </w:tcPr>
          <w:p>
            <w:pPr>
              <w:adjustRightInd w:val="0"/>
              <w:snapToGrid w:val="0"/>
              <w:jc w:val="center"/>
              <w:rPr>
                <w:sz w:val="18"/>
                <w:szCs w:val="18"/>
              </w:rPr>
            </w:pPr>
            <w:r>
              <w:rPr>
                <w:sz w:val="18"/>
                <w:szCs w:val="18"/>
              </w:rPr>
              <w:t>BaP</w:t>
            </w:r>
          </w:p>
        </w:tc>
        <w:tc>
          <w:tcPr>
            <w:tcW w:w="1029" w:type="pct"/>
            <w:vAlign w:val="center"/>
          </w:tcPr>
          <w:p>
            <w:pPr>
              <w:pStyle w:val="24"/>
              <w:autoSpaceDE w:val="0"/>
              <w:snapToGrid w:val="0"/>
              <w:spacing w:line="240" w:lineRule="auto"/>
              <w:ind w:firstLine="0"/>
              <w:jc w:val="center"/>
              <w:rPr>
                <w:kern w:val="0"/>
                <w:sz w:val="18"/>
                <w:szCs w:val="18"/>
              </w:rPr>
            </w:pPr>
            <w:r>
              <w:rPr>
                <w:sz w:val="18"/>
                <w:szCs w:val="18"/>
              </w:rPr>
              <w:t>0.478×10</w:t>
            </w:r>
            <w:r>
              <w:rPr>
                <w:sz w:val="18"/>
                <w:szCs w:val="18"/>
                <w:vertAlign w:val="superscript"/>
              </w:rPr>
              <w:t>-3</w:t>
            </w:r>
            <w:r>
              <w:rPr>
                <w:sz w:val="18"/>
                <w:szCs w:val="18"/>
              </w:rPr>
              <w:t xml:space="preserve"> kg/a</w:t>
            </w:r>
          </w:p>
        </w:tc>
      </w:tr>
    </w:tbl>
    <w:p>
      <w:pPr>
        <w:adjustRightInd w:val="0"/>
        <w:snapToGrid w:val="0"/>
        <w:spacing w:before="156" w:beforeLines="50" w:line="360" w:lineRule="auto"/>
        <w:jc w:val="center"/>
      </w:pPr>
      <w:r>
        <w:rPr>
          <w:rFonts w:hint="eastAsia"/>
        </w:rPr>
        <w:t>表1</w:t>
      </w:r>
      <w:r>
        <w:rPr>
          <w:rFonts w:hint="eastAsia"/>
          <w:lang w:val="en-US" w:eastAsia="zh-CN"/>
        </w:rPr>
        <w:t>8</w:t>
      </w:r>
      <w:r>
        <w:t xml:space="preserve">  </w:t>
      </w:r>
      <w:r>
        <w:rPr>
          <w:rFonts w:hint="eastAsia"/>
        </w:rPr>
        <w:t>运营期大气污染物无组织排放量核算表</w:t>
      </w:r>
    </w:p>
    <w:tbl>
      <w:tblPr>
        <w:tblStyle w:val="10"/>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51"/>
        <w:gridCol w:w="981"/>
        <w:gridCol w:w="597"/>
        <w:gridCol w:w="483"/>
        <w:gridCol w:w="665"/>
        <w:gridCol w:w="3559"/>
        <w:gridCol w:w="859"/>
        <w:gridCol w:w="11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148" w:type="pct"/>
            <w:vMerge w:val="restart"/>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序号</w:t>
            </w:r>
          </w:p>
        </w:tc>
        <w:tc>
          <w:tcPr>
            <w:tcW w:w="577" w:type="pct"/>
            <w:vMerge w:val="restart"/>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排放口</w:t>
            </w:r>
          </w:p>
        </w:tc>
        <w:tc>
          <w:tcPr>
            <w:tcW w:w="351" w:type="pct"/>
            <w:vMerge w:val="restart"/>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产污环节</w:t>
            </w:r>
          </w:p>
        </w:tc>
        <w:tc>
          <w:tcPr>
            <w:tcW w:w="284" w:type="pct"/>
            <w:vMerge w:val="restart"/>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污染物</w:t>
            </w:r>
          </w:p>
        </w:tc>
        <w:tc>
          <w:tcPr>
            <w:tcW w:w="391" w:type="pct"/>
            <w:vMerge w:val="restart"/>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主要污染防治措施</w:t>
            </w:r>
          </w:p>
        </w:tc>
        <w:tc>
          <w:tcPr>
            <w:tcW w:w="2598" w:type="pct"/>
            <w:gridSpan w:val="2"/>
            <w:tcBorders>
              <w:top w:val="single" w:color="auto" w:sz="12"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国家或地方排放标准</w:t>
            </w:r>
          </w:p>
        </w:tc>
        <w:tc>
          <w:tcPr>
            <w:tcW w:w="651" w:type="pct"/>
            <w:vMerge w:val="restart"/>
            <w:tcBorders>
              <w:top w:val="single" w:color="auto" w:sz="12" w:space="0"/>
              <w:left w:val="nil"/>
              <w:bottom w:val="single" w:color="000000" w:sz="4" w:space="0"/>
              <w:right w:val="nil"/>
            </w:tcBorders>
            <w:vAlign w:val="center"/>
          </w:tcPr>
          <w:p>
            <w:pPr>
              <w:pStyle w:val="26"/>
              <w:adjustRightInd w:val="0"/>
              <w:snapToGrid w:val="0"/>
              <w:jc w:val="center"/>
              <w:rPr>
                <w:sz w:val="18"/>
                <w:szCs w:val="18"/>
              </w:rPr>
            </w:pPr>
            <w:r>
              <w:rPr>
                <w:sz w:val="18"/>
                <w:szCs w:val="18"/>
              </w:rPr>
              <w:t>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48" w:type="pct"/>
            <w:vMerge w:val="continue"/>
            <w:tcBorders>
              <w:top w:val="single" w:color="auto" w:sz="12" w:space="0"/>
              <w:left w:val="nil"/>
              <w:bottom w:val="single" w:color="000000" w:sz="4" w:space="0"/>
              <w:right w:val="single" w:color="000000" w:sz="4" w:space="0"/>
            </w:tcBorders>
            <w:vAlign w:val="center"/>
          </w:tcPr>
          <w:p>
            <w:pPr>
              <w:widowControl/>
              <w:adjustRightInd w:val="0"/>
              <w:snapToGrid w:val="0"/>
              <w:jc w:val="center"/>
              <w:rPr>
                <w:sz w:val="18"/>
                <w:szCs w:val="18"/>
              </w:rPr>
            </w:pPr>
          </w:p>
        </w:tc>
        <w:tc>
          <w:tcPr>
            <w:tcW w:w="577" w:type="pct"/>
            <w:vMerge w:val="continue"/>
            <w:tcBorders>
              <w:top w:val="single" w:color="auto" w:sz="12" w:space="0"/>
              <w:left w:val="nil"/>
              <w:bottom w:val="single" w:color="000000" w:sz="4" w:space="0"/>
              <w:right w:val="single" w:color="000000" w:sz="4" w:space="0"/>
            </w:tcBorders>
            <w:vAlign w:val="center"/>
          </w:tcPr>
          <w:p>
            <w:pPr>
              <w:widowControl/>
              <w:adjustRightInd w:val="0"/>
              <w:snapToGrid w:val="0"/>
              <w:jc w:val="center"/>
              <w:rPr>
                <w:sz w:val="18"/>
                <w:szCs w:val="18"/>
              </w:rPr>
            </w:pPr>
          </w:p>
        </w:tc>
        <w:tc>
          <w:tcPr>
            <w:tcW w:w="351" w:type="pct"/>
            <w:vMerge w:val="continue"/>
            <w:tcBorders>
              <w:top w:val="single" w:color="auto" w:sz="12" w:space="0"/>
              <w:left w:val="nil"/>
              <w:bottom w:val="single" w:color="000000" w:sz="4" w:space="0"/>
              <w:right w:val="single" w:color="000000" w:sz="4" w:space="0"/>
            </w:tcBorders>
            <w:vAlign w:val="center"/>
          </w:tcPr>
          <w:p>
            <w:pPr>
              <w:widowControl/>
              <w:adjustRightInd w:val="0"/>
              <w:snapToGrid w:val="0"/>
              <w:jc w:val="center"/>
              <w:rPr>
                <w:sz w:val="18"/>
                <w:szCs w:val="18"/>
              </w:rPr>
            </w:pPr>
          </w:p>
        </w:tc>
        <w:tc>
          <w:tcPr>
            <w:tcW w:w="284" w:type="pct"/>
            <w:vMerge w:val="continue"/>
            <w:tcBorders>
              <w:top w:val="single" w:color="auto" w:sz="12" w:space="0"/>
              <w:left w:val="nil"/>
              <w:bottom w:val="single" w:color="000000" w:sz="4" w:space="0"/>
              <w:right w:val="single" w:color="000000" w:sz="4" w:space="0"/>
            </w:tcBorders>
            <w:vAlign w:val="center"/>
          </w:tcPr>
          <w:p>
            <w:pPr>
              <w:widowControl/>
              <w:adjustRightInd w:val="0"/>
              <w:snapToGrid w:val="0"/>
              <w:jc w:val="center"/>
              <w:rPr>
                <w:sz w:val="18"/>
                <w:szCs w:val="18"/>
              </w:rPr>
            </w:pPr>
          </w:p>
        </w:tc>
        <w:tc>
          <w:tcPr>
            <w:tcW w:w="391" w:type="pct"/>
            <w:vMerge w:val="continue"/>
            <w:tcBorders>
              <w:top w:val="single" w:color="auto" w:sz="12" w:space="0"/>
              <w:left w:val="nil"/>
              <w:bottom w:val="single" w:color="000000" w:sz="4" w:space="0"/>
              <w:right w:val="single" w:color="000000" w:sz="4" w:space="0"/>
            </w:tcBorders>
            <w:vAlign w:val="center"/>
          </w:tcPr>
          <w:p>
            <w:pPr>
              <w:widowControl/>
              <w:adjustRightInd w:val="0"/>
              <w:snapToGrid w:val="0"/>
              <w:jc w:val="center"/>
              <w:rPr>
                <w:sz w:val="18"/>
                <w:szCs w:val="18"/>
              </w:rPr>
            </w:pPr>
          </w:p>
        </w:tc>
        <w:tc>
          <w:tcPr>
            <w:tcW w:w="2093"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标准名称</w:t>
            </w:r>
          </w:p>
        </w:tc>
        <w:tc>
          <w:tcPr>
            <w:tcW w:w="505"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浓度限值mg/m</w:t>
            </w:r>
            <w:r>
              <w:rPr>
                <w:position w:val="7"/>
                <w:sz w:val="18"/>
                <w:szCs w:val="18"/>
                <w:vertAlign w:val="superscript"/>
              </w:rPr>
              <w:t>3</w:t>
            </w:r>
          </w:p>
        </w:tc>
        <w:tc>
          <w:tcPr>
            <w:tcW w:w="651" w:type="pct"/>
            <w:vMerge w:val="continue"/>
            <w:tcBorders>
              <w:top w:val="single" w:color="auto" w:sz="12" w:space="0"/>
              <w:left w:val="nil"/>
              <w:bottom w:val="single" w:color="000000" w:sz="4" w:space="0"/>
              <w:right w:val="nil"/>
            </w:tcBorders>
            <w:vAlign w:val="center"/>
          </w:tcPr>
          <w:p>
            <w:pPr>
              <w:widowControl/>
              <w:adjustRightInd w:val="0"/>
              <w:snapToGrid w:val="0"/>
              <w:jc w:val="center"/>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48" w:type="pct"/>
            <w:vMerge w:val="restart"/>
            <w:tcBorders>
              <w:top w:val="single" w:color="000000" w:sz="4" w:space="0"/>
              <w:left w:val="nil"/>
              <w:right w:val="single" w:color="000000" w:sz="4" w:space="0"/>
            </w:tcBorders>
            <w:vAlign w:val="center"/>
          </w:tcPr>
          <w:p>
            <w:pPr>
              <w:pStyle w:val="26"/>
              <w:adjustRightInd w:val="0"/>
              <w:snapToGrid w:val="0"/>
              <w:jc w:val="center"/>
              <w:rPr>
                <w:bCs/>
                <w:sz w:val="18"/>
                <w:szCs w:val="18"/>
              </w:rPr>
            </w:pPr>
            <w:r>
              <w:rPr>
                <w:bCs/>
                <w:sz w:val="18"/>
                <w:szCs w:val="18"/>
              </w:rPr>
              <w:t>1</w:t>
            </w:r>
          </w:p>
        </w:tc>
        <w:tc>
          <w:tcPr>
            <w:tcW w:w="577" w:type="pct"/>
            <w:vMerge w:val="restart"/>
            <w:tcBorders>
              <w:top w:val="single" w:color="000000" w:sz="4" w:space="0"/>
              <w:left w:val="nil"/>
              <w:right w:val="single" w:color="000000" w:sz="4" w:space="0"/>
            </w:tcBorders>
            <w:vAlign w:val="center"/>
          </w:tcPr>
          <w:p>
            <w:pPr>
              <w:pStyle w:val="26"/>
              <w:adjustRightInd w:val="0"/>
              <w:snapToGrid w:val="0"/>
              <w:jc w:val="center"/>
              <w:rPr>
                <w:sz w:val="18"/>
                <w:szCs w:val="18"/>
              </w:rPr>
            </w:pPr>
            <w:r>
              <w:rPr>
                <w:sz w:val="18"/>
                <w:szCs w:val="18"/>
              </w:rPr>
              <w:t>沥青烟气</w:t>
            </w:r>
          </w:p>
        </w:tc>
        <w:tc>
          <w:tcPr>
            <w:tcW w:w="351" w:type="pct"/>
            <w:vMerge w:val="restart"/>
            <w:tcBorders>
              <w:top w:val="single" w:color="000000" w:sz="4" w:space="0"/>
              <w:left w:val="nil"/>
              <w:right w:val="single" w:color="000000" w:sz="4" w:space="0"/>
            </w:tcBorders>
            <w:vAlign w:val="center"/>
          </w:tcPr>
          <w:p>
            <w:pPr>
              <w:pStyle w:val="26"/>
              <w:adjustRightInd w:val="0"/>
              <w:snapToGrid w:val="0"/>
              <w:jc w:val="center"/>
              <w:rPr>
                <w:sz w:val="18"/>
                <w:szCs w:val="18"/>
              </w:rPr>
            </w:pPr>
            <w:r>
              <w:rPr>
                <w:sz w:val="18"/>
                <w:szCs w:val="18"/>
              </w:rPr>
              <w:t>无组织排放</w:t>
            </w:r>
          </w:p>
        </w:tc>
        <w:tc>
          <w:tcPr>
            <w:tcW w:w="284"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沥青烟</w:t>
            </w:r>
          </w:p>
        </w:tc>
        <w:tc>
          <w:tcPr>
            <w:tcW w:w="391"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w:t>
            </w:r>
          </w:p>
        </w:tc>
        <w:tc>
          <w:tcPr>
            <w:tcW w:w="2093"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执行《大气污染物综合排放标准》（GB16297-1996）中的二级标准</w:t>
            </w:r>
          </w:p>
        </w:tc>
        <w:tc>
          <w:tcPr>
            <w:tcW w:w="505"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rFonts w:hint="eastAsia"/>
                <w:bCs/>
                <w:sz w:val="18"/>
                <w:szCs w:val="18"/>
              </w:rPr>
              <w:t>/</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bCs/>
                <w:sz w:val="18"/>
                <w:szCs w:val="18"/>
              </w:rPr>
            </w:pPr>
            <w:r>
              <w:rPr>
                <w:bCs/>
                <w:sz w:val="18"/>
                <w:szCs w:val="18"/>
              </w:rPr>
              <w:t xml:space="preserve">0.084 </w:t>
            </w:r>
            <w:r>
              <w:rPr>
                <w:sz w:val="18"/>
                <w:szCs w:val="18"/>
              </w:rPr>
              <w:t>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48" w:type="pct"/>
            <w:vMerge w:val="continue"/>
            <w:tcBorders>
              <w:left w:val="nil"/>
              <w:bottom w:val="single" w:color="000000" w:sz="4" w:space="0"/>
              <w:right w:val="single" w:color="000000" w:sz="4" w:space="0"/>
            </w:tcBorders>
            <w:vAlign w:val="center"/>
          </w:tcPr>
          <w:p>
            <w:pPr>
              <w:pStyle w:val="26"/>
              <w:adjustRightInd w:val="0"/>
              <w:snapToGrid w:val="0"/>
              <w:jc w:val="center"/>
              <w:rPr>
                <w:bCs/>
                <w:sz w:val="18"/>
                <w:szCs w:val="18"/>
              </w:rPr>
            </w:pPr>
          </w:p>
        </w:tc>
        <w:tc>
          <w:tcPr>
            <w:tcW w:w="577" w:type="pct"/>
            <w:vMerge w:val="continue"/>
            <w:tcBorders>
              <w:left w:val="nil"/>
              <w:bottom w:val="single" w:color="auto" w:sz="4" w:space="0"/>
              <w:right w:val="single" w:color="000000" w:sz="4" w:space="0"/>
            </w:tcBorders>
            <w:vAlign w:val="center"/>
          </w:tcPr>
          <w:p>
            <w:pPr>
              <w:pStyle w:val="26"/>
              <w:adjustRightInd w:val="0"/>
              <w:snapToGrid w:val="0"/>
              <w:jc w:val="center"/>
              <w:rPr>
                <w:sz w:val="18"/>
                <w:szCs w:val="18"/>
              </w:rPr>
            </w:pPr>
          </w:p>
        </w:tc>
        <w:tc>
          <w:tcPr>
            <w:tcW w:w="351" w:type="pct"/>
            <w:vMerge w:val="continue"/>
            <w:tcBorders>
              <w:left w:val="nil"/>
              <w:bottom w:val="single" w:color="auto" w:sz="4" w:space="0"/>
              <w:right w:val="single" w:color="000000" w:sz="4" w:space="0"/>
            </w:tcBorders>
            <w:vAlign w:val="center"/>
          </w:tcPr>
          <w:p>
            <w:pPr>
              <w:pStyle w:val="26"/>
              <w:adjustRightInd w:val="0"/>
              <w:snapToGrid w:val="0"/>
              <w:jc w:val="center"/>
              <w:rPr>
                <w:sz w:val="18"/>
                <w:szCs w:val="18"/>
              </w:rPr>
            </w:pPr>
          </w:p>
        </w:tc>
        <w:tc>
          <w:tcPr>
            <w:tcW w:w="284"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苯并[a]芘</w:t>
            </w:r>
          </w:p>
        </w:tc>
        <w:tc>
          <w:tcPr>
            <w:tcW w:w="391"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w:t>
            </w:r>
          </w:p>
        </w:tc>
        <w:tc>
          <w:tcPr>
            <w:tcW w:w="2093"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执行《大气污染物综合排放标准》（GB16297-1996）中的二级标准</w:t>
            </w:r>
          </w:p>
        </w:tc>
        <w:tc>
          <w:tcPr>
            <w:tcW w:w="505"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rFonts w:hint="eastAsia"/>
                <w:sz w:val="18"/>
                <w:szCs w:val="18"/>
              </w:rPr>
              <w:t>0</w:t>
            </w:r>
            <w:r>
              <w:rPr>
                <w:sz w:val="18"/>
                <w:szCs w:val="18"/>
              </w:rPr>
              <w:t>.008μg/m</w:t>
            </w:r>
            <w:r>
              <w:rPr>
                <w:sz w:val="18"/>
                <w:szCs w:val="18"/>
                <w:vertAlign w:val="superscript"/>
              </w:rPr>
              <w:t>3</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bCs/>
                <w:sz w:val="18"/>
                <w:szCs w:val="18"/>
              </w:rPr>
            </w:pPr>
            <w:r>
              <w:rPr>
                <w:bCs/>
                <w:sz w:val="18"/>
                <w:szCs w:val="18"/>
              </w:rPr>
              <w:t>0.084</w:t>
            </w:r>
            <w:r>
              <w:rPr>
                <w:sz w:val="18"/>
                <w:szCs w:val="18"/>
              </w:rPr>
              <w:t>×10</w:t>
            </w:r>
            <w:r>
              <w:rPr>
                <w:sz w:val="18"/>
                <w:szCs w:val="18"/>
                <w:vertAlign w:val="superscript"/>
              </w:rPr>
              <w:t>-3</w:t>
            </w:r>
            <w:r>
              <w:rPr>
                <w:sz w:val="18"/>
                <w:szCs w:val="18"/>
              </w:rPr>
              <w:t xml:space="preserve"> 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48" w:type="pct"/>
            <w:tcBorders>
              <w:left w:val="nil"/>
              <w:bottom w:val="single" w:color="000000" w:sz="4" w:space="0"/>
              <w:right w:val="single" w:color="000000" w:sz="4" w:space="0"/>
            </w:tcBorders>
            <w:vAlign w:val="center"/>
          </w:tcPr>
          <w:p>
            <w:pPr>
              <w:pStyle w:val="26"/>
              <w:adjustRightInd w:val="0"/>
              <w:snapToGrid w:val="0"/>
              <w:jc w:val="center"/>
              <w:rPr>
                <w:bCs/>
                <w:sz w:val="18"/>
                <w:szCs w:val="18"/>
              </w:rPr>
            </w:pPr>
            <w:r>
              <w:rPr>
                <w:bCs/>
                <w:sz w:val="18"/>
                <w:szCs w:val="18"/>
              </w:rPr>
              <w:t>2</w:t>
            </w:r>
          </w:p>
        </w:tc>
        <w:tc>
          <w:tcPr>
            <w:tcW w:w="577" w:type="pct"/>
            <w:tcBorders>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投料运输</w:t>
            </w:r>
            <w:r>
              <w:rPr>
                <w:rFonts w:hint="eastAsia"/>
                <w:sz w:val="18"/>
                <w:szCs w:val="18"/>
              </w:rPr>
              <w:t>、逸散粉尘</w:t>
            </w:r>
          </w:p>
        </w:tc>
        <w:tc>
          <w:tcPr>
            <w:tcW w:w="351" w:type="pct"/>
            <w:tcBorders>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粉尘无组织排放</w:t>
            </w:r>
          </w:p>
        </w:tc>
        <w:tc>
          <w:tcPr>
            <w:tcW w:w="284"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TSP</w:t>
            </w:r>
          </w:p>
        </w:tc>
        <w:tc>
          <w:tcPr>
            <w:tcW w:w="391"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w:t>
            </w:r>
          </w:p>
        </w:tc>
        <w:tc>
          <w:tcPr>
            <w:tcW w:w="2093"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执行《大气污染物综合排放标准》（GB16297-1996）中新污染源大气污染物排放限制要求</w:t>
            </w:r>
          </w:p>
        </w:tc>
        <w:tc>
          <w:tcPr>
            <w:tcW w:w="505"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bCs/>
                <w:sz w:val="18"/>
                <w:szCs w:val="18"/>
              </w:rPr>
              <w:t>1.0</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sz w:val="18"/>
                <w:szCs w:val="18"/>
              </w:rPr>
            </w:pPr>
            <w:r>
              <w:rPr>
                <w:bCs/>
                <w:sz w:val="18"/>
                <w:szCs w:val="18"/>
              </w:rPr>
              <w:t>0.0168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48"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bCs/>
                <w:sz w:val="18"/>
                <w:szCs w:val="18"/>
              </w:rPr>
              <w:t>3</w:t>
            </w:r>
          </w:p>
        </w:tc>
        <w:tc>
          <w:tcPr>
            <w:tcW w:w="577"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运输车辆扬尘</w:t>
            </w:r>
          </w:p>
        </w:tc>
        <w:tc>
          <w:tcPr>
            <w:tcW w:w="351"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粉尘无组织排放</w:t>
            </w:r>
          </w:p>
        </w:tc>
        <w:tc>
          <w:tcPr>
            <w:tcW w:w="284"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TSP</w:t>
            </w:r>
          </w:p>
        </w:tc>
        <w:tc>
          <w:tcPr>
            <w:tcW w:w="391" w:type="pct"/>
            <w:tcBorders>
              <w:top w:val="single" w:color="000000" w:sz="4" w:space="0"/>
              <w:left w:val="nil"/>
              <w:bottom w:val="single" w:color="auto" w:sz="4" w:space="0"/>
              <w:right w:val="single" w:color="000000" w:sz="4" w:space="0"/>
            </w:tcBorders>
            <w:vAlign w:val="center"/>
          </w:tcPr>
          <w:p>
            <w:pPr>
              <w:pStyle w:val="26"/>
              <w:adjustRightInd w:val="0"/>
              <w:snapToGrid w:val="0"/>
              <w:jc w:val="center"/>
              <w:rPr>
                <w:sz w:val="18"/>
                <w:szCs w:val="18"/>
              </w:rPr>
            </w:pPr>
            <w:r>
              <w:rPr>
                <w:sz w:val="18"/>
                <w:szCs w:val="18"/>
              </w:rPr>
              <w:t>/</w:t>
            </w:r>
          </w:p>
        </w:tc>
        <w:tc>
          <w:tcPr>
            <w:tcW w:w="2093"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sz w:val="18"/>
                <w:szCs w:val="18"/>
              </w:rPr>
            </w:pPr>
            <w:r>
              <w:rPr>
                <w:sz w:val="18"/>
                <w:szCs w:val="18"/>
              </w:rPr>
              <w:t>执行《大气污染物综合排放标准》（GB16297-1996）中新污染源大气污染物排放限制要求</w:t>
            </w:r>
          </w:p>
        </w:tc>
        <w:tc>
          <w:tcPr>
            <w:tcW w:w="505" w:type="pct"/>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bCs/>
                <w:sz w:val="18"/>
                <w:szCs w:val="18"/>
              </w:rPr>
              <w:t>1.0</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bCs/>
                <w:sz w:val="18"/>
                <w:szCs w:val="18"/>
              </w:rPr>
            </w:pPr>
            <w:r>
              <w:rPr>
                <w:bCs/>
                <w:sz w:val="18"/>
                <w:szCs w:val="18"/>
              </w:rPr>
              <w:t>0.242 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00" w:type="pct"/>
            <w:gridSpan w:val="8"/>
            <w:tcBorders>
              <w:top w:val="single" w:color="000000" w:sz="4" w:space="0"/>
              <w:left w:val="nil"/>
              <w:bottom w:val="single" w:color="000000" w:sz="4" w:space="0"/>
              <w:right w:val="nil"/>
            </w:tcBorders>
            <w:vAlign w:val="center"/>
          </w:tcPr>
          <w:p>
            <w:pPr>
              <w:pStyle w:val="26"/>
              <w:adjustRightInd w:val="0"/>
              <w:snapToGrid w:val="0"/>
              <w:jc w:val="center"/>
              <w:rPr>
                <w:sz w:val="18"/>
                <w:szCs w:val="18"/>
              </w:rPr>
            </w:pPr>
            <w:r>
              <w:rPr>
                <w:sz w:val="18"/>
                <w:szCs w:val="18"/>
              </w:rPr>
              <w:t>无组织排放总计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360" w:type="pct"/>
            <w:gridSpan w:val="4"/>
            <w:vMerge w:val="restart"/>
            <w:tcBorders>
              <w:top w:val="single" w:color="000000" w:sz="4" w:space="0"/>
              <w:left w:val="nil"/>
              <w:right w:val="single" w:color="000000" w:sz="4" w:space="0"/>
            </w:tcBorders>
            <w:vAlign w:val="center"/>
          </w:tcPr>
          <w:p>
            <w:pPr>
              <w:pStyle w:val="26"/>
              <w:adjustRightInd w:val="0"/>
              <w:snapToGrid w:val="0"/>
              <w:jc w:val="center"/>
              <w:rPr>
                <w:bCs/>
                <w:sz w:val="18"/>
                <w:szCs w:val="18"/>
              </w:rPr>
            </w:pPr>
            <w:r>
              <w:rPr>
                <w:bCs/>
                <w:sz w:val="18"/>
                <w:szCs w:val="18"/>
              </w:rPr>
              <w:t>无组织排放总计</w:t>
            </w:r>
          </w:p>
        </w:tc>
        <w:tc>
          <w:tcPr>
            <w:tcW w:w="2989" w:type="pct"/>
            <w:gridSpan w:val="3"/>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bCs/>
                <w:sz w:val="18"/>
                <w:szCs w:val="18"/>
              </w:rPr>
              <w:t>TSP</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sz w:val="18"/>
                <w:szCs w:val="18"/>
              </w:rPr>
            </w:pPr>
            <w:r>
              <w:rPr>
                <w:rFonts w:hint="eastAsia"/>
                <w:sz w:val="18"/>
                <w:szCs w:val="18"/>
              </w:rPr>
              <w:t>1</w:t>
            </w:r>
            <w:r>
              <w:rPr>
                <w:sz w:val="18"/>
                <w:szCs w:val="18"/>
              </w:rPr>
              <w:t>7.042 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360" w:type="pct"/>
            <w:gridSpan w:val="4"/>
            <w:vMerge w:val="continue"/>
            <w:tcBorders>
              <w:left w:val="nil"/>
              <w:right w:val="single" w:color="000000" w:sz="4" w:space="0"/>
            </w:tcBorders>
            <w:vAlign w:val="center"/>
          </w:tcPr>
          <w:p>
            <w:pPr>
              <w:pStyle w:val="26"/>
              <w:adjustRightInd w:val="0"/>
              <w:snapToGrid w:val="0"/>
              <w:jc w:val="center"/>
              <w:rPr>
                <w:bCs/>
                <w:sz w:val="18"/>
                <w:szCs w:val="18"/>
              </w:rPr>
            </w:pPr>
          </w:p>
        </w:tc>
        <w:tc>
          <w:tcPr>
            <w:tcW w:w="2989" w:type="pct"/>
            <w:gridSpan w:val="3"/>
            <w:tcBorders>
              <w:top w:val="single" w:color="000000" w:sz="4" w:space="0"/>
              <w:left w:val="nil"/>
              <w:bottom w:val="single" w:color="000000" w:sz="4" w:space="0"/>
              <w:right w:val="single" w:color="000000" w:sz="4" w:space="0"/>
            </w:tcBorders>
            <w:vAlign w:val="center"/>
          </w:tcPr>
          <w:p>
            <w:pPr>
              <w:pStyle w:val="26"/>
              <w:adjustRightInd w:val="0"/>
              <w:snapToGrid w:val="0"/>
              <w:jc w:val="center"/>
              <w:rPr>
                <w:bCs/>
                <w:sz w:val="18"/>
                <w:szCs w:val="18"/>
              </w:rPr>
            </w:pPr>
            <w:r>
              <w:rPr>
                <w:sz w:val="18"/>
                <w:szCs w:val="18"/>
              </w:rPr>
              <w:t>沥青烟</w:t>
            </w:r>
          </w:p>
        </w:tc>
        <w:tc>
          <w:tcPr>
            <w:tcW w:w="651" w:type="pct"/>
            <w:tcBorders>
              <w:top w:val="single" w:color="000000" w:sz="4" w:space="0"/>
              <w:left w:val="nil"/>
              <w:bottom w:val="single" w:color="000000" w:sz="4" w:space="0"/>
              <w:right w:val="nil"/>
            </w:tcBorders>
            <w:vAlign w:val="center"/>
          </w:tcPr>
          <w:p>
            <w:pPr>
              <w:pStyle w:val="26"/>
              <w:adjustRightInd w:val="0"/>
              <w:snapToGrid w:val="0"/>
              <w:jc w:val="center"/>
              <w:rPr>
                <w:sz w:val="18"/>
                <w:szCs w:val="18"/>
              </w:rPr>
            </w:pPr>
            <w:r>
              <w:rPr>
                <w:bCs/>
                <w:sz w:val="18"/>
                <w:szCs w:val="18"/>
              </w:rPr>
              <w:t xml:space="preserve">0.084 </w:t>
            </w:r>
            <w:r>
              <w:rPr>
                <w:sz w:val="18"/>
                <w:szCs w:val="18"/>
              </w:rPr>
              <w:t>kg/a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jc w:val="center"/>
        </w:trPr>
        <w:tc>
          <w:tcPr>
            <w:tcW w:w="1360" w:type="pct"/>
            <w:gridSpan w:val="4"/>
            <w:vMerge w:val="continue"/>
            <w:tcBorders>
              <w:left w:val="nil"/>
              <w:bottom w:val="single" w:color="auto" w:sz="12" w:space="0"/>
              <w:right w:val="single" w:color="000000" w:sz="4" w:space="0"/>
            </w:tcBorders>
            <w:vAlign w:val="center"/>
          </w:tcPr>
          <w:p>
            <w:pPr>
              <w:pStyle w:val="26"/>
              <w:adjustRightInd w:val="0"/>
              <w:snapToGrid w:val="0"/>
              <w:jc w:val="center"/>
              <w:rPr>
                <w:bCs/>
                <w:sz w:val="18"/>
                <w:szCs w:val="18"/>
              </w:rPr>
            </w:pPr>
          </w:p>
        </w:tc>
        <w:tc>
          <w:tcPr>
            <w:tcW w:w="2989" w:type="pct"/>
            <w:gridSpan w:val="3"/>
            <w:tcBorders>
              <w:top w:val="single" w:color="000000" w:sz="4" w:space="0"/>
              <w:left w:val="nil"/>
              <w:bottom w:val="single" w:color="auto" w:sz="12" w:space="0"/>
              <w:right w:val="single" w:color="000000" w:sz="4" w:space="0"/>
            </w:tcBorders>
            <w:vAlign w:val="center"/>
          </w:tcPr>
          <w:p>
            <w:pPr>
              <w:pStyle w:val="26"/>
              <w:adjustRightInd w:val="0"/>
              <w:snapToGrid w:val="0"/>
              <w:jc w:val="center"/>
              <w:rPr>
                <w:bCs/>
                <w:sz w:val="18"/>
                <w:szCs w:val="18"/>
              </w:rPr>
            </w:pPr>
            <w:r>
              <w:rPr>
                <w:sz w:val="18"/>
                <w:szCs w:val="18"/>
              </w:rPr>
              <w:t>苯并[a]芘</w:t>
            </w:r>
          </w:p>
        </w:tc>
        <w:tc>
          <w:tcPr>
            <w:tcW w:w="651" w:type="pct"/>
            <w:tcBorders>
              <w:top w:val="single" w:color="000000" w:sz="4" w:space="0"/>
              <w:left w:val="nil"/>
              <w:bottom w:val="single" w:color="auto" w:sz="12" w:space="0"/>
              <w:right w:val="nil"/>
            </w:tcBorders>
            <w:vAlign w:val="center"/>
          </w:tcPr>
          <w:p>
            <w:pPr>
              <w:pStyle w:val="26"/>
              <w:adjustRightInd w:val="0"/>
              <w:snapToGrid w:val="0"/>
              <w:jc w:val="center"/>
              <w:rPr>
                <w:sz w:val="18"/>
                <w:szCs w:val="18"/>
              </w:rPr>
            </w:pPr>
            <w:r>
              <w:rPr>
                <w:bCs/>
                <w:sz w:val="18"/>
                <w:szCs w:val="18"/>
              </w:rPr>
              <w:t>0.084</w:t>
            </w:r>
            <w:r>
              <w:rPr>
                <w:sz w:val="18"/>
                <w:szCs w:val="18"/>
              </w:rPr>
              <w:t>×10</w:t>
            </w:r>
            <w:r>
              <w:rPr>
                <w:sz w:val="18"/>
                <w:szCs w:val="18"/>
                <w:vertAlign w:val="superscript"/>
              </w:rPr>
              <w:t>-3</w:t>
            </w:r>
            <w:r>
              <w:rPr>
                <w:sz w:val="18"/>
                <w:szCs w:val="18"/>
              </w:rPr>
              <w:t xml:space="preserve"> kg/a</w:t>
            </w:r>
          </w:p>
        </w:tc>
      </w:tr>
    </w:tbl>
    <w:p>
      <w:pPr>
        <w:pStyle w:val="24"/>
        <w:snapToGrid w:val="0"/>
        <w:spacing w:line="360" w:lineRule="auto"/>
        <w:ind w:firstLine="420" w:firstLineChars="200"/>
        <w:rPr>
          <w:sz w:val="21"/>
        </w:rPr>
      </w:pPr>
      <w:r>
        <w:rPr>
          <w:sz w:val="21"/>
        </w:rPr>
        <w:t>本项目大气污染物年排放核算情况详见下表。</w:t>
      </w:r>
    </w:p>
    <w:p>
      <w:pPr>
        <w:pStyle w:val="24"/>
        <w:snapToGrid w:val="0"/>
        <w:spacing w:line="360" w:lineRule="auto"/>
        <w:ind w:firstLine="0"/>
        <w:jc w:val="center"/>
        <w:rPr>
          <w:sz w:val="21"/>
        </w:rPr>
      </w:pPr>
      <w:r>
        <w:rPr>
          <w:sz w:val="21"/>
        </w:rPr>
        <w:t>表1</w:t>
      </w:r>
      <w:r>
        <w:rPr>
          <w:rFonts w:hint="eastAsia"/>
          <w:sz w:val="21"/>
          <w:lang w:val="en-US" w:eastAsia="zh-CN"/>
        </w:rPr>
        <w:t>9</w:t>
      </w:r>
      <w:r>
        <w:rPr>
          <w:sz w:val="21"/>
        </w:rPr>
        <w:t xml:space="preserve">  大气污染物年排放量核算表</w:t>
      </w:r>
    </w:p>
    <w:tbl>
      <w:tblPr>
        <w:tblStyle w:val="1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2347"/>
        <w:gridCol w:w="45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sz w:val="18"/>
                <w:szCs w:val="18"/>
              </w:rPr>
              <w:t>序号</w:t>
            </w:r>
          </w:p>
        </w:tc>
        <w:tc>
          <w:tcPr>
            <w:tcW w:w="1346" w:type="pct"/>
            <w:vAlign w:val="center"/>
          </w:tcPr>
          <w:p>
            <w:pPr>
              <w:pStyle w:val="24"/>
              <w:snapToGrid w:val="0"/>
              <w:spacing w:line="240" w:lineRule="auto"/>
              <w:ind w:firstLine="0"/>
              <w:jc w:val="center"/>
              <w:rPr>
                <w:sz w:val="18"/>
                <w:szCs w:val="18"/>
              </w:rPr>
            </w:pPr>
            <w:r>
              <w:rPr>
                <w:sz w:val="18"/>
                <w:szCs w:val="18"/>
              </w:rPr>
              <w:t>污染物</w:t>
            </w:r>
          </w:p>
        </w:tc>
        <w:tc>
          <w:tcPr>
            <w:tcW w:w="2628" w:type="pct"/>
            <w:vAlign w:val="center"/>
          </w:tcPr>
          <w:p>
            <w:pPr>
              <w:pStyle w:val="24"/>
              <w:snapToGrid w:val="0"/>
              <w:spacing w:line="240" w:lineRule="auto"/>
              <w:ind w:firstLine="0"/>
              <w:jc w:val="center"/>
              <w:rPr>
                <w:sz w:val="18"/>
                <w:szCs w:val="18"/>
              </w:rPr>
            </w:pPr>
            <w:r>
              <w:rPr>
                <w:sz w:val="18"/>
                <w:szCs w:val="18"/>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sz w:val="18"/>
                <w:szCs w:val="18"/>
              </w:rPr>
              <w:t>1</w:t>
            </w:r>
          </w:p>
        </w:tc>
        <w:tc>
          <w:tcPr>
            <w:tcW w:w="1346" w:type="pct"/>
            <w:vAlign w:val="center"/>
          </w:tcPr>
          <w:p>
            <w:pPr>
              <w:pStyle w:val="24"/>
              <w:snapToGrid w:val="0"/>
              <w:spacing w:line="240" w:lineRule="auto"/>
              <w:ind w:firstLine="0"/>
              <w:jc w:val="center"/>
              <w:rPr>
                <w:sz w:val="18"/>
                <w:szCs w:val="18"/>
              </w:rPr>
            </w:pPr>
            <w:r>
              <w:rPr>
                <w:sz w:val="18"/>
                <w:szCs w:val="18"/>
              </w:rPr>
              <w:t>TSP</w:t>
            </w:r>
          </w:p>
        </w:tc>
        <w:tc>
          <w:tcPr>
            <w:tcW w:w="2628" w:type="pct"/>
            <w:vAlign w:val="center"/>
          </w:tcPr>
          <w:p>
            <w:pPr>
              <w:pStyle w:val="24"/>
              <w:autoSpaceDE w:val="0"/>
              <w:snapToGrid w:val="0"/>
              <w:spacing w:line="240" w:lineRule="auto"/>
              <w:ind w:firstLine="0"/>
              <w:jc w:val="center"/>
              <w:rPr>
                <w:sz w:val="18"/>
                <w:szCs w:val="18"/>
              </w:rPr>
            </w:pPr>
            <w:r>
              <w:rPr>
                <w:rFonts w:hint="eastAsia"/>
                <w:sz w:val="18"/>
                <w:szCs w:val="18"/>
              </w:rPr>
              <w:t>3</w:t>
            </w:r>
            <w:r>
              <w:rPr>
                <w:sz w:val="18"/>
                <w:szCs w:val="18"/>
              </w:rPr>
              <w:t>1.20</w:t>
            </w:r>
            <w:r>
              <w:rPr>
                <w:rFonts w:hint="eastAsia"/>
                <w:sz w:val="18"/>
                <w:szCs w:val="18"/>
                <w:lang w:val="en-US" w:eastAsia="zh-CN"/>
              </w:rPr>
              <w:t>7</w:t>
            </w:r>
            <w:r>
              <w:rPr>
                <w:sz w:val="18"/>
                <w:szCs w:val="18"/>
              </w:rPr>
              <w:t xml:space="preserve">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sz w:val="18"/>
                <w:szCs w:val="18"/>
              </w:rPr>
              <w:t>2</w:t>
            </w:r>
          </w:p>
        </w:tc>
        <w:tc>
          <w:tcPr>
            <w:tcW w:w="1346" w:type="pct"/>
            <w:vAlign w:val="center"/>
          </w:tcPr>
          <w:p>
            <w:pPr>
              <w:pStyle w:val="24"/>
              <w:snapToGrid w:val="0"/>
              <w:spacing w:line="240" w:lineRule="auto"/>
              <w:ind w:firstLine="0"/>
              <w:jc w:val="center"/>
              <w:rPr>
                <w:sz w:val="18"/>
                <w:szCs w:val="18"/>
              </w:rPr>
            </w:pPr>
            <w:r>
              <w:rPr>
                <w:sz w:val="18"/>
                <w:szCs w:val="18"/>
              </w:rPr>
              <w:t>SO</w:t>
            </w:r>
            <w:r>
              <w:rPr>
                <w:sz w:val="18"/>
                <w:szCs w:val="18"/>
                <w:vertAlign w:val="subscript"/>
              </w:rPr>
              <w:t>2</w:t>
            </w:r>
          </w:p>
        </w:tc>
        <w:tc>
          <w:tcPr>
            <w:tcW w:w="2628" w:type="pct"/>
            <w:vAlign w:val="center"/>
          </w:tcPr>
          <w:p>
            <w:pPr>
              <w:pStyle w:val="24"/>
              <w:autoSpaceDE w:val="0"/>
              <w:snapToGrid w:val="0"/>
              <w:spacing w:line="240" w:lineRule="auto"/>
              <w:ind w:firstLine="0"/>
              <w:jc w:val="center"/>
              <w:rPr>
                <w:sz w:val="18"/>
                <w:szCs w:val="18"/>
              </w:rPr>
            </w:pPr>
            <w:r>
              <w:rPr>
                <w:rFonts w:hint="eastAsia"/>
                <w:kern w:val="0"/>
                <w:sz w:val="18"/>
                <w:szCs w:val="18"/>
              </w:rPr>
              <w:t>0</w:t>
            </w:r>
            <w:r>
              <w:rPr>
                <w:kern w:val="0"/>
                <w:sz w:val="18"/>
                <w:szCs w:val="18"/>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sz w:val="18"/>
                <w:szCs w:val="18"/>
              </w:rPr>
              <w:t>3</w:t>
            </w:r>
          </w:p>
        </w:tc>
        <w:tc>
          <w:tcPr>
            <w:tcW w:w="1346" w:type="pct"/>
            <w:vAlign w:val="center"/>
          </w:tcPr>
          <w:p>
            <w:pPr>
              <w:pStyle w:val="24"/>
              <w:snapToGrid w:val="0"/>
              <w:spacing w:line="240" w:lineRule="auto"/>
              <w:ind w:firstLine="0"/>
              <w:jc w:val="center"/>
              <w:rPr>
                <w:sz w:val="18"/>
                <w:szCs w:val="18"/>
              </w:rPr>
            </w:pPr>
            <w:r>
              <w:rPr>
                <w:sz w:val="18"/>
                <w:szCs w:val="18"/>
              </w:rPr>
              <w:t>NO</w:t>
            </w:r>
            <w:r>
              <w:rPr>
                <w:sz w:val="18"/>
                <w:szCs w:val="18"/>
                <w:vertAlign w:val="subscript"/>
              </w:rPr>
              <w:t>X</w:t>
            </w:r>
          </w:p>
        </w:tc>
        <w:tc>
          <w:tcPr>
            <w:tcW w:w="2628" w:type="pct"/>
            <w:vAlign w:val="center"/>
          </w:tcPr>
          <w:p>
            <w:pPr>
              <w:pStyle w:val="24"/>
              <w:autoSpaceDE w:val="0"/>
              <w:snapToGrid w:val="0"/>
              <w:spacing w:line="240" w:lineRule="auto"/>
              <w:ind w:firstLine="0"/>
              <w:jc w:val="center"/>
              <w:rPr>
                <w:sz w:val="18"/>
                <w:szCs w:val="18"/>
              </w:rPr>
            </w:pPr>
            <w:r>
              <w:rPr>
                <w:rFonts w:hint="eastAsia"/>
                <w:kern w:val="0"/>
                <w:sz w:val="18"/>
                <w:szCs w:val="18"/>
              </w:rPr>
              <w:t>0</w:t>
            </w:r>
            <w:r>
              <w:rPr>
                <w:kern w:val="0"/>
                <w:sz w:val="18"/>
                <w:szCs w:val="18"/>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rFonts w:hint="eastAsia"/>
                <w:sz w:val="18"/>
                <w:szCs w:val="18"/>
              </w:rPr>
              <w:t>4</w:t>
            </w:r>
          </w:p>
        </w:tc>
        <w:tc>
          <w:tcPr>
            <w:tcW w:w="1346" w:type="pct"/>
            <w:vAlign w:val="center"/>
          </w:tcPr>
          <w:p>
            <w:pPr>
              <w:pStyle w:val="24"/>
              <w:snapToGrid w:val="0"/>
              <w:spacing w:line="240" w:lineRule="auto"/>
              <w:ind w:firstLine="0"/>
              <w:jc w:val="center"/>
              <w:rPr>
                <w:sz w:val="18"/>
                <w:szCs w:val="18"/>
              </w:rPr>
            </w:pPr>
            <w:r>
              <w:rPr>
                <w:sz w:val="18"/>
                <w:szCs w:val="18"/>
              </w:rPr>
              <w:t>沥青烟</w:t>
            </w:r>
          </w:p>
        </w:tc>
        <w:tc>
          <w:tcPr>
            <w:tcW w:w="2628" w:type="pct"/>
            <w:vAlign w:val="center"/>
          </w:tcPr>
          <w:p>
            <w:pPr>
              <w:pStyle w:val="24"/>
              <w:autoSpaceDE w:val="0"/>
              <w:snapToGrid w:val="0"/>
              <w:spacing w:line="240" w:lineRule="auto"/>
              <w:ind w:firstLine="0"/>
              <w:jc w:val="center"/>
              <w:rPr>
                <w:sz w:val="18"/>
                <w:szCs w:val="18"/>
              </w:rPr>
            </w:pPr>
            <w:r>
              <w:rPr>
                <w:rFonts w:hint="eastAsia"/>
                <w:sz w:val="18"/>
                <w:szCs w:val="18"/>
              </w:rPr>
              <w:t>0</w:t>
            </w:r>
            <w:r>
              <w:rPr>
                <w:sz w:val="18"/>
                <w:szCs w:val="18"/>
              </w:rPr>
              <w:t>.562 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6" w:type="pct"/>
            <w:vAlign w:val="center"/>
          </w:tcPr>
          <w:p>
            <w:pPr>
              <w:pStyle w:val="24"/>
              <w:snapToGrid w:val="0"/>
              <w:spacing w:line="240" w:lineRule="auto"/>
              <w:ind w:firstLine="0"/>
              <w:jc w:val="center"/>
              <w:rPr>
                <w:sz w:val="18"/>
                <w:szCs w:val="18"/>
              </w:rPr>
            </w:pPr>
            <w:r>
              <w:rPr>
                <w:rFonts w:hint="eastAsia"/>
                <w:sz w:val="18"/>
                <w:szCs w:val="18"/>
              </w:rPr>
              <w:t>5</w:t>
            </w:r>
          </w:p>
        </w:tc>
        <w:tc>
          <w:tcPr>
            <w:tcW w:w="1346" w:type="pct"/>
            <w:vAlign w:val="center"/>
          </w:tcPr>
          <w:p>
            <w:pPr>
              <w:pStyle w:val="24"/>
              <w:snapToGrid w:val="0"/>
              <w:spacing w:line="240" w:lineRule="auto"/>
              <w:ind w:firstLine="0"/>
              <w:jc w:val="center"/>
              <w:rPr>
                <w:sz w:val="18"/>
                <w:szCs w:val="18"/>
              </w:rPr>
            </w:pPr>
            <w:r>
              <w:rPr>
                <w:sz w:val="18"/>
                <w:szCs w:val="18"/>
              </w:rPr>
              <w:t>苯并[a]芘</w:t>
            </w:r>
          </w:p>
        </w:tc>
        <w:tc>
          <w:tcPr>
            <w:tcW w:w="2628" w:type="pct"/>
            <w:vAlign w:val="center"/>
          </w:tcPr>
          <w:p>
            <w:pPr>
              <w:pStyle w:val="24"/>
              <w:autoSpaceDE w:val="0"/>
              <w:snapToGrid w:val="0"/>
              <w:spacing w:line="240" w:lineRule="auto"/>
              <w:ind w:firstLine="0"/>
              <w:jc w:val="center"/>
              <w:rPr>
                <w:sz w:val="18"/>
                <w:szCs w:val="18"/>
              </w:rPr>
            </w:pPr>
            <w:r>
              <w:rPr>
                <w:rFonts w:hint="eastAsia"/>
                <w:sz w:val="18"/>
                <w:szCs w:val="18"/>
              </w:rPr>
              <w:t>0</w:t>
            </w:r>
            <w:r>
              <w:rPr>
                <w:sz w:val="18"/>
                <w:szCs w:val="18"/>
              </w:rPr>
              <w:t>.562×10</w:t>
            </w:r>
            <w:r>
              <w:rPr>
                <w:sz w:val="18"/>
                <w:szCs w:val="18"/>
                <w:vertAlign w:val="superscript"/>
              </w:rPr>
              <w:t>-3</w:t>
            </w:r>
            <w:r>
              <w:rPr>
                <w:sz w:val="18"/>
                <w:szCs w:val="18"/>
              </w:rPr>
              <w:t xml:space="preserve"> kg/a</w:t>
            </w:r>
          </w:p>
        </w:tc>
      </w:tr>
    </w:tbl>
    <w:p>
      <w:pPr>
        <w:pStyle w:val="24"/>
        <w:snapToGrid w:val="0"/>
        <w:spacing w:line="360" w:lineRule="auto"/>
        <w:ind w:firstLine="420" w:firstLineChars="200"/>
        <w:rPr>
          <w:rFonts w:hint="eastAsia"/>
          <w:kern w:val="2"/>
          <w:sz w:val="21"/>
        </w:rPr>
      </w:pPr>
      <w:r>
        <w:rPr>
          <w:rFonts w:hint="eastAsia"/>
          <w:kern w:val="2"/>
          <w:sz w:val="21"/>
        </w:rPr>
        <w:t>本项目运营期导热油炉烟气污染物排放浓度满足《锅炉大气污染物排放标准》（GB13271-2014）中表2新建锅炉大气污染物排放限值；烘干滚筒燃烧烟气中SO</w:t>
      </w:r>
      <w:r>
        <w:rPr>
          <w:rFonts w:hint="eastAsia"/>
          <w:kern w:val="2"/>
          <w:sz w:val="21"/>
          <w:vertAlign w:val="subscript"/>
        </w:rPr>
        <w:t>2</w:t>
      </w:r>
      <w:r>
        <w:rPr>
          <w:rFonts w:hint="eastAsia"/>
          <w:kern w:val="2"/>
          <w:sz w:val="21"/>
        </w:rPr>
        <w:t>污染物排放浓度满足《工业炉窑大气污染物排放标准》（GB9078-1996）中有关标准要求，颗粒物、氮氧化物满足《大气污染物综合排放标准》（GB16297-1996）中相关标准限值；沥青烟气排放浓度满足《大气污染物综合排放标准》（GB16297-1996）中二级标准要求；生产过程中工艺粉尘满足《大气污染物综合排放标准》（GB16297-1996）中标准限值要求；厂区内无组织排放粉尘满足《大气污染物综合排放标准》（GB16297-1996）中新污染源大气污染物排放限制要求。</w:t>
      </w:r>
    </w:p>
    <w:p>
      <w:pPr>
        <w:pStyle w:val="24"/>
        <w:snapToGrid w:val="0"/>
        <w:spacing w:line="360" w:lineRule="auto"/>
        <w:ind w:firstLine="420" w:firstLineChars="200"/>
        <w:rPr>
          <w:kern w:val="2"/>
          <w:sz w:val="21"/>
        </w:rPr>
      </w:pPr>
      <w:r>
        <w:rPr>
          <w:rFonts w:hint="eastAsia"/>
          <w:kern w:val="2"/>
          <w:sz w:val="21"/>
        </w:rPr>
        <w:t>综上，项目运营期大气污染物可达标排放，对周围环境空气影响较小。</w:t>
      </w:r>
    </w:p>
    <w:p>
      <w:pPr>
        <w:pStyle w:val="24"/>
        <w:snapToGrid w:val="0"/>
        <w:spacing w:line="360" w:lineRule="auto"/>
        <w:ind w:firstLine="420" w:firstLineChars="200"/>
        <w:rPr>
          <w:sz w:val="21"/>
        </w:rPr>
      </w:pPr>
      <w:r>
        <w:rPr>
          <w:sz w:val="21"/>
        </w:rPr>
        <w:t>7、大气防护距离</w:t>
      </w:r>
    </w:p>
    <w:p>
      <w:pPr>
        <w:pStyle w:val="24"/>
        <w:snapToGrid w:val="0"/>
        <w:spacing w:line="360" w:lineRule="auto"/>
        <w:ind w:firstLine="420" w:firstLineChars="200"/>
        <w:rPr>
          <w:color w:val="0000FF"/>
          <w:sz w:val="21"/>
        </w:rPr>
      </w:pPr>
      <w:r>
        <w:rPr>
          <w:sz w:val="21"/>
        </w:rPr>
        <w:t>参照《环境影响评价技术导则-大气环境》（HJ2.2-2018），对于项目厂界浓度满足大气污染物厂界浓度限值，但厂界外大气污染物短期贡献浓度超过环境质量浓度限值的，可以自厂界向外设置一定范围的大气环境防护距离，以确保大气环境防护区域外的污染物贡献浓度满足环境质量标准。根据导则推荐的AERSCREEN估算模型进行预测，项目各污染物贡献浓度占标率均小于100%，因此本项目无需设置大气防护距离。</w:t>
      </w:r>
    </w:p>
    <w:p>
      <w:pPr>
        <w:adjustRightInd w:val="0"/>
        <w:snapToGrid w:val="0"/>
        <w:spacing w:line="360" w:lineRule="auto"/>
        <w:ind w:firstLine="420" w:firstLineChars="200"/>
      </w:pPr>
      <w:r>
        <w:t>8、监测计划</w:t>
      </w:r>
    </w:p>
    <w:p>
      <w:pPr>
        <w:adjustRightInd w:val="0"/>
        <w:snapToGrid w:val="0"/>
        <w:spacing w:line="360" w:lineRule="auto"/>
        <w:ind w:firstLine="420" w:firstLineChars="200"/>
      </w:pPr>
      <w:r>
        <w:rPr>
          <w:rFonts w:hint="eastAsia"/>
        </w:rPr>
        <w:t>本项目运营期大气污染物监测计划如下。</w:t>
      </w:r>
    </w:p>
    <w:p>
      <w:pPr>
        <w:adjustRightInd w:val="0"/>
        <w:snapToGrid w:val="0"/>
        <w:spacing w:line="360" w:lineRule="auto"/>
        <w:jc w:val="center"/>
      </w:pPr>
      <w:r>
        <w:rPr>
          <w:rFonts w:hint="eastAsia"/>
        </w:rPr>
        <w:t>表</w:t>
      </w:r>
      <w:r>
        <w:rPr>
          <w:rFonts w:hint="eastAsia"/>
          <w:lang w:val="en-US" w:eastAsia="zh-CN"/>
        </w:rPr>
        <w:t>20</w:t>
      </w:r>
      <w:r>
        <w:t xml:space="preserve">  </w:t>
      </w:r>
      <w:r>
        <w:rPr>
          <w:rFonts w:hint="eastAsia"/>
        </w:rPr>
        <w:t>项目运营期大气污染物监测计划</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806"/>
        <w:gridCol w:w="1799"/>
        <w:gridCol w:w="731"/>
        <w:gridCol w:w="3254"/>
        <w:gridCol w:w="13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Align w:val="center"/>
          </w:tcPr>
          <w:p>
            <w:pPr>
              <w:adjustRightInd w:val="0"/>
              <w:snapToGrid w:val="0"/>
              <w:jc w:val="center"/>
              <w:rPr>
                <w:sz w:val="18"/>
                <w:szCs w:val="18"/>
              </w:rPr>
            </w:pPr>
            <w:r>
              <w:rPr>
                <w:sz w:val="18"/>
                <w:szCs w:val="18"/>
              </w:rPr>
              <w:t>监测项目</w:t>
            </w:r>
          </w:p>
        </w:tc>
        <w:tc>
          <w:tcPr>
            <w:tcW w:w="462" w:type="pct"/>
            <w:vAlign w:val="center"/>
          </w:tcPr>
          <w:p>
            <w:pPr>
              <w:adjustRightInd w:val="0"/>
              <w:snapToGrid w:val="0"/>
              <w:jc w:val="center"/>
              <w:rPr>
                <w:sz w:val="18"/>
                <w:szCs w:val="18"/>
              </w:rPr>
            </w:pPr>
            <w:r>
              <w:rPr>
                <w:sz w:val="18"/>
                <w:szCs w:val="18"/>
              </w:rPr>
              <w:t>监测因子</w:t>
            </w:r>
          </w:p>
        </w:tc>
        <w:tc>
          <w:tcPr>
            <w:tcW w:w="1032" w:type="pct"/>
            <w:vAlign w:val="center"/>
          </w:tcPr>
          <w:p>
            <w:pPr>
              <w:adjustRightInd w:val="0"/>
              <w:snapToGrid w:val="0"/>
              <w:jc w:val="center"/>
              <w:rPr>
                <w:sz w:val="18"/>
                <w:szCs w:val="18"/>
              </w:rPr>
            </w:pPr>
            <w:r>
              <w:rPr>
                <w:sz w:val="18"/>
                <w:szCs w:val="18"/>
              </w:rPr>
              <w:t>监测位置</w:t>
            </w:r>
          </w:p>
        </w:tc>
        <w:tc>
          <w:tcPr>
            <w:tcW w:w="419" w:type="pct"/>
            <w:vAlign w:val="center"/>
          </w:tcPr>
          <w:p>
            <w:pPr>
              <w:adjustRightInd w:val="0"/>
              <w:snapToGrid w:val="0"/>
              <w:jc w:val="center"/>
              <w:rPr>
                <w:sz w:val="18"/>
                <w:szCs w:val="18"/>
              </w:rPr>
            </w:pPr>
            <w:r>
              <w:rPr>
                <w:sz w:val="18"/>
                <w:szCs w:val="18"/>
              </w:rPr>
              <w:t>监测频率</w:t>
            </w:r>
          </w:p>
        </w:tc>
        <w:tc>
          <w:tcPr>
            <w:tcW w:w="1866" w:type="pct"/>
            <w:vAlign w:val="center"/>
          </w:tcPr>
          <w:p>
            <w:pPr>
              <w:adjustRightInd w:val="0"/>
              <w:snapToGrid w:val="0"/>
              <w:jc w:val="center"/>
              <w:rPr>
                <w:sz w:val="18"/>
                <w:szCs w:val="18"/>
              </w:rPr>
            </w:pPr>
            <w:r>
              <w:rPr>
                <w:sz w:val="18"/>
                <w:szCs w:val="18"/>
              </w:rPr>
              <w:t>执行标准</w:t>
            </w:r>
          </w:p>
        </w:tc>
        <w:tc>
          <w:tcPr>
            <w:tcW w:w="802" w:type="pct"/>
            <w:vAlign w:val="center"/>
          </w:tcPr>
          <w:p>
            <w:pPr>
              <w:adjustRightInd w:val="0"/>
              <w:snapToGrid w:val="0"/>
              <w:jc w:val="center"/>
              <w:rPr>
                <w:sz w:val="18"/>
                <w:szCs w:val="18"/>
              </w:rPr>
            </w:pPr>
            <w:r>
              <w:rPr>
                <w:sz w:val="18"/>
                <w:szCs w:val="18"/>
              </w:rPr>
              <w:t>监测机构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restart"/>
            <w:vAlign w:val="center"/>
          </w:tcPr>
          <w:p>
            <w:pPr>
              <w:adjustRightInd w:val="0"/>
              <w:snapToGrid w:val="0"/>
              <w:jc w:val="center"/>
              <w:rPr>
                <w:sz w:val="18"/>
                <w:szCs w:val="18"/>
              </w:rPr>
            </w:pPr>
            <w:r>
              <w:rPr>
                <w:sz w:val="18"/>
                <w:szCs w:val="18"/>
              </w:rPr>
              <w:t>废气</w:t>
            </w:r>
          </w:p>
        </w:tc>
        <w:tc>
          <w:tcPr>
            <w:tcW w:w="462" w:type="pct"/>
            <w:vAlign w:val="center"/>
          </w:tcPr>
          <w:p>
            <w:pPr>
              <w:adjustRightInd w:val="0"/>
              <w:snapToGrid w:val="0"/>
              <w:jc w:val="center"/>
              <w:rPr>
                <w:sz w:val="18"/>
                <w:szCs w:val="18"/>
              </w:rPr>
            </w:pPr>
            <w:r>
              <w:rPr>
                <w:sz w:val="18"/>
                <w:szCs w:val="18"/>
              </w:rPr>
              <w:t>TSP</w:t>
            </w:r>
          </w:p>
        </w:tc>
        <w:tc>
          <w:tcPr>
            <w:tcW w:w="1032" w:type="pct"/>
            <w:vMerge w:val="restart"/>
            <w:vAlign w:val="center"/>
          </w:tcPr>
          <w:p>
            <w:pPr>
              <w:adjustRightInd w:val="0"/>
              <w:snapToGrid w:val="0"/>
              <w:jc w:val="center"/>
              <w:rPr>
                <w:sz w:val="18"/>
                <w:szCs w:val="18"/>
              </w:rPr>
            </w:pPr>
            <w:r>
              <w:rPr>
                <w:sz w:val="18"/>
                <w:szCs w:val="18"/>
              </w:rPr>
              <w:t>1#</w:t>
            </w:r>
            <w:r>
              <w:rPr>
                <w:rFonts w:ascii="宋体" w:hAnsi="宋体"/>
                <w:sz w:val="18"/>
                <w:szCs w:val="18"/>
              </w:rPr>
              <w:t>排气筒（导热油炉）出口</w:t>
            </w:r>
          </w:p>
        </w:tc>
        <w:tc>
          <w:tcPr>
            <w:tcW w:w="419" w:type="pct"/>
            <w:vMerge w:val="restart"/>
            <w:vAlign w:val="center"/>
          </w:tcPr>
          <w:p>
            <w:pPr>
              <w:adjustRightInd w:val="0"/>
              <w:snapToGrid w:val="0"/>
              <w:jc w:val="center"/>
              <w:rPr>
                <w:sz w:val="18"/>
                <w:szCs w:val="18"/>
              </w:rPr>
            </w:pPr>
            <w:r>
              <w:rPr>
                <w:sz w:val="18"/>
                <w:szCs w:val="18"/>
              </w:rPr>
              <w:t>每年1</w:t>
            </w:r>
            <w:r>
              <w:rPr>
                <w:rFonts w:ascii="宋体" w:hAnsi="宋体"/>
                <w:sz w:val="18"/>
                <w:szCs w:val="18"/>
              </w:rPr>
              <w:t>次</w:t>
            </w:r>
          </w:p>
        </w:tc>
        <w:tc>
          <w:tcPr>
            <w:tcW w:w="1866" w:type="pct"/>
            <w:vMerge w:val="restart"/>
            <w:vAlign w:val="center"/>
          </w:tcPr>
          <w:p>
            <w:pPr>
              <w:adjustRightInd w:val="0"/>
              <w:snapToGrid w:val="0"/>
              <w:jc w:val="center"/>
              <w:rPr>
                <w:sz w:val="18"/>
                <w:szCs w:val="18"/>
              </w:rPr>
            </w:pPr>
            <w:r>
              <w:rPr>
                <w:rFonts w:hint="eastAsia"/>
                <w:sz w:val="18"/>
                <w:szCs w:val="18"/>
              </w:rPr>
              <w:t>《锅炉大气污染物排放标准》（GB13271-2014</w:t>
            </w:r>
            <w:r>
              <w:rPr>
                <w:rFonts w:hint="eastAsia" w:ascii="宋体" w:hAnsi="宋体"/>
                <w:sz w:val="18"/>
                <w:szCs w:val="18"/>
              </w:rPr>
              <w:t>）</w:t>
            </w:r>
          </w:p>
        </w:tc>
        <w:tc>
          <w:tcPr>
            <w:tcW w:w="802" w:type="pct"/>
            <w:vMerge w:val="restart"/>
            <w:vAlign w:val="center"/>
          </w:tcPr>
          <w:p>
            <w:pPr>
              <w:adjustRightInd w:val="0"/>
              <w:snapToGrid w:val="0"/>
              <w:jc w:val="center"/>
              <w:rPr>
                <w:sz w:val="18"/>
                <w:szCs w:val="18"/>
              </w:rPr>
            </w:pPr>
            <w:r>
              <w:rPr>
                <w:sz w:val="18"/>
                <w:szCs w:val="18"/>
              </w:rPr>
              <w:t>有资质的环境监测单位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SO</w:t>
            </w:r>
            <w:r>
              <w:rPr>
                <w:sz w:val="18"/>
                <w:szCs w:val="18"/>
                <w:vertAlign w:val="subscript"/>
              </w:rPr>
              <w:t>2</w:t>
            </w:r>
          </w:p>
        </w:tc>
        <w:tc>
          <w:tcPr>
            <w:tcW w:w="1032" w:type="pct"/>
            <w:vMerge w:val="restart"/>
            <w:vAlign w:val="center"/>
          </w:tcPr>
          <w:p>
            <w:pPr>
              <w:adjustRightInd w:val="0"/>
              <w:snapToGrid w:val="0"/>
              <w:jc w:val="center"/>
              <w:rPr>
                <w:sz w:val="18"/>
                <w:szCs w:val="18"/>
              </w:rPr>
            </w:pPr>
            <w:r>
              <w:rPr>
                <w:sz w:val="18"/>
                <w:szCs w:val="18"/>
              </w:rPr>
              <w:t>2#</w:t>
            </w:r>
            <w:r>
              <w:rPr>
                <w:rFonts w:ascii="宋体" w:hAnsi="宋体"/>
                <w:sz w:val="18"/>
                <w:szCs w:val="18"/>
              </w:rPr>
              <w:t>排气筒（烘干滚筒</w:t>
            </w:r>
            <w:r>
              <w:rPr>
                <w:rFonts w:hint="eastAsia" w:ascii="宋体" w:hAnsi="宋体"/>
                <w:sz w:val="18"/>
                <w:szCs w:val="18"/>
              </w:rPr>
              <w:t>、粉尘、沥青烟气</w:t>
            </w:r>
            <w:r>
              <w:rPr>
                <w:rFonts w:ascii="宋体" w:hAnsi="宋体"/>
                <w:sz w:val="18"/>
                <w:szCs w:val="18"/>
              </w:rPr>
              <w:t>）出口</w:t>
            </w:r>
          </w:p>
        </w:tc>
        <w:tc>
          <w:tcPr>
            <w:tcW w:w="419" w:type="pct"/>
            <w:vMerge w:val="restart"/>
            <w:vAlign w:val="center"/>
          </w:tcPr>
          <w:p>
            <w:pPr>
              <w:adjustRightInd w:val="0"/>
              <w:snapToGrid w:val="0"/>
              <w:jc w:val="center"/>
              <w:rPr>
                <w:sz w:val="18"/>
                <w:szCs w:val="18"/>
              </w:rPr>
            </w:pPr>
            <w:r>
              <w:rPr>
                <w:sz w:val="18"/>
                <w:szCs w:val="18"/>
              </w:rPr>
              <w:t>每年1</w:t>
            </w:r>
            <w:r>
              <w:rPr>
                <w:rFonts w:ascii="宋体" w:hAnsi="宋体"/>
                <w:sz w:val="18"/>
                <w:szCs w:val="18"/>
              </w:rPr>
              <w:t>次</w:t>
            </w:r>
          </w:p>
        </w:tc>
        <w:tc>
          <w:tcPr>
            <w:tcW w:w="1866" w:type="pct"/>
            <w:vAlign w:val="center"/>
          </w:tcPr>
          <w:p>
            <w:pPr>
              <w:adjustRightInd w:val="0"/>
              <w:snapToGrid w:val="0"/>
              <w:jc w:val="center"/>
              <w:rPr>
                <w:sz w:val="18"/>
                <w:szCs w:val="18"/>
              </w:rPr>
            </w:pPr>
            <w:r>
              <w:rPr>
                <w:sz w:val="18"/>
                <w:szCs w:val="18"/>
              </w:rPr>
              <w:t>《工业炉窑大气污染物排放标准》（GB9078-1996</w:t>
            </w:r>
            <w:r>
              <w:rPr>
                <w:rFonts w:ascii="宋体" w:hAnsi="宋体"/>
                <w:sz w:val="18"/>
                <w:szCs w:val="18"/>
              </w:rPr>
              <w:t>）</w:t>
            </w: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NO</w:t>
            </w:r>
            <w:r>
              <w:rPr>
                <w:sz w:val="18"/>
                <w:szCs w:val="18"/>
                <w:vertAlign w:val="subscript"/>
              </w:rPr>
              <w:t>X</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restart"/>
            <w:vAlign w:val="center"/>
          </w:tcPr>
          <w:p>
            <w:pPr>
              <w:adjustRightInd w:val="0"/>
              <w:snapToGrid w:val="0"/>
              <w:jc w:val="center"/>
              <w:rPr>
                <w:sz w:val="18"/>
                <w:szCs w:val="18"/>
              </w:rPr>
            </w:pPr>
            <w:r>
              <w:rPr>
                <w:sz w:val="18"/>
                <w:szCs w:val="18"/>
              </w:rPr>
              <w:t>《大气污染物综合排放标准》（GB16297-1996</w:t>
            </w:r>
            <w:r>
              <w:rPr>
                <w:rFonts w:ascii="宋体" w:hAnsi="宋体"/>
                <w:sz w:val="18"/>
                <w:szCs w:val="18"/>
              </w:rPr>
              <w:t>）</w:t>
            </w: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TSP</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沥青烟</w:t>
            </w:r>
          </w:p>
        </w:tc>
        <w:tc>
          <w:tcPr>
            <w:tcW w:w="1032" w:type="pct"/>
            <w:vMerge w:val="continue"/>
            <w:vAlign w:val="center"/>
          </w:tcPr>
          <w:p>
            <w:pPr>
              <w:adjustRightInd w:val="0"/>
              <w:snapToGrid w:val="0"/>
              <w:jc w:val="center"/>
              <w:rPr>
                <w:sz w:val="18"/>
                <w:szCs w:val="18"/>
              </w:rPr>
            </w:pPr>
          </w:p>
        </w:tc>
        <w:tc>
          <w:tcPr>
            <w:tcW w:w="419" w:type="pct"/>
            <w:vMerge w:val="continue"/>
            <w:vAlign w:val="center"/>
          </w:tcPr>
          <w:p>
            <w:pPr>
              <w:adjustRightInd w:val="0"/>
              <w:snapToGrid w:val="0"/>
              <w:jc w:val="center"/>
              <w:rPr>
                <w:sz w:val="18"/>
                <w:szCs w:val="18"/>
              </w:rPr>
            </w:pPr>
          </w:p>
        </w:tc>
        <w:tc>
          <w:tcPr>
            <w:tcW w:w="1866" w:type="pct"/>
            <w:vMerge w:val="continue"/>
            <w:vAlign w:val="center"/>
          </w:tcPr>
          <w:p>
            <w:pPr>
              <w:adjustRightInd w:val="0"/>
              <w:snapToGrid w:val="0"/>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苯并[a]</w:t>
            </w:r>
            <w:r>
              <w:rPr>
                <w:rFonts w:ascii="宋体" w:hAnsi="宋体"/>
                <w:sz w:val="18"/>
                <w:szCs w:val="18"/>
              </w:rPr>
              <w:t>芘</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TSP</w:t>
            </w:r>
          </w:p>
        </w:tc>
        <w:tc>
          <w:tcPr>
            <w:tcW w:w="1032" w:type="pct"/>
            <w:vMerge w:val="restart"/>
            <w:vAlign w:val="center"/>
          </w:tcPr>
          <w:p>
            <w:pPr>
              <w:adjustRightInd w:val="0"/>
              <w:snapToGrid w:val="0"/>
              <w:jc w:val="center"/>
              <w:rPr>
                <w:sz w:val="18"/>
                <w:szCs w:val="18"/>
              </w:rPr>
            </w:pPr>
            <w:r>
              <w:rPr>
                <w:sz w:val="18"/>
                <w:szCs w:val="18"/>
              </w:rPr>
              <w:t>厂界上风向1</w:t>
            </w:r>
            <w:r>
              <w:rPr>
                <w:rFonts w:ascii="宋体" w:hAnsi="宋体"/>
                <w:sz w:val="18"/>
                <w:szCs w:val="18"/>
              </w:rPr>
              <w:t>处，下风向</w:t>
            </w:r>
            <w:r>
              <w:rPr>
                <w:sz w:val="18"/>
                <w:szCs w:val="18"/>
              </w:rPr>
              <w:t>4</w:t>
            </w:r>
            <w:r>
              <w:rPr>
                <w:rFonts w:ascii="宋体" w:hAnsi="宋体"/>
                <w:sz w:val="18"/>
                <w:szCs w:val="18"/>
              </w:rPr>
              <w:t>处</w:t>
            </w:r>
          </w:p>
        </w:tc>
        <w:tc>
          <w:tcPr>
            <w:tcW w:w="419" w:type="pct"/>
            <w:vMerge w:val="restart"/>
            <w:vAlign w:val="center"/>
          </w:tcPr>
          <w:p>
            <w:pPr>
              <w:adjustRightInd w:val="0"/>
              <w:snapToGrid w:val="0"/>
              <w:jc w:val="center"/>
              <w:rPr>
                <w:sz w:val="18"/>
                <w:szCs w:val="18"/>
              </w:rPr>
            </w:pPr>
            <w:r>
              <w:rPr>
                <w:sz w:val="18"/>
                <w:szCs w:val="18"/>
              </w:rPr>
              <w:t>每年1</w:t>
            </w:r>
            <w:r>
              <w:rPr>
                <w:rFonts w:ascii="宋体" w:hAnsi="宋体"/>
                <w:sz w:val="18"/>
                <w:szCs w:val="18"/>
              </w:rPr>
              <w:t>次</w:t>
            </w:r>
          </w:p>
        </w:tc>
        <w:tc>
          <w:tcPr>
            <w:tcW w:w="1866" w:type="pct"/>
            <w:vMerge w:val="restart"/>
            <w:vAlign w:val="center"/>
          </w:tcPr>
          <w:p>
            <w:pPr>
              <w:adjustRightInd w:val="0"/>
              <w:snapToGrid w:val="0"/>
              <w:jc w:val="center"/>
              <w:rPr>
                <w:sz w:val="18"/>
                <w:szCs w:val="18"/>
              </w:rPr>
            </w:pPr>
            <w:r>
              <w:rPr>
                <w:sz w:val="18"/>
                <w:szCs w:val="18"/>
              </w:rPr>
              <w:t>《大气污染物综合排放标准》（GB16297-1996</w:t>
            </w:r>
            <w:r>
              <w:rPr>
                <w:rFonts w:ascii="宋体" w:hAnsi="宋体"/>
                <w:sz w:val="18"/>
                <w:szCs w:val="18"/>
              </w:rPr>
              <w:t>）</w:t>
            </w: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沥青烟</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9" w:type="pct"/>
            <w:vMerge w:val="continue"/>
            <w:vAlign w:val="center"/>
          </w:tcPr>
          <w:p>
            <w:pPr>
              <w:widowControl/>
              <w:jc w:val="center"/>
              <w:rPr>
                <w:sz w:val="18"/>
                <w:szCs w:val="18"/>
              </w:rPr>
            </w:pPr>
          </w:p>
        </w:tc>
        <w:tc>
          <w:tcPr>
            <w:tcW w:w="462" w:type="pct"/>
            <w:vAlign w:val="center"/>
          </w:tcPr>
          <w:p>
            <w:pPr>
              <w:adjustRightInd w:val="0"/>
              <w:snapToGrid w:val="0"/>
              <w:jc w:val="center"/>
              <w:rPr>
                <w:sz w:val="18"/>
                <w:szCs w:val="18"/>
              </w:rPr>
            </w:pPr>
            <w:r>
              <w:rPr>
                <w:sz w:val="18"/>
                <w:szCs w:val="18"/>
              </w:rPr>
              <w:t>苯并[a]</w:t>
            </w:r>
            <w:r>
              <w:rPr>
                <w:rFonts w:ascii="宋体" w:hAnsi="宋体"/>
                <w:sz w:val="18"/>
                <w:szCs w:val="18"/>
              </w:rPr>
              <w:t>芘</w:t>
            </w:r>
          </w:p>
        </w:tc>
        <w:tc>
          <w:tcPr>
            <w:tcW w:w="1032" w:type="pct"/>
            <w:vMerge w:val="continue"/>
            <w:vAlign w:val="center"/>
          </w:tcPr>
          <w:p>
            <w:pPr>
              <w:widowControl/>
              <w:jc w:val="center"/>
              <w:rPr>
                <w:sz w:val="18"/>
                <w:szCs w:val="18"/>
              </w:rPr>
            </w:pPr>
          </w:p>
        </w:tc>
        <w:tc>
          <w:tcPr>
            <w:tcW w:w="419" w:type="pct"/>
            <w:vMerge w:val="continue"/>
            <w:vAlign w:val="center"/>
          </w:tcPr>
          <w:p>
            <w:pPr>
              <w:widowControl/>
              <w:jc w:val="center"/>
              <w:rPr>
                <w:sz w:val="18"/>
                <w:szCs w:val="18"/>
              </w:rPr>
            </w:pPr>
          </w:p>
        </w:tc>
        <w:tc>
          <w:tcPr>
            <w:tcW w:w="1866" w:type="pct"/>
            <w:vMerge w:val="continue"/>
            <w:vAlign w:val="center"/>
          </w:tcPr>
          <w:p>
            <w:pPr>
              <w:widowControl/>
              <w:jc w:val="center"/>
              <w:rPr>
                <w:sz w:val="18"/>
                <w:szCs w:val="18"/>
              </w:rPr>
            </w:pPr>
          </w:p>
        </w:tc>
        <w:tc>
          <w:tcPr>
            <w:tcW w:w="802" w:type="pct"/>
            <w:vMerge w:val="continue"/>
            <w:vAlign w:val="center"/>
          </w:tcPr>
          <w:p>
            <w:pPr>
              <w:widowControl/>
              <w:jc w:val="center"/>
              <w:rPr>
                <w:sz w:val="18"/>
                <w:szCs w:val="18"/>
              </w:rPr>
            </w:pPr>
          </w:p>
        </w:tc>
      </w:tr>
    </w:tbl>
    <w:p>
      <w:pPr>
        <w:adjustRightInd w:val="0"/>
        <w:snapToGrid w:val="0"/>
        <w:spacing w:line="360" w:lineRule="auto"/>
        <w:ind w:firstLine="420" w:firstLineChars="200"/>
        <w:rPr>
          <w:rFonts w:hint="eastAsia"/>
        </w:rPr>
        <w:sectPr>
          <w:footerReference r:id="rId4" w:type="default"/>
          <w:pgSz w:w="11906" w:h="16838"/>
          <w:pgMar w:top="1531" w:right="1702" w:bottom="1531" w:left="1702" w:header="851" w:footer="851" w:gutter="0"/>
          <w:pgNumType w:start="1"/>
          <w:cols w:space="425" w:num="1"/>
          <w:docGrid w:type="lines" w:linePitch="312" w:charSpace="0"/>
        </w:sectPr>
      </w:pPr>
    </w:p>
    <w:p>
      <w:pPr>
        <w:pStyle w:val="8"/>
        <w:adjustRightInd w:val="0"/>
        <w:snapToGrid w:val="0"/>
        <w:spacing w:beforeAutospacing="0" w:afterAutospacing="0" w:line="648" w:lineRule="auto"/>
        <w:outlineLvl w:val="0"/>
        <w:rPr>
          <w:rFonts w:hint="default" w:ascii="黑体" w:eastAsia="黑体" w:cs="黑体"/>
          <w:sz w:val="32"/>
          <w:szCs w:val="32"/>
        </w:rPr>
      </w:pPr>
      <w:r>
        <w:rPr>
          <w:rFonts w:ascii="黑体" w:eastAsia="黑体" w:cs="黑体"/>
          <w:snapToGrid w:val="0"/>
          <w:sz w:val="32"/>
          <w:szCs w:val="32"/>
        </w:rPr>
        <w:t>附表</w:t>
      </w:r>
    </w:p>
    <w:p>
      <w:pPr>
        <w:pStyle w:val="8"/>
        <w:adjustRightInd w:val="0"/>
        <w:snapToGrid w:val="0"/>
        <w:spacing w:beforeAutospacing="0" w:afterAutospacing="0" w:line="552" w:lineRule="auto"/>
        <w:jc w:val="center"/>
        <w:outlineLvl w:val="0"/>
        <w:rPr>
          <w:rFonts w:hint="default" w:ascii="方正小标宋_GBK" w:eastAsia="方正小标宋_GBK" w:cs="方正小标宋_GBK"/>
          <w:sz w:val="38"/>
          <w:szCs w:val="38"/>
        </w:rPr>
      </w:pPr>
      <w:r>
        <w:rPr>
          <w:rFonts w:ascii="方正小标宋_GBK" w:eastAsia="方正小标宋_GBK" w:cs="方正小标宋_GBK"/>
          <w:snapToGrid w:val="0"/>
          <w:sz w:val="38"/>
          <w:szCs w:val="38"/>
        </w:rPr>
        <w:t>建设项目污染物排放量汇总表</w:t>
      </w:r>
    </w:p>
    <w:tbl>
      <w:tblPr>
        <w:tblStyle w:val="1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2"/>
        <w:gridCol w:w="1276"/>
        <w:gridCol w:w="1702"/>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pPr>
              <w:pStyle w:val="17"/>
              <w:widowControl/>
              <w:spacing w:before="31" w:line="240" w:lineRule="auto"/>
              <w:jc w:val="right"/>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项目</w:t>
            </w:r>
          </w:p>
          <w:p>
            <w:pPr>
              <w:pStyle w:val="17"/>
              <w:widowControl/>
              <w:spacing w:before="31" w:line="240" w:lineRule="auto"/>
              <w:jc w:val="left"/>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分类</w:t>
            </w:r>
          </w:p>
        </w:tc>
        <w:tc>
          <w:tcPr>
            <w:tcW w:w="1417"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污染物名称</w:t>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现有工程</w:t>
            </w:r>
          </w:p>
          <w:p>
            <w:pPr>
              <w:pStyle w:val="17"/>
              <w:widowControl/>
              <w:spacing w:before="31" w:line="240" w:lineRule="auto"/>
              <w:rPr>
                <w:rFonts w:hint="default" w:ascii="Times New Roman" w:eastAsia="黑体"/>
                <w:snapToGrid w:val="0"/>
                <w:color w:val="000000"/>
                <w:spacing w:val="-6"/>
                <w:kern w:val="21"/>
                <w:szCs w:val="21"/>
              </w:rPr>
            </w:pPr>
            <w:r>
              <w:rPr>
                <w:rFonts w:hint="default" w:ascii="Times New Roman" w:eastAsia="黑体"/>
                <w:snapToGrid w:val="0"/>
                <w:color w:val="000000"/>
                <w:spacing w:val="-6"/>
                <w:kern w:val="21"/>
                <w:szCs w:val="21"/>
              </w:rPr>
              <w:t>排放量（固体废物产生量）</w:t>
            </w:r>
            <w:r>
              <w:rPr>
                <w:rFonts w:hint="default" w:ascii="Times New Roman" w:eastAsia="黑体"/>
                <w:color w:val="000000"/>
                <w:spacing w:val="-6"/>
                <w:kern w:val="21"/>
                <w:szCs w:val="21"/>
              </w:rPr>
              <w:fldChar w:fldCharType="begin"/>
            </w:r>
            <w:r>
              <w:rPr>
                <w:rFonts w:hint="default" w:ascii="Times New Roman" w:eastAsia="黑体"/>
                <w:snapToGrid w:val="0"/>
                <w:color w:val="000000"/>
                <w:spacing w:val="-6"/>
                <w:kern w:val="21"/>
                <w:szCs w:val="21"/>
              </w:rPr>
              <w:instrText xml:space="preserve"> = 1 \* GB3 \* MERGEFORMAT </w:instrText>
            </w:r>
            <w:r>
              <w:rPr>
                <w:rFonts w:hint="default" w:ascii="Times New Roman" w:eastAsia="黑体"/>
                <w:color w:val="000000"/>
                <w:spacing w:val="-6"/>
                <w:kern w:val="21"/>
                <w:szCs w:val="21"/>
              </w:rPr>
              <w:fldChar w:fldCharType="separate"/>
            </w:r>
            <w:r>
              <w:rPr>
                <w:rFonts w:hAnsi="宋体" w:cs="宋体"/>
                <w:kern w:val="2"/>
                <w:szCs w:val="21"/>
              </w:rPr>
              <w:t>①</w:t>
            </w:r>
            <w:r>
              <w:rPr>
                <w:rFonts w:hint="default" w:ascii="Times New Roman" w:eastAsia="黑体"/>
                <w:color w:val="000000"/>
                <w:spacing w:val="-6"/>
                <w:kern w:val="21"/>
                <w:szCs w:val="21"/>
              </w:rPr>
              <w:fldChar w:fldCharType="end"/>
            </w:r>
          </w:p>
        </w:tc>
        <w:tc>
          <w:tcPr>
            <w:tcW w:w="1276"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现有工程</w:t>
            </w:r>
          </w:p>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许可排放量</w:t>
            </w:r>
          </w:p>
          <w:p>
            <w:pPr>
              <w:pStyle w:val="17"/>
              <w:widowControl/>
              <w:spacing w:before="31"/>
              <w:rPr>
                <w:rFonts w:hint="default" w:ascii="Times New Roman" w:eastAsia="黑体"/>
                <w:snapToGrid w:val="0"/>
                <w:color w:val="000000"/>
                <w:spacing w:val="-6"/>
                <w:kern w:val="21"/>
                <w:szCs w:val="21"/>
              </w:rPr>
            </w:pPr>
            <w:r>
              <w:rPr>
                <w:rFonts w:hint="default" w:ascii="Times New Roman" w:eastAsia="黑体"/>
                <w:color w:val="000000"/>
                <w:spacing w:val="-6"/>
                <w:kern w:val="21"/>
                <w:szCs w:val="21"/>
              </w:rPr>
              <w:fldChar w:fldCharType="begin"/>
            </w:r>
            <w:r>
              <w:rPr>
                <w:rFonts w:hint="default" w:ascii="Times New Roman" w:eastAsia="黑体"/>
                <w:color w:val="000000"/>
                <w:spacing w:val="-6"/>
                <w:kern w:val="21"/>
                <w:szCs w:val="21"/>
              </w:rPr>
              <w:instrText xml:space="preserve"> </w:instrText>
            </w:r>
            <w:r>
              <w:rPr>
                <w:rFonts w:hint="default" w:ascii="Times New Roman" w:eastAsia="黑体"/>
                <w:snapToGrid w:val="0"/>
                <w:color w:val="000000"/>
                <w:spacing w:val="-6"/>
                <w:kern w:val="21"/>
                <w:szCs w:val="21"/>
              </w:rPr>
              <w:instrText xml:space="preserve">= 2 \* GB3 \* MERGEFORMAT </w:instrText>
            </w:r>
            <w:r>
              <w:rPr>
                <w:rFonts w:hint="default" w:ascii="Times New Roman" w:eastAsia="黑体"/>
                <w:color w:val="000000"/>
                <w:spacing w:val="-6"/>
                <w:kern w:val="21"/>
                <w:szCs w:val="21"/>
              </w:rPr>
              <w:fldChar w:fldCharType="separate"/>
            </w:r>
            <w:r>
              <w:rPr>
                <w:rFonts w:hAnsi="宋体" w:cs="宋体"/>
                <w:snapToGrid w:val="0"/>
                <w:color w:val="000000"/>
                <w:spacing w:val="-6"/>
                <w:kern w:val="21"/>
                <w:szCs w:val="21"/>
              </w:rPr>
              <w:t>②</w:t>
            </w:r>
            <w:r>
              <w:rPr>
                <w:rFonts w:hint="default" w:ascii="Times New Roman" w:eastAsia="黑体"/>
                <w:color w:val="000000"/>
                <w:spacing w:val="-6"/>
                <w:kern w:val="21"/>
                <w:szCs w:val="21"/>
              </w:rPr>
              <w:fldChar w:fldCharType="end"/>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在建工程</w:t>
            </w:r>
          </w:p>
          <w:p>
            <w:pPr>
              <w:pStyle w:val="17"/>
              <w:widowControl/>
              <w:spacing w:before="31" w:line="240" w:lineRule="auto"/>
              <w:rPr>
                <w:rFonts w:hint="default" w:ascii="Times New Roman" w:eastAsia="黑体"/>
                <w:snapToGrid w:val="0"/>
                <w:color w:val="000000"/>
                <w:spacing w:val="-6"/>
                <w:kern w:val="21"/>
                <w:szCs w:val="21"/>
              </w:rPr>
            </w:pPr>
            <w:r>
              <w:rPr>
                <w:rFonts w:hint="default" w:ascii="Times New Roman" w:eastAsia="黑体"/>
                <w:snapToGrid w:val="0"/>
                <w:color w:val="000000"/>
                <w:spacing w:val="-6"/>
                <w:kern w:val="21"/>
                <w:szCs w:val="21"/>
              </w:rPr>
              <w:t>排放量（固体废物产生量）</w:t>
            </w:r>
            <w:r>
              <w:rPr>
                <w:rFonts w:hint="default" w:ascii="Times New Roman" w:eastAsia="黑体"/>
                <w:color w:val="000000"/>
                <w:spacing w:val="-6"/>
                <w:kern w:val="21"/>
                <w:szCs w:val="21"/>
              </w:rPr>
              <w:fldChar w:fldCharType="begin"/>
            </w:r>
            <w:r>
              <w:rPr>
                <w:rFonts w:hint="default" w:ascii="Times New Roman" w:eastAsia="黑体"/>
                <w:snapToGrid w:val="0"/>
                <w:color w:val="000000"/>
                <w:spacing w:val="-6"/>
                <w:kern w:val="21"/>
                <w:szCs w:val="21"/>
              </w:rPr>
              <w:instrText xml:space="preserve"> = 3 \* GB3 \* MERGEFORMAT </w:instrText>
            </w:r>
            <w:r>
              <w:rPr>
                <w:rFonts w:hint="default" w:ascii="Times New Roman" w:eastAsia="黑体"/>
                <w:color w:val="000000"/>
                <w:spacing w:val="-6"/>
                <w:kern w:val="21"/>
                <w:szCs w:val="21"/>
              </w:rPr>
              <w:fldChar w:fldCharType="separate"/>
            </w:r>
            <w:r>
              <w:rPr>
                <w:rFonts w:hAnsi="宋体" w:cs="宋体"/>
                <w:kern w:val="2"/>
                <w:szCs w:val="21"/>
              </w:rPr>
              <w:t>③</w:t>
            </w:r>
            <w:r>
              <w:rPr>
                <w:rFonts w:hint="default" w:ascii="Times New Roman" w:eastAsia="黑体"/>
                <w:color w:val="000000"/>
                <w:spacing w:val="-6"/>
                <w:kern w:val="21"/>
                <w:szCs w:val="21"/>
              </w:rPr>
              <w:fldChar w:fldCharType="end"/>
            </w:r>
          </w:p>
        </w:tc>
        <w:tc>
          <w:tcPr>
            <w:tcW w:w="155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本项目</w:t>
            </w:r>
          </w:p>
          <w:p>
            <w:pPr>
              <w:pStyle w:val="17"/>
              <w:widowControl/>
              <w:spacing w:before="31" w:line="240" w:lineRule="auto"/>
              <w:rPr>
                <w:rFonts w:hint="default" w:ascii="Times New Roman" w:eastAsia="黑体"/>
                <w:snapToGrid w:val="0"/>
                <w:color w:val="000000"/>
                <w:spacing w:val="-6"/>
                <w:kern w:val="21"/>
                <w:szCs w:val="21"/>
              </w:rPr>
            </w:pPr>
            <w:r>
              <w:rPr>
                <w:rFonts w:hint="default" w:ascii="Times New Roman" w:eastAsia="黑体"/>
                <w:snapToGrid w:val="0"/>
                <w:color w:val="000000"/>
                <w:spacing w:val="-6"/>
                <w:kern w:val="21"/>
                <w:szCs w:val="21"/>
              </w:rPr>
              <w:t>排放量（固体废物产生量）</w:t>
            </w:r>
            <w:r>
              <w:rPr>
                <w:rFonts w:hint="default" w:ascii="Times New Roman" w:eastAsia="黑体"/>
                <w:color w:val="000000"/>
                <w:spacing w:val="-6"/>
                <w:kern w:val="21"/>
                <w:szCs w:val="21"/>
              </w:rPr>
              <w:fldChar w:fldCharType="begin"/>
            </w:r>
            <w:r>
              <w:rPr>
                <w:rFonts w:hint="default" w:ascii="Times New Roman" w:eastAsia="黑体"/>
                <w:snapToGrid w:val="0"/>
                <w:color w:val="000000"/>
                <w:spacing w:val="-6"/>
                <w:kern w:val="21"/>
                <w:szCs w:val="21"/>
              </w:rPr>
              <w:instrText xml:space="preserve"> = 4 \* GB3 \* MERGEFORMAT </w:instrText>
            </w:r>
            <w:r>
              <w:rPr>
                <w:rFonts w:hint="default" w:ascii="Times New Roman" w:eastAsia="黑体"/>
                <w:color w:val="000000"/>
                <w:spacing w:val="-6"/>
                <w:kern w:val="21"/>
                <w:szCs w:val="21"/>
              </w:rPr>
              <w:fldChar w:fldCharType="separate"/>
            </w:r>
            <w:r>
              <w:rPr>
                <w:rFonts w:hAnsi="宋体" w:cs="宋体"/>
                <w:kern w:val="2"/>
                <w:szCs w:val="21"/>
              </w:rPr>
              <w:t>④</w:t>
            </w:r>
            <w:r>
              <w:rPr>
                <w:rFonts w:hint="default" w:ascii="Times New Roman" w:eastAsia="黑体"/>
                <w:color w:val="000000"/>
                <w:spacing w:val="-6"/>
                <w:kern w:val="21"/>
                <w:szCs w:val="21"/>
              </w:rPr>
              <w:fldChar w:fldCharType="end"/>
            </w:r>
          </w:p>
        </w:tc>
        <w:tc>
          <w:tcPr>
            <w:tcW w:w="1761"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16"/>
                <w:kern w:val="21"/>
                <w:szCs w:val="21"/>
              </w:rPr>
            </w:pPr>
            <w:r>
              <w:rPr>
                <w:rFonts w:hint="default" w:ascii="Times New Roman" w:eastAsia="黑体"/>
                <w:snapToGrid w:val="0"/>
                <w:color w:val="000000"/>
                <w:spacing w:val="-16"/>
                <w:kern w:val="21"/>
                <w:szCs w:val="21"/>
              </w:rPr>
              <w:t>以新带老削减量</w:t>
            </w:r>
          </w:p>
          <w:p>
            <w:pPr>
              <w:pStyle w:val="17"/>
              <w:widowControl/>
              <w:spacing w:before="31" w:line="240" w:lineRule="auto"/>
              <w:rPr>
                <w:rFonts w:hint="default" w:ascii="Times New Roman" w:eastAsia="黑体"/>
                <w:snapToGrid w:val="0"/>
                <w:color w:val="000000"/>
                <w:spacing w:val="-16"/>
                <w:kern w:val="21"/>
                <w:szCs w:val="21"/>
              </w:rPr>
            </w:pPr>
            <w:r>
              <w:rPr>
                <w:rFonts w:hint="default" w:ascii="Times New Roman" w:eastAsia="黑体"/>
                <w:snapToGrid w:val="0"/>
                <w:color w:val="000000"/>
                <w:spacing w:val="-16"/>
                <w:kern w:val="21"/>
                <w:szCs w:val="21"/>
              </w:rPr>
              <w:t>（新建项目不填）</w:t>
            </w:r>
            <w:r>
              <w:rPr>
                <w:rFonts w:hint="default" w:ascii="Times New Roman" w:eastAsia="黑体"/>
                <w:color w:val="000000"/>
                <w:spacing w:val="-16"/>
                <w:kern w:val="21"/>
                <w:szCs w:val="21"/>
              </w:rPr>
              <w:fldChar w:fldCharType="begin"/>
            </w:r>
            <w:r>
              <w:rPr>
                <w:rFonts w:hint="default" w:ascii="Times New Roman" w:eastAsia="黑体"/>
                <w:snapToGrid w:val="0"/>
                <w:color w:val="000000"/>
                <w:spacing w:val="-16"/>
                <w:kern w:val="21"/>
                <w:szCs w:val="21"/>
              </w:rPr>
              <w:instrText xml:space="preserve"> = 5 \* GB3 \* MERGEFORMAT </w:instrText>
            </w:r>
            <w:r>
              <w:rPr>
                <w:rFonts w:hint="default" w:ascii="Times New Roman" w:eastAsia="黑体"/>
                <w:color w:val="000000"/>
                <w:spacing w:val="-16"/>
                <w:kern w:val="21"/>
                <w:szCs w:val="21"/>
              </w:rPr>
              <w:fldChar w:fldCharType="separate"/>
            </w:r>
            <w:r>
              <w:rPr>
                <w:rFonts w:hAnsi="宋体" w:cs="宋体"/>
                <w:kern w:val="2"/>
                <w:szCs w:val="21"/>
              </w:rPr>
              <w:t>⑤</w:t>
            </w:r>
            <w:r>
              <w:rPr>
                <w:rFonts w:hint="default" w:ascii="Times New Roman" w:eastAsia="黑体"/>
                <w:color w:val="000000"/>
                <w:spacing w:val="-16"/>
                <w:kern w:val="21"/>
                <w:szCs w:val="21"/>
              </w:rPr>
              <w:fldChar w:fldCharType="end"/>
            </w:r>
          </w:p>
        </w:tc>
        <w:tc>
          <w:tcPr>
            <w:tcW w:w="195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16"/>
                <w:kern w:val="21"/>
                <w:szCs w:val="21"/>
              </w:rPr>
            </w:pPr>
            <w:r>
              <w:rPr>
                <w:rFonts w:hint="default" w:ascii="Times New Roman" w:eastAsia="黑体"/>
                <w:snapToGrid w:val="0"/>
                <w:color w:val="000000"/>
                <w:spacing w:val="-16"/>
                <w:kern w:val="21"/>
                <w:szCs w:val="21"/>
              </w:rPr>
              <w:t>本项目建成后</w:t>
            </w:r>
          </w:p>
          <w:p>
            <w:pPr>
              <w:pStyle w:val="17"/>
              <w:widowControl/>
              <w:spacing w:before="31" w:line="240" w:lineRule="auto"/>
              <w:rPr>
                <w:rFonts w:hint="default" w:ascii="Times New Roman" w:eastAsia="黑体"/>
                <w:snapToGrid w:val="0"/>
                <w:color w:val="000000"/>
                <w:spacing w:val="-16"/>
                <w:kern w:val="21"/>
                <w:szCs w:val="21"/>
              </w:rPr>
            </w:pPr>
            <w:r>
              <w:rPr>
                <w:rFonts w:hint="default" w:ascii="Times New Roman" w:eastAsia="黑体"/>
                <w:snapToGrid w:val="0"/>
                <w:color w:val="000000"/>
                <w:spacing w:val="-16"/>
                <w:kern w:val="21"/>
                <w:szCs w:val="21"/>
              </w:rPr>
              <w:t>全厂排放量（固体废物产生量）</w:t>
            </w:r>
            <w:r>
              <w:rPr>
                <w:rFonts w:hint="default" w:ascii="Times New Roman" w:eastAsia="黑体"/>
                <w:color w:val="000000"/>
                <w:spacing w:val="-16"/>
                <w:kern w:val="21"/>
                <w:szCs w:val="21"/>
              </w:rPr>
              <w:fldChar w:fldCharType="begin"/>
            </w:r>
            <w:r>
              <w:rPr>
                <w:rFonts w:hint="default" w:ascii="Times New Roman" w:eastAsia="黑体"/>
                <w:snapToGrid w:val="0"/>
                <w:color w:val="000000"/>
                <w:spacing w:val="-16"/>
                <w:kern w:val="21"/>
                <w:szCs w:val="21"/>
              </w:rPr>
              <w:instrText xml:space="preserve"> = 6 \* GB3 \* MERGEFORMAT </w:instrText>
            </w:r>
            <w:r>
              <w:rPr>
                <w:rFonts w:hint="default" w:ascii="Times New Roman" w:eastAsia="黑体"/>
                <w:color w:val="000000"/>
                <w:spacing w:val="-16"/>
                <w:kern w:val="21"/>
                <w:szCs w:val="21"/>
              </w:rPr>
              <w:fldChar w:fldCharType="separate"/>
            </w:r>
            <w:r>
              <w:rPr>
                <w:rFonts w:hAnsi="宋体" w:cs="宋体"/>
                <w:kern w:val="2"/>
                <w:szCs w:val="21"/>
              </w:rPr>
              <w:t>⑥</w:t>
            </w:r>
            <w:r>
              <w:rPr>
                <w:rFonts w:hint="default" w:ascii="Times New Roman" w:eastAsia="黑体"/>
                <w:color w:val="000000"/>
                <w:spacing w:val="-16"/>
                <w:kern w:val="21"/>
                <w:szCs w:val="21"/>
              </w:rPr>
              <w:fldChar w:fldCharType="end"/>
            </w:r>
          </w:p>
        </w:tc>
        <w:tc>
          <w:tcPr>
            <w:tcW w:w="826" w:type="dxa"/>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pPr>
              <w:pStyle w:val="17"/>
              <w:widowControl/>
              <w:spacing w:before="31" w:line="240" w:lineRule="auto"/>
              <w:rPr>
                <w:rFonts w:hint="default" w:ascii="Times New Roman" w:eastAsia="黑体"/>
                <w:color w:val="000000"/>
                <w:spacing w:val="-6"/>
                <w:kern w:val="21"/>
                <w:szCs w:val="21"/>
              </w:rPr>
            </w:pPr>
            <w:r>
              <w:rPr>
                <w:rFonts w:hint="default" w:ascii="Times New Roman" w:eastAsia="黑体"/>
                <w:snapToGrid w:val="0"/>
                <w:color w:val="000000"/>
                <w:spacing w:val="-6"/>
                <w:kern w:val="21"/>
                <w:szCs w:val="21"/>
              </w:rPr>
              <w:t>变化量</w:t>
            </w:r>
          </w:p>
          <w:p>
            <w:pPr>
              <w:pStyle w:val="17"/>
              <w:widowControl/>
              <w:spacing w:before="31" w:line="240" w:lineRule="auto"/>
              <w:rPr>
                <w:rFonts w:hint="default" w:ascii="Times New Roman" w:eastAsia="黑体"/>
                <w:snapToGrid w:val="0"/>
                <w:color w:val="000000"/>
                <w:spacing w:val="-6"/>
                <w:kern w:val="21"/>
                <w:szCs w:val="21"/>
              </w:rPr>
            </w:pPr>
            <w:r>
              <w:rPr>
                <w:rFonts w:hint="default" w:ascii="Times New Roman" w:eastAsia="黑体"/>
                <w:color w:val="000000"/>
                <w:spacing w:val="-6"/>
                <w:kern w:val="21"/>
                <w:szCs w:val="21"/>
              </w:rPr>
              <w:fldChar w:fldCharType="begin"/>
            </w:r>
            <w:r>
              <w:rPr>
                <w:rFonts w:hint="default" w:ascii="Times New Roman" w:eastAsia="黑体"/>
                <w:color w:val="000000"/>
                <w:spacing w:val="-6"/>
                <w:kern w:val="21"/>
                <w:szCs w:val="21"/>
              </w:rPr>
              <w:instrText xml:space="preserve"> </w:instrText>
            </w:r>
            <w:r>
              <w:rPr>
                <w:rFonts w:hint="default" w:ascii="Times New Roman" w:eastAsia="黑体"/>
                <w:snapToGrid w:val="0"/>
                <w:color w:val="000000"/>
                <w:spacing w:val="-6"/>
                <w:kern w:val="21"/>
                <w:szCs w:val="21"/>
              </w:rPr>
              <w:instrText xml:space="preserve">= 7 \* GB3 \* MERGEFORMAT </w:instrText>
            </w:r>
            <w:r>
              <w:rPr>
                <w:rFonts w:hint="default" w:ascii="Times New Roman" w:eastAsia="黑体"/>
                <w:color w:val="000000"/>
                <w:spacing w:val="-6"/>
                <w:kern w:val="21"/>
                <w:szCs w:val="21"/>
              </w:rPr>
              <w:fldChar w:fldCharType="separate"/>
            </w:r>
            <w:r>
              <w:rPr>
                <w:rFonts w:hAnsi="宋体" w:cs="宋体"/>
                <w:kern w:val="2"/>
                <w:szCs w:val="21"/>
              </w:rPr>
              <w:t>⑦</w:t>
            </w:r>
            <w:r>
              <w:rPr>
                <w:rFonts w:hint="default" w:ascii="Times New Roman" w:eastAsia="黑体"/>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color w:val="000000"/>
                <w:kern w:val="21"/>
                <w:szCs w:val="21"/>
              </w:rPr>
            </w:pPr>
            <w:r>
              <w:rPr>
                <w:rFonts w:hint="default" w:ascii="Times New Roman"/>
                <w:snapToGrid w:val="0"/>
                <w:color w:val="000000"/>
                <w:kern w:val="21"/>
                <w:szCs w:val="21"/>
              </w:rPr>
              <w:t>废气</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颗粒物</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31.20</w:t>
            </w:r>
            <w:r>
              <w:rPr>
                <w:rFonts w:hint="eastAsia" w:ascii="Times New Roman"/>
                <w:szCs w:val="21"/>
                <w:lang w:val="en-US" w:eastAsia="zh-CN"/>
              </w:rPr>
              <w:t>7</w:t>
            </w:r>
            <w:r>
              <w:rPr>
                <w:rFonts w:hint="default" w:ascii="Times New Roman"/>
                <w:szCs w:val="21"/>
              </w:rPr>
              <w:t xml:space="preserve"> kg/a</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31.20</w:t>
            </w:r>
            <w:r>
              <w:rPr>
                <w:rFonts w:hint="eastAsia" w:ascii="Times New Roman"/>
                <w:szCs w:val="21"/>
                <w:lang w:val="en-US" w:eastAsia="zh-CN"/>
              </w:rPr>
              <w:t>7</w:t>
            </w:r>
            <w:r>
              <w:rPr>
                <w:rFonts w:hint="default" w:ascii="Times New Roman"/>
                <w:szCs w:val="21"/>
              </w:rPr>
              <w:t xml:space="preserve"> kg/a</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bCs/>
                <w:szCs w:val="21"/>
              </w:rPr>
              <w:t>SO</w:t>
            </w:r>
            <w:r>
              <w:rPr>
                <w:rFonts w:hint="default" w:ascii="Times New Roman"/>
                <w:bCs/>
                <w:szCs w:val="21"/>
                <w:vertAlign w:val="subscript"/>
              </w:rPr>
              <w:t>2</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0.085</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0.085</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bCs/>
                <w:szCs w:val="21"/>
              </w:rPr>
              <w:t>NO</w:t>
            </w:r>
            <w:r>
              <w:rPr>
                <w:rFonts w:hint="default" w:ascii="Times New Roman"/>
                <w:bCs/>
                <w:szCs w:val="21"/>
                <w:vertAlign w:val="subscript"/>
              </w:rPr>
              <w:t>x</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0.083</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0.083</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沥青烟</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0.562 kg/a</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0.562 kg/a</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苯并[a]芘</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0.562×10</w:t>
            </w:r>
            <w:r>
              <w:rPr>
                <w:rFonts w:hint="default" w:ascii="Times New Roman"/>
                <w:szCs w:val="21"/>
                <w:vertAlign w:val="superscript"/>
              </w:rPr>
              <w:t>-3</w:t>
            </w:r>
            <w:r>
              <w:rPr>
                <w:rFonts w:hint="default" w:ascii="Times New Roman"/>
                <w:szCs w:val="21"/>
              </w:rPr>
              <w:t xml:space="preserve"> kg/a</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zCs w:val="21"/>
              </w:rPr>
              <w:t>0.562×10</w:t>
            </w:r>
            <w:r>
              <w:rPr>
                <w:rFonts w:hint="default" w:ascii="Times New Roman"/>
                <w:szCs w:val="21"/>
                <w:vertAlign w:val="superscript"/>
              </w:rPr>
              <w:t>-3</w:t>
            </w:r>
            <w:r>
              <w:rPr>
                <w:rFonts w:hint="default" w:ascii="Times New Roman"/>
                <w:szCs w:val="21"/>
              </w:rPr>
              <w:t xml:space="preserve"> kg/a</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color w:val="000000"/>
                <w:kern w:val="21"/>
                <w:szCs w:val="21"/>
              </w:rPr>
            </w:pPr>
            <w:r>
              <w:rPr>
                <w:rFonts w:hint="default" w:ascii="Times New Roman"/>
                <w:snapToGrid w:val="0"/>
                <w:color w:val="000000"/>
                <w:kern w:val="21"/>
                <w:szCs w:val="21"/>
              </w:rPr>
              <w:t>一般工业</w:t>
            </w:r>
          </w:p>
          <w:p>
            <w:pPr>
              <w:pStyle w:val="17"/>
              <w:widowControl/>
              <w:spacing w:before="31" w:line="240" w:lineRule="auto"/>
              <w:rPr>
                <w:rFonts w:hint="default" w:ascii="Times New Roman"/>
                <w:color w:val="000000"/>
                <w:kern w:val="21"/>
                <w:szCs w:val="21"/>
              </w:rPr>
            </w:pPr>
            <w:r>
              <w:rPr>
                <w:rFonts w:hint="default" w:ascii="Times New Roman"/>
                <w:snapToGrid w:val="0"/>
                <w:color w:val="000000"/>
                <w:kern w:val="21"/>
                <w:szCs w:val="21"/>
              </w:rPr>
              <w:t>固体废物</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不合格石料</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3.5</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3.5</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cBorders>
            <w:shd w:val="clear" w:color="auto" w:fill="auto"/>
            <w:vAlign w:val="center"/>
          </w:tcP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废布袋</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0.1</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0.1</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bottom w:val="single" w:color="auto" w:sz="8" w:space="0"/>
              <w:right w:val="single" w:color="auto" w:sz="4" w:space="0"/>
            </w:tcBorders>
            <w:shd w:val="clear" w:color="auto" w:fill="auto"/>
            <w:vAlign w:val="center"/>
          </w:tcPr>
          <w:p>
            <w:pPr>
              <w:pStyle w:val="17"/>
              <w:widowControl/>
              <w:spacing w:before="31" w:line="240" w:lineRule="auto"/>
              <w:rPr>
                <w:rFonts w:hint="default" w:ascii="Times New Roman"/>
                <w:color w:val="000000"/>
                <w:kern w:val="21"/>
                <w:szCs w:val="21"/>
              </w:rPr>
            </w:pPr>
            <w:r>
              <w:rPr>
                <w:rFonts w:hint="default" w:ascii="Times New Roman"/>
                <w:snapToGrid w:val="0"/>
                <w:color w:val="000000"/>
                <w:kern w:val="21"/>
                <w:szCs w:val="21"/>
              </w:rPr>
              <w:t>危险废物</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废活性炭</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0.4</w:t>
            </w:r>
          </w:p>
        </w:tc>
        <w:tc>
          <w:tcPr>
            <w:tcW w:w="176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c>
          <w:tcPr>
            <w:tcW w:w="19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r>
              <w:rPr>
                <w:rFonts w:hint="default" w:ascii="Times New Roman"/>
                <w:snapToGrid w:val="0"/>
                <w:color w:val="000000"/>
                <w:kern w:val="21"/>
                <w:szCs w:val="21"/>
              </w:rPr>
              <w:t>0.4</w:t>
            </w:r>
          </w:p>
        </w:tc>
        <w:tc>
          <w:tcPr>
            <w:tcW w:w="826"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7"/>
              <w:widowControl/>
              <w:spacing w:before="31" w:line="240" w:lineRule="auto"/>
              <w:rPr>
                <w:rFonts w:hint="default" w:ascii="Times New Roman"/>
                <w:snapToGrid w:val="0"/>
                <w:color w:val="000000"/>
                <w:kern w:val="21"/>
                <w:szCs w:val="21"/>
              </w:rPr>
            </w:pPr>
          </w:p>
        </w:tc>
      </w:tr>
    </w:tbl>
    <w:p>
      <w:pPr>
        <w:pStyle w:val="17"/>
        <w:widowControl/>
        <w:spacing w:before="249" w:beforeLines="80" w:after="24"/>
        <w:jc w:val="left"/>
        <w:rPr>
          <w:rFonts w:hint="default" w:hAnsi="宋体"/>
          <w:snapToGrid w:val="0"/>
          <w:color w:val="000000"/>
          <w:spacing w:val="-6"/>
          <w:kern w:val="21"/>
          <w:szCs w:val="21"/>
        </w:rPr>
      </w:pPr>
      <w:r>
        <w:rPr>
          <w:rFonts w:hAnsi="宋体"/>
          <w:snapToGrid w:val="0"/>
          <w:color w:val="000000"/>
          <w:kern w:val="21"/>
          <w:szCs w:val="21"/>
        </w:rPr>
        <w:t>注：</w:t>
      </w:r>
      <w:r>
        <w:rPr>
          <w:rFonts w:hAnsi="宋体"/>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color w:val="000000"/>
          <w:spacing w:val="-16"/>
          <w:kern w:val="21"/>
          <w:szCs w:val="21"/>
        </w:rPr>
        <w:fldChar w:fldCharType="separate"/>
      </w:r>
      <w:r>
        <w:rPr>
          <w:rFonts w:hAnsi="宋体"/>
          <w:szCs w:val="21"/>
        </w:rPr>
        <w:t>⑥</w:t>
      </w:r>
      <w:r>
        <w:rPr>
          <w:rFonts w:hAnsi="宋体"/>
          <w:color w:val="000000"/>
          <w:spacing w:val="-16"/>
          <w:kern w:val="21"/>
          <w:szCs w:val="21"/>
        </w:rPr>
        <w:fldChar w:fldCharType="end"/>
      </w:r>
      <w:r>
        <w:rPr>
          <w:rFonts w:hAnsi="宋体"/>
          <w:snapToGrid w:val="0"/>
          <w:color w:val="000000"/>
          <w:spacing w:val="-16"/>
          <w:kern w:val="21"/>
          <w:szCs w:val="21"/>
        </w:rPr>
        <w:t>=</w:t>
      </w:r>
      <w:r>
        <w:rPr>
          <w:rFonts w:hAnsi="宋体"/>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color w:val="000000"/>
          <w:spacing w:val="-6"/>
          <w:kern w:val="21"/>
          <w:szCs w:val="21"/>
        </w:rPr>
        <w:fldChar w:fldCharType="separate"/>
      </w:r>
      <w:r>
        <w:rPr>
          <w:rFonts w:hAnsi="宋体"/>
          <w:szCs w:val="21"/>
        </w:rPr>
        <w:t>①</w:t>
      </w:r>
      <w:r>
        <w:rPr>
          <w:rFonts w:hAnsi="宋体"/>
          <w:color w:val="000000"/>
          <w:spacing w:val="-6"/>
          <w:kern w:val="21"/>
          <w:szCs w:val="21"/>
        </w:rPr>
        <w:fldChar w:fldCharType="end"/>
      </w:r>
      <w:r>
        <w:rPr>
          <w:rFonts w:hAnsi="宋体"/>
          <w:snapToGrid w:val="0"/>
          <w:color w:val="000000"/>
          <w:spacing w:val="-6"/>
          <w:kern w:val="21"/>
          <w:szCs w:val="21"/>
        </w:rPr>
        <w:t>+</w:t>
      </w:r>
      <w:r>
        <w:rPr>
          <w:rFonts w:hAnsi="宋体"/>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color w:val="000000"/>
          <w:spacing w:val="-6"/>
          <w:kern w:val="21"/>
          <w:szCs w:val="21"/>
        </w:rPr>
        <w:fldChar w:fldCharType="separate"/>
      </w:r>
      <w:r>
        <w:rPr>
          <w:rFonts w:hAnsi="宋体"/>
          <w:szCs w:val="21"/>
        </w:rPr>
        <w:t>③</w:t>
      </w:r>
      <w:r>
        <w:rPr>
          <w:rFonts w:hAnsi="宋体"/>
          <w:color w:val="000000"/>
          <w:spacing w:val="-6"/>
          <w:kern w:val="21"/>
          <w:szCs w:val="21"/>
        </w:rPr>
        <w:fldChar w:fldCharType="end"/>
      </w:r>
      <w:r>
        <w:rPr>
          <w:rFonts w:hAnsi="宋体"/>
          <w:snapToGrid w:val="0"/>
          <w:color w:val="000000"/>
          <w:spacing w:val="-6"/>
          <w:kern w:val="21"/>
          <w:szCs w:val="21"/>
        </w:rPr>
        <w:t>+</w:t>
      </w:r>
      <w:r>
        <w:rPr>
          <w:rFonts w:hAnsi="宋体"/>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color w:val="000000"/>
          <w:spacing w:val="-6"/>
          <w:kern w:val="21"/>
          <w:szCs w:val="21"/>
        </w:rPr>
        <w:fldChar w:fldCharType="separate"/>
      </w:r>
      <w:r>
        <w:rPr>
          <w:rFonts w:hAnsi="宋体"/>
          <w:szCs w:val="21"/>
        </w:rPr>
        <w:t>④</w:t>
      </w:r>
      <w:r>
        <w:rPr>
          <w:rFonts w:hAnsi="宋体"/>
          <w:color w:val="000000"/>
          <w:spacing w:val="-6"/>
          <w:kern w:val="21"/>
          <w:szCs w:val="21"/>
        </w:rPr>
        <w:fldChar w:fldCharType="end"/>
      </w:r>
      <w:r>
        <w:rPr>
          <w:rFonts w:hAnsi="宋体"/>
          <w:snapToGrid w:val="0"/>
          <w:color w:val="000000"/>
          <w:spacing w:val="-6"/>
          <w:kern w:val="21"/>
          <w:szCs w:val="21"/>
        </w:rPr>
        <w:t>-</w:t>
      </w:r>
      <w:r>
        <w:rPr>
          <w:rFonts w:hAnsi="宋体"/>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color w:val="000000"/>
          <w:spacing w:val="-16"/>
          <w:kern w:val="21"/>
          <w:szCs w:val="21"/>
        </w:rPr>
        <w:fldChar w:fldCharType="separate"/>
      </w:r>
      <w:r>
        <w:rPr>
          <w:rFonts w:hAnsi="宋体"/>
          <w:szCs w:val="21"/>
        </w:rPr>
        <w:t>⑤</w:t>
      </w:r>
      <w:r>
        <w:rPr>
          <w:rFonts w:hAnsi="宋体"/>
          <w:color w:val="000000"/>
          <w:spacing w:val="-16"/>
          <w:kern w:val="21"/>
          <w:szCs w:val="21"/>
        </w:rPr>
        <w:fldChar w:fldCharType="end"/>
      </w:r>
      <w:r>
        <w:rPr>
          <w:rFonts w:hAnsi="宋体"/>
          <w:snapToGrid w:val="0"/>
          <w:color w:val="000000"/>
          <w:spacing w:val="-16"/>
          <w:kern w:val="21"/>
          <w:szCs w:val="21"/>
        </w:rPr>
        <w:t>；</w:t>
      </w:r>
      <w:r>
        <w:rPr>
          <w:rFonts w:hAnsi="宋体"/>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color w:val="000000"/>
          <w:spacing w:val="-6"/>
          <w:kern w:val="21"/>
          <w:szCs w:val="21"/>
        </w:rPr>
        <w:fldChar w:fldCharType="separate"/>
      </w:r>
      <w:r>
        <w:rPr>
          <w:rFonts w:hAnsi="宋体"/>
          <w:szCs w:val="21"/>
        </w:rPr>
        <w:t>⑦</w:t>
      </w:r>
      <w:r>
        <w:rPr>
          <w:rFonts w:hAnsi="宋体"/>
          <w:color w:val="000000"/>
          <w:spacing w:val="-6"/>
          <w:kern w:val="21"/>
          <w:szCs w:val="21"/>
        </w:rPr>
        <w:fldChar w:fldCharType="end"/>
      </w:r>
      <w:r>
        <w:rPr>
          <w:rFonts w:hAnsi="宋体"/>
          <w:snapToGrid w:val="0"/>
          <w:color w:val="000000"/>
          <w:spacing w:val="-6"/>
          <w:kern w:val="21"/>
          <w:szCs w:val="21"/>
        </w:rPr>
        <w:t>=</w:t>
      </w:r>
      <w:r>
        <w:rPr>
          <w:rFonts w:hAnsi="宋体"/>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color w:val="000000"/>
          <w:spacing w:val="-16"/>
          <w:kern w:val="21"/>
          <w:szCs w:val="21"/>
        </w:rPr>
        <w:fldChar w:fldCharType="separate"/>
      </w:r>
      <w:r>
        <w:rPr>
          <w:rFonts w:hAnsi="宋体"/>
          <w:szCs w:val="21"/>
        </w:rPr>
        <w:t>⑥</w:t>
      </w:r>
      <w:r>
        <w:rPr>
          <w:rFonts w:hAnsi="宋体"/>
          <w:color w:val="000000"/>
          <w:spacing w:val="-16"/>
          <w:kern w:val="21"/>
          <w:szCs w:val="21"/>
        </w:rPr>
        <w:fldChar w:fldCharType="end"/>
      </w:r>
      <w:r>
        <w:rPr>
          <w:rFonts w:hAnsi="宋体"/>
          <w:snapToGrid w:val="0"/>
          <w:color w:val="000000"/>
          <w:spacing w:val="-16"/>
          <w:kern w:val="21"/>
          <w:szCs w:val="21"/>
        </w:rPr>
        <w:t>-</w:t>
      </w:r>
      <w:r>
        <w:rPr>
          <w:rFonts w:hAnsi="宋体"/>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color w:val="000000"/>
          <w:spacing w:val="-6"/>
          <w:kern w:val="21"/>
          <w:szCs w:val="21"/>
        </w:rPr>
        <w:fldChar w:fldCharType="separate"/>
      </w:r>
      <w:r>
        <w:rPr>
          <w:rFonts w:hAnsi="宋体"/>
          <w:szCs w:val="21"/>
        </w:rPr>
        <w:t>①</w:t>
      </w:r>
      <w:r>
        <w:rPr>
          <w:rFonts w:hAnsi="宋体"/>
          <w:color w:val="000000"/>
          <w:spacing w:val="-6"/>
          <w:kern w:val="21"/>
          <w:szCs w:val="21"/>
        </w:rPr>
        <w:fldChar w:fldCharType="end"/>
      </w:r>
    </w:p>
    <w:p>
      <w:pPr>
        <w:rPr>
          <w:lang w:bidi="ar"/>
        </w:rPr>
        <w:sectPr>
          <w:footerReference r:id="rId5" w:type="default"/>
          <w:pgSz w:w="16838" w:h="11906" w:orient="landscape"/>
          <w:pgMar w:top="1702" w:right="1531" w:bottom="1702" w:left="1531" w:header="851" w:footer="851" w:gutter="0"/>
          <w:cols w:space="425" w:num="1"/>
          <w:docGrid w:type="lines" w:linePitch="312" w:charSpace="0"/>
        </w:sectPr>
      </w:pPr>
    </w:p>
    <w:p>
      <w:pPr>
        <w:pStyle w:val="8"/>
        <w:tabs>
          <w:tab w:val="left" w:pos="5472"/>
        </w:tabs>
        <w:adjustRightInd w:val="0"/>
        <w:snapToGrid w:val="0"/>
        <w:spacing w:beforeAutospacing="0" w:afterAutospacing="0"/>
        <w:jc w:val="both"/>
        <w:rPr>
          <w:rFonts w:hint="default"/>
          <w:sz w:val="21"/>
          <w:szCs w:val="21"/>
        </w:rPr>
      </w:pPr>
      <w:r>
        <w:rPr>
          <w:rFonts w:hint="default" w:ascii="Times New Roman" w:hAnsi="Times New Roman"/>
          <w:b/>
          <w:bCs/>
          <w:szCs w:val="24"/>
        </w:rPr>
        <mc:AlternateContent>
          <mc:Choice Requires="wps">
            <w:drawing>
              <wp:anchor distT="0" distB="0" distL="114300" distR="114300" simplePos="0" relativeHeight="251670528" behindDoc="0" locked="0" layoutInCell="1" allowOverlap="1">
                <wp:simplePos x="0" y="0"/>
                <wp:positionH relativeFrom="column">
                  <wp:posOffset>5517515</wp:posOffset>
                </wp:positionH>
                <wp:positionV relativeFrom="paragraph">
                  <wp:posOffset>2291080</wp:posOffset>
                </wp:positionV>
                <wp:extent cx="1089025" cy="294005"/>
                <wp:effectExtent l="0" t="0" r="339725" b="277495"/>
                <wp:wrapNone/>
                <wp:docPr id="13" name="对话气泡: 矩形 13"/>
                <wp:cNvGraphicFramePr/>
                <a:graphic xmlns:a="http://schemas.openxmlformats.org/drawingml/2006/main">
                  <a:graphicData uri="http://schemas.microsoft.com/office/word/2010/wordprocessingShape">
                    <wps:wsp>
                      <wps:cNvSpPr/>
                      <wps:spPr>
                        <a:xfrm>
                          <a:off x="0" y="0"/>
                          <a:ext cx="1089025" cy="294005"/>
                        </a:xfrm>
                        <a:prstGeom prst="wedgeRectCallout">
                          <a:avLst>
                            <a:gd name="adj1" fmla="val 72623"/>
                            <a:gd name="adj2" fmla="val 132816"/>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pPr>
                            <w:r>
                              <w:rPr>
                                <w:rFonts w:hint="eastAsia"/>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3" o:spid="_x0000_s1026" o:spt="61" type="#_x0000_t61" style="position:absolute;left:0pt;margin-left:434.45pt;margin-top:180.4pt;height:23.15pt;width:85.75pt;z-index:251670528;v-text-anchor:middle;mso-width-relative:page;mso-height-relative:page;" fillcolor="#FFFFFF" filled="t" stroked="t" coordsize="21600,21600" o:gfxdata="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DyWO2gAAAAwBAAAPAAAAAAAA&#10;AAEAIAAAACIAAABkcnMvZG93bnJldi54bWxQSwECFAAUAAAACACHTuJAGlOiYrsCAABtBQAADgAA&#10;AAAAAAABACAAAAApAQAAZHJzL2Uyb0RvYy54bWxQSwUGAAAAAAYABgBZAQAAVgYAAAAA&#10;" adj="26487,39488">
                <v:fill on="t" focussize="0,0"/>
                <v:stroke weight="1pt" color="#000000 [3213]" miterlimit="8" joinstyle="miter"/>
                <v:imagedata o:title=""/>
                <o:lock v:ext="edit" aspectratio="f"/>
                <v:textbox>
                  <w:txbxContent>
                    <w:p>
                      <w:pPr>
                        <w:jc w:val="center"/>
                        <w:rPr>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pPr>
                      <w:r>
                        <w:rPr>
                          <w:rFonts w:hint="eastAsia"/>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t>项目所在位置</w:t>
                      </w:r>
                    </w:p>
                  </w:txbxContent>
                </v:textbox>
              </v:shape>
            </w:pict>
          </mc:Fallback>
        </mc:AlternateContent>
      </w:r>
      <w:r>
        <w:rPr>
          <w:rFonts w:hint="default" w:ascii="Times New Roman" w:hAnsi="Times New Roman"/>
          <w:b/>
          <w:bCs/>
          <w:szCs w:val="24"/>
        </w:rPr>
        <mc:AlternateContent>
          <mc:Choice Requires="wps">
            <w:drawing>
              <wp:anchor distT="0" distB="0" distL="114300" distR="114300" simplePos="0" relativeHeight="251669504" behindDoc="0" locked="0" layoutInCell="1" allowOverlap="1">
                <wp:simplePos x="0" y="0"/>
                <wp:positionH relativeFrom="column">
                  <wp:posOffset>6858635</wp:posOffset>
                </wp:positionH>
                <wp:positionV relativeFrom="paragraph">
                  <wp:posOffset>2813685</wp:posOffset>
                </wp:positionV>
                <wp:extent cx="45720" cy="45720"/>
                <wp:effectExtent l="0" t="0" r="11430" b="11430"/>
                <wp:wrapNone/>
                <wp:docPr id="12" name="椭圆 12"/>
                <wp:cNvGraphicFramePr/>
                <a:graphic xmlns:a="http://schemas.openxmlformats.org/drawingml/2006/main">
                  <a:graphicData uri="http://schemas.microsoft.com/office/word/2010/wordprocessingShape">
                    <wps:wsp>
                      <wps:cNvSpPr/>
                      <wps:spPr>
                        <a:xfrm>
                          <a:off x="0" y="0"/>
                          <a:ext cx="45720" cy="4572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40.05pt;margin-top:221.55pt;height:3.6pt;width:3.6pt;z-index:251669504;v-text-anchor:middle;mso-width-relative:page;mso-height-relative:page;" fillcolor="#FF0000" filled="t" stroked="t" coordsize="21600,21600" o:gfxdata="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yKgIDXAAAADQEAAA8AAAAAAAAAAQAgAAAAIgAAAGRycy9kb3ducmV2LnhtbFBLAQIU&#10;ABQAAAAIAIdO4kA1WD2TZgIAAPYEAAAOAAAAAAAAAAEAIAAAACYBAABkcnMvZTJvRG9jLnhtbFBL&#10;BQYAAAAABgAGAFkBAAD+BQAAAAA=&#10;">
                <v:fill on="t" focussize="0,0"/>
                <v:stroke weight="1pt" color="#FF0000 [3204]" miterlimit="8" joinstyle="miter"/>
                <v:imagedata o:title=""/>
                <o:lock v:ext="edit" aspectratio="f"/>
              </v:shape>
            </w:pict>
          </mc:Fallback>
        </mc:AlternateContent>
      </w:r>
      <w:r>
        <w:drawing>
          <wp:anchor distT="0" distB="0" distL="114300" distR="114300" simplePos="0" relativeHeight="251671552" behindDoc="0" locked="0" layoutInCell="1" allowOverlap="1">
            <wp:simplePos x="0" y="0"/>
            <wp:positionH relativeFrom="column">
              <wp:posOffset>8213090</wp:posOffset>
            </wp:positionH>
            <wp:positionV relativeFrom="paragraph">
              <wp:posOffset>-1270</wp:posOffset>
            </wp:positionV>
            <wp:extent cx="314325" cy="429260"/>
            <wp:effectExtent l="0" t="0" r="9525" b="889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14419" cy="429371"/>
                    </a:xfrm>
                    <a:prstGeom prst="rect">
                      <a:avLst/>
                    </a:prstGeom>
                    <a:noFill/>
                    <a:ln>
                      <a:noFill/>
                    </a:ln>
                  </pic:spPr>
                </pic:pic>
              </a:graphicData>
            </a:graphic>
          </wp:anchor>
        </w:drawing>
      </w:r>
      <w:r>
        <w:rPr>
          <w:sz w:val="21"/>
          <w:szCs w:val="21"/>
        </w:rPr>
        <w:drawing>
          <wp:inline distT="0" distB="0" distL="0" distR="0">
            <wp:extent cx="8530590" cy="5092700"/>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8530590" cy="5092700"/>
                    </a:xfrm>
                    <a:prstGeom prst="rect">
                      <a:avLst/>
                    </a:prstGeom>
                    <a:noFill/>
                    <a:ln>
                      <a:noFill/>
                    </a:ln>
                  </pic:spPr>
                </pic:pic>
              </a:graphicData>
            </a:graphic>
          </wp:inline>
        </w:drawing>
      </w:r>
    </w:p>
    <w:p>
      <w:pPr>
        <w:pStyle w:val="8"/>
        <w:tabs>
          <w:tab w:val="left" w:pos="5472"/>
        </w:tabs>
        <w:adjustRightInd w:val="0"/>
        <w:snapToGrid w:val="0"/>
        <w:spacing w:beforeAutospacing="0" w:afterAutospacing="0"/>
        <w:jc w:val="both"/>
        <w:rPr>
          <w:rFonts w:hint="default"/>
          <w:sz w:val="21"/>
          <w:szCs w:val="21"/>
        </w:rPr>
      </w:pPr>
    </w:p>
    <w:p>
      <w:pPr>
        <w:pStyle w:val="8"/>
        <w:tabs>
          <w:tab w:val="left" w:pos="5472"/>
        </w:tabs>
        <w:adjustRightInd w:val="0"/>
        <w:snapToGrid w:val="0"/>
        <w:spacing w:beforeAutospacing="0" w:afterAutospacing="0"/>
        <w:jc w:val="center"/>
        <w:rPr>
          <w:rFonts w:hint="default" w:ascii="Times New Roman" w:hAnsi="Times New Roman"/>
          <w:b/>
          <w:bCs/>
          <w:szCs w:val="24"/>
        </w:rPr>
      </w:pPr>
      <w:r>
        <w:rPr>
          <w:rFonts w:hint="default" w:ascii="Times New Roman" w:hAnsi="Times New Roman"/>
          <w:b/>
          <w:bCs/>
          <w:szCs w:val="24"/>
        </w:rPr>
        <w:t>附图1  项目地理位置图</w:t>
      </w:r>
    </w:p>
    <w:p>
      <w:pPr>
        <w:adjustRightInd w:val="0"/>
        <w:snapToGrid w:val="0"/>
        <w:sectPr>
          <w:pgSz w:w="16838" w:h="11906" w:orient="landscape"/>
          <w:pgMar w:top="1531" w:right="1702" w:bottom="1531" w:left="1702" w:header="851" w:footer="851" w:gutter="0"/>
          <w:cols w:space="425" w:num="1"/>
          <w:docGrid w:type="lines" w:linePitch="312" w:charSpace="0"/>
        </w:sectPr>
      </w:pPr>
    </w:p>
    <w:p>
      <w:pPr>
        <w:pStyle w:val="8"/>
        <w:tabs>
          <w:tab w:val="left" w:pos="5472"/>
        </w:tabs>
        <w:adjustRightInd w:val="0"/>
        <w:snapToGrid w:val="0"/>
        <w:spacing w:beforeAutospacing="0" w:afterAutospacing="0"/>
        <w:jc w:val="both"/>
        <w:outlineLvl w:val="0"/>
        <w:rPr>
          <w:rFonts w:hint="default"/>
        </w:rPr>
      </w:pPr>
      <w:r>
        <w:drawing>
          <wp:anchor distT="0" distB="0" distL="114300" distR="114300" simplePos="0" relativeHeight="251674624" behindDoc="0" locked="0" layoutInCell="1" allowOverlap="1">
            <wp:simplePos x="0" y="0"/>
            <wp:positionH relativeFrom="column">
              <wp:posOffset>8197215</wp:posOffset>
            </wp:positionH>
            <wp:positionV relativeFrom="paragraph">
              <wp:posOffset>29845</wp:posOffset>
            </wp:positionV>
            <wp:extent cx="314325" cy="429260"/>
            <wp:effectExtent l="0" t="0" r="9525" b="889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14325" cy="429260"/>
                    </a:xfrm>
                    <a:prstGeom prst="rect">
                      <a:avLst/>
                    </a:prstGeom>
                    <a:noFill/>
                    <a:ln>
                      <a:noFill/>
                    </a:ln>
                  </pic:spPr>
                </pic:pic>
              </a:graphicData>
            </a:graphic>
          </wp:anchor>
        </w:drawing>
      </w:r>
      <w:r>
        <mc:AlternateContent>
          <mc:Choice Requires="wps">
            <w:drawing>
              <wp:anchor distT="0" distB="0" distL="114300" distR="114300" simplePos="0" relativeHeight="251683840" behindDoc="0" locked="0" layoutInCell="1" allowOverlap="1">
                <wp:simplePos x="0" y="0"/>
                <wp:positionH relativeFrom="column">
                  <wp:posOffset>3307715</wp:posOffset>
                </wp:positionH>
                <wp:positionV relativeFrom="paragraph">
                  <wp:posOffset>1953260</wp:posOffset>
                </wp:positionV>
                <wp:extent cx="879475" cy="521335"/>
                <wp:effectExtent l="38100" t="38100" r="15875" b="31750"/>
                <wp:wrapNone/>
                <wp:docPr id="20" name="直接箭头连接符 20"/>
                <wp:cNvGraphicFramePr/>
                <a:graphic xmlns:a="http://schemas.openxmlformats.org/drawingml/2006/main">
                  <a:graphicData uri="http://schemas.microsoft.com/office/word/2010/wordprocessingShape">
                    <wps:wsp>
                      <wps:cNvCnPr/>
                      <wps:spPr>
                        <a:xfrm flipH="1" flipV="1">
                          <a:off x="0" y="0"/>
                          <a:ext cx="879475" cy="52111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60.45pt;margin-top:153.8pt;height:41.05pt;width:69.25pt;z-index:251683840;mso-width-relative:page;mso-height-relative:page;" filled="f" stroked="t" coordsize="21600,21600" o:gfxdata="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PlrvNgAAAALAQAA&#10;DwAAAAAAAAABACAAAAAiAAAAZHJzL2Rvd25yZXYueG1sUEsBAhQAFAAAAAgAh07iQDz0KEAZAgAA&#10;/AMAAA4AAAAAAAAAAQAgAAAAJwEAAGRycy9lMm9Eb2MueG1sUEsFBgAAAAAGAAYAWQEAALIFAAAA&#10;AA==&#10;">
                <v:fill on="f" focussize="0,0"/>
                <v:stroke weight="1pt" color="#FF0000 [3204]" miterlimit="8" joinstyle="miter" endarrow="block"/>
                <v:imagedata o:title=""/>
                <o:lock v:ext="edit" aspectratio="f"/>
              </v:shape>
            </w:pict>
          </mc:Fallback>
        </mc:AlternateContent>
      </w:r>
      <w:r>
        <w:rPr>
          <w:rFonts w:ascii="Times New Roman" w:hAnsi="Times New Roman" w:eastAsia="Times New Roman"/>
          <w:snapToGrid w:val="0"/>
          <w:color w:val="000000"/>
          <w:w w:val="0"/>
          <w:sz w:val="0"/>
          <w:szCs w:val="0"/>
          <w:u w:color="000000"/>
          <w:shd w:val="clear" w:color="000000" w:fill="000000"/>
          <w:lang w:val="zh-CN" w:eastAsia="zh-CN" w:bidi="zh-CN"/>
        </w:rPr>
        <w:drawing>
          <wp:anchor distT="0" distB="0" distL="114300" distR="114300" simplePos="0" relativeHeight="251682816" behindDoc="0" locked="0" layoutInCell="1" allowOverlap="1">
            <wp:simplePos x="0" y="0"/>
            <wp:positionH relativeFrom="column">
              <wp:posOffset>99060</wp:posOffset>
            </wp:positionH>
            <wp:positionV relativeFrom="paragraph">
              <wp:posOffset>103505</wp:posOffset>
            </wp:positionV>
            <wp:extent cx="3183255" cy="1844675"/>
            <wp:effectExtent l="95250" t="95250" r="93345" b="9842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183255" cy="184467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r>
        <w:rPr>
          <w:rFonts w:hint="default" w:ascii="Times New Roman" w:hAnsi="Times New Roman"/>
          <w:b/>
          <w:bCs/>
          <w:szCs w:val="24"/>
        </w:rPr>
        <mc:AlternateContent>
          <mc:Choice Requires="wps">
            <w:drawing>
              <wp:anchor distT="0" distB="0" distL="114300" distR="114300" simplePos="0" relativeHeight="251676672" behindDoc="0" locked="0" layoutInCell="1" allowOverlap="1">
                <wp:simplePos x="0" y="0"/>
                <wp:positionH relativeFrom="column">
                  <wp:posOffset>4061460</wp:posOffset>
                </wp:positionH>
                <wp:positionV relativeFrom="paragraph">
                  <wp:posOffset>1920240</wp:posOffset>
                </wp:positionV>
                <wp:extent cx="1089025" cy="294005"/>
                <wp:effectExtent l="0" t="0" r="15875" b="296545"/>
                <wp:wrapNone/>
                <wp:docPr id="21" name="对话气泡: 矩形 21"/>
                <wp:cNvGraphicFramePr/>
                <a:graphic xmlns:a="http://schemas.openxmlformats.org/drawingml/2006/main">
                  <a:graphicData uri="http://schemas.microsoft.com/office/word/2010/wordprocessingShape">
                    <wps:wsp>
                      <wps:cNvSpPr/>
                      <wps:spPr>
                        <a:xfrm>
                          <a:off x="0" y="0"/>
                          <a:ext cx="1089025" cy="294005"/>
                        </a:xfrm>
                        <a:prstGeom prst="wedgeRectCallout">
                          <a:avLst>
                            <a:gd name="adj1" fmla="val -34706"/>
                            <a:gd name="adj2" fmla="val 143634"/>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pPr>
                            <w:r>
                              <w:rPr>
                                <w:rFonts w:hint="eastAsia"/>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1" o:spid="_x0000_s1026" o:spt="61" type="#_x0000_t61" style="position:absolute;left:0pt;margin-left:319.8pt;margin-top:151.2pt;height:23.15pt;width:85.75pt;z-index:251676672;v-text-anchor:middle;mso-width-relative:page;mso-height-relative:page;" fillcolor="#FFFFFF" filled="t" stroked="t" coordsize="21600,21600" o:gfxdata="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klv2zNoAAAALAQAADwAAAAAAAAAB&#10;ACAAAAAiAAAAZHJzL2Rvd25yZXYueG1sUEsBAhQAFAAAAAgAh07iQC5Xaz25AgAAbgUAAA4AAAAA&#10;AAAAAQAgAAAAKQEAAGRycy9lMm9Eb2MueG1sUEsFBgAAAAAGAAYAWQEAAFQGAAAAAA==&#10;" adj="3304,41825">
                <v:fill on="t" focussize="0,0"/>
                <v:stroke weight="1pt" color="#000000 [3213]" miterlimit="8" joinstyle="miter"/>
                <v:imagedata o:title=""/>
                <o:lock v:ext="edit" aspectratio="f"/>
                <v:textbox>
                  <w:txbxContent>
                    <w:p>
                      <w:pPr>
                        <w:jc w:val="center"/>
                        <w:rPr>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pPr>
                      <w:r>
                        <w:rPr>
                          <w:rFonts w:hint="eastAsia"/>
                          <w:outline/>
                          <w:color w:val="000000" w:themeColor="text1"/>
                          <w:sz w:val="18"/>
                          <w:szCs w:val="1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14:textFill>
                            <w14:noFill/>
                          </w14:textFill>
                        </w:rPr>
                        <w:t>项目所在位置</w:t>
                      </w:r>
                    </w:p>
                  </w:txbxContent>
                </v:textbox>
              </v:shape>
            </w:pict>
          </mc:Fallback>
        </mc:AlternateContent>
      </w:r>
      <w:r>
        <w:rPr>
          <w:rFonts w:hint="default" w:ascii="Times New Roman" w:hAnsi="Times New Roman"/>
          <w:b/>
          <w:bCs/>
          <w:szCs w:val="24"/>
        </w:rPr>
        <mc:AlternateContent>
          <mc:Choice Requires="wps">
            <w:drawing>
              <wp:anchor distT="0" distB="0" distL="114300" distR="114300" simplePos="0" relativeHeight="251673600" behindDoc="0" locked="0" layoutInCell="1" allowOverlap="1">
                <wp:simplePos x="0" y="0"/>
                <wp:positionH relativeFrom="column">
                  <wp:posOffset>4195445</wp:posOffset>
                </wp:positionH>
                <wp:positionV relativeFrom="paragraph">
                  <wp:posOffset>2479675</wp:posOffset>
                </wp:positionV>
                <wp:extent cx="45085" cy="45085"/>
                <wp:effectExtent l="0" t="0" r="12065" b="12065"/>
                <wp:wrapNone/>
                <wp:docPr id="16" name="椭圆 16"/>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0.35pt;margin-top:195.25pt;height:3.55pt;width:3.55pt;z-index:251673600;v-text-anchor:middle;mso-width-relative:page;mso-height-relative:page;" fillcolor="#FF0000" filled="t" stroked="t" coordsize="21600,21600" o:gfxdata="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kPTyzXAAAACwEAAA8AAAAAAAAAAQAgAAAAIgAAAGRycy9kb3ducmV2LnhtbFBL&#10;AQIUABQAAAAIAIdO4kDubRMcaQIAAPYEAAAOAAAAAAAAAAEAIAAAACYBAABkcnMvZTJvRG9jLnht&#10;bFBLBQYAAAAABgAGAFkBAAABBgAAAAA=&#10;">
                <v:fill on="t" focussize="0,0"/>
                <v:stroke weight="1pt" color="#FF0000 [3204]" miterlimit="8" joinstyle="miter"/>
                <v:imagedata o:title=""/>
                <o:lock v:ext="edit" aspectratio="f"/>
              </v:shape>
            </w:pict>
          </mc:Fallback>
        </mc:AlternateContent>
      </w:r>
      <w:r>
        <w:rPr>
          <w:rFonts w:hint="default" w:ascii="Times New Roman" w:hAnsi="Times New Roman"/>
          <w:b/>
          <w:bCs/>
          <w:szCs w:val="24"/>
        </w:rPr>
        <mc:AlternateContent>
          <mc:Choice Requires="wps">
            <w:drawing>
              <wp:anchor distT="0" distB="0" distL="114300" distR="114300" simplePos="0" relativeHeight="251680768" behindDoc="0" locked="0" layoutInCell="1" allowOverlap="1">
                <wp:simplePos x="0" y="0"/>
                <wp:positionH relativeFrom="column">
                  <wp:posOffset>7498715</wp:posOffset>
                </wp:positionH>
                <wp:positionV relativeFrom="paragraph">
                  <wp:posOffset>4337685</wp:posOffset>
                </wp:positionV>
                <wp:extent cx="45085" cy="45085"/>
                <wp:effectExtent l="0" t="0" r="12065" b="12065"/>
                <wp:wrapNone/>
                <wp:docPr id="23" name="椭圆 23"/>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0.45pt;margin-top:341.55pt;height:3.55pt;width:3.55pt;z-index:251680768;v-text-anchor:middle;mso-width-relative:page;mso-height-relative:page;" fillcolor="#FF0000" filled="t" stroked="t" coordsize="21600,21600" o:gfxdata="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hGDcbWAAAADQEAAA8AAAAAAAAAAQAgAAAAIgAAAGRycy9kb3ducmV2LnhtbFBL&#10;AQIUABQAAAAIAIdO4kCh+BTYagIAAPYEAAAOAAAAAAAAAAEAIAAAACUBAABkcnMvZTJvRG9jLnht&#10;bFBLBQYAAAAABgAGAFkBAAABBgAAAAA=&#10;">
                <v:fill on="t" focussize="0,0"/>
                <v:stroke weight="1pt" color="#FF0000 [3204]" miterlimit="8" joinstyle="miter"/>
                <v:imagedata o:title=""/>
                <o:lock v:ext="edit" aspectratio="f"/>
              </v:shape>
            </w:pict>
          </mc:Fallback>
        </mc:AlternateContent>
      </w:r>
      <w:r>
        <w:rPr>
          <w:rFonts w:hint="default" w:ascii="Times New Roman" w:hAnsi="Times New Roman"/>
          <w:b/>
          <w:bCs/>
          <w:szCs w:val="24"/>
        </w:rPr>
        <mc:AlternateContent>
          <mc:Choice Requires="wps">
            <w:drawing>
              <wp:anchor distT="0" distB="0" distL="114300" distR="114300" simplePos="0" relativeHeight="251677696" behindDoc="0" locked="0" layoutInCell="1" allowOverlap="1">
                <wp:simplePos x="0" y="0"/>
                <wp:positionH relativeFrom="column">
                  <wp:posOffset>7402830</wp:posOffset>
                </wp:positionH>
                <wp:positionV relativeFrom="paragraph">
                  <wp:posOffset>3806190</wp:posOffset>
                </wp:positionV>
                <wp:extent cx="1117600" cy="1105535"/>
                <wp:effectExtent l="0" t="0" r="26035" b="19050"/>
                <wp:wrapNone/>
                <wp:docPr id="22" name="文本框 22"/>
                <wp:cNvGraphicFramePr/>
                <a:graphic xmlns:a="http://schemas.openxmlformats.org/drawingml/2006/main">
                  <a:graphicData uri="http://schemas.microsoft.com/office/word/2010/wordprocessingShape">
                    <wps:wsp>
                      <wps:cNvSpPr txBox="1"/>
                      <wps:spPr>
                        <a:xfrm>
                          <a:off x="0" y="0"/>
                          <a:ext cx="1117406" cy="1105231"/>
                        </a:xfrm>
                        <a:prstGeom prst="rect">
                          <a:avLst/>
                        </a:prstGeom>
                        <a:solidFill>
                          <a:srgbClr val="FFFFFF"/>
                        </a:solidFill>
                        <a:ln w="6350">
                          <a:solidFill>
                            <a:prstClr val="black"/>
                          </a:solidFill>
                        </a:ln>
                      </wps:spPr>
                      <wps:txbx>
                        <w:txbxContent>
                          <w:p>
                            <w:pPr>
                              <w:jc w:val="center"/>
                              <w:rPr>
                                <w:sz w:val="18"/>
                                <w:szCs w:val="18"/>
                              </w:rPr>
                            </w:pPr>
                            <w:r>
                              <w:rPr>
                                <w:rFonts w:hint="eastAsia"/>
                                <w:sz w:val="18"/>
                                <w:szCs w:val="18"/>
                              </w:rPr>
                              <w:t>图例</w:t>
                            </w:r>
                          </w:p>
                          <w:p>
                            <w:pPr>
                              <w:rPr>
                                <w:sz w:val="18"/>
                                <w:szCs w:val="18"/>
                              </w:rPr>
                            </w:pPr>
                          </w:p>
                          <w:p>
                            <w:pPr>
                              <w:rPr>
                                <w:sz w:val="18"/>
                                <w:szCs w:val="18"/>
                              </w:rPr>
                            </w:pPr>
                            <w:r>
                              <w:rPr>
                                <w:rFonts w:hint="eastAsia"/>
                                <w:sz w:val="18"/>
                                <w:szCs w:val="18"/>
                              </w:rPr>
                              <w:t xml:space="preserve"> </w:t>
                            </w:r>
                            <w:r>
                              <w:rPr>
                                <w:sz w:val="18"/>
                                <w:szCs w:val="18"/>
                              </w:rPr>
                              <w:t xml:space="preserve"> </w:t>
                            </w:r>
                            <w:r>
                              <w:rPr>
                                <w:rFonts w:hint="eastAsia"/>
                                <w:sz w:val="18"/>
                                <w:szCs w:val="18"/>
                              </w:rPr>
                              <w:t>项目所在位置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9pt;margin-top:299.7pt;height:87.05pt;width:88pt;z-index:251677696;mso-width-relative:page;mso-height-relative:page;" fillcolor="#FFFFFF" filled="t" stroked="t" coordsize="21600,21600" o:gfxdata="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X&#10;Juet2QAAAA0BAAAPAAAAAAAAAAEAIAAAACIAAABkcnMvZG93bnJldi54bWxQSwECFAAUAAAACACH&#10;TuJA9ypV9FwCAAC6BAAADgAAAAAAAAABACAAAAAoAQAAZHJzL2Uyb0RvYy54bWxQSwUGAAAAAAYA&#10;BgBZAQAA9gUAAAAA&#10;">
                <v:fill on="t" focussize="0,0"/>
                <v:stroke weight="0.5pt" color="#000000" joinstyle="round"/>
                <v:imagedata o:title=""/>
                <o:lock v:ext="edit" aspectratio="f"/>
                <v:textbox>
                  <w:txbxContent>
                    <w:p>
                      <w:pPr>
                        <w:jc w:val="center"/>
                        <w:rPr>
                          <w:sz w:val="18"/>
                          <w:szCs w:val="18"/>
                        </w:rPr>
                      </w:pPr>
                      <w:r>
                        <w:rPr>
                          <w:rFonts w:hint="eastAsia"/>
                          <w:sz w:val="18"/>
                          <w:szCs w:val="18"/>
                        </w:rPr>
                        <w:t>图例</w:t>
                      </w:r>
                    </w:p>
                    <w:p>
                      <w:pPr>
                        <w:rPr>
                          <w:sz w:val="18"/>
                          <w:szCs w:val="18"/>
                        </w:rPr>
                      </w:pPr>
                    </w:p>
                    <w:p>
                      <w:pPr>
                        <w:rPr>
                          <w:sz w:val="18"/>
                          <w:szCs w:val="18"/>
                        </w:rPr>
                      </w:pPr>
                      <w:r>
                        <w:rPr>
                          <w:rFonts w:hint="eastAsia"/>
                          <w:sz w:val="18"/>
                          <w:szCs w:val="18"/>
                        </w:rPr>
                        <w:t xml:space="preserve"> </w:t>
                      </w:r>
                      <w:r>
                        <w:rPr>
                          <w:sz w:val="18"/>
                          <w:szCs w:val="18"/>
                        </w:rPr>
                        <w:t xml:space="preserve"> </w:t>
                      </w:r>
                      <w:r>
                        <w:rPr>
                          <w:rFonts w:hint="eastAsia"/>
                          <w:sz w:val="18"/>
                          <w:szCs w:val="18"/>
                        </w:rPr>
                        <w:t>项目所在位置</w:t>
                      </w:r>
                    </w:p>
                  </w:txbxContent>
                </v:textbox>
              </v:shape>
            </w:pict>
          </mc:Fallback>
        </mc:AlternateContent>
      </w:r>
      <w:r>
        <w:rPr>
          <w:rFonts w:ascii="Times New Roman" w:hAnsi="Times New Roman" w:eastAsia="Times New Roman"/>
          <w:snapToGrid w:val="0"/>
          <w:color w:val="000000"/>
          <w:w w:val="0"/>
          <w:sz w:val="0"/>
          <w:szCs w:val="0"/>
          <w:u w:color="000000"/>
          <w:shd w:val="clear" w:color="000000" w:fill="000000"/>
          <w:lang w:val="zh-CN" w:eastAsia="zh-CN" w:bidi="zh-CN"/>
        </w:rPr>
        <w:t xml:space="preserve"> </w:t>
      </w:r>
      <w:r>
        <w:drawing>
          <wp:inline distT="0" distB="0" distL="0" distR="0">
            <wp:extent cx="8530590" cy="4942840"/>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8530590" cy="4942840"/>
                    </a:xfrm>
                    <a:prstGeom prst="rect">
                      <a:avLst/>
                    </a:prstGeom>
                    <a:noFill/>
                    <a:ln>
                      <a:noFill/>
                    </a:ln>
                  </pic:spPr>
                </pic:pic>
              </a:graphicData>
            </a:graphic>
          </wp:inline>
        </w:drawing>
      </w:r>
      <w:r>
        <w:rPr>
          <w:rFonts w:ascii="Times New Roman" w:hAnsi="Times New Roman" w:eastAsia="Times New Roman"/>
          <w:snapToGrid w:val="0"/>
          <w:color w:val="000000"/>
          <w:w w:val="0"/>
          <w:sz w:val="0"/>
          <w:szCs w:val="0"/>
          <w:u w:color="000000"/>
          <w:shd w:val="clear" w:color="000000" w:fill="000000"/>
          <w:lang w:val="zh-CN" w:eastAsia="zh-CN" w:bidi="zh-CN"/>
        </w:rPr>
        <w:t xml:space="preserve"> </w:t>
      </w:r>
    </w:p>
    <w:p>
      <w:pPr>
        <w:rPr>
          <w:rFonts w:ascii="宋体" w:hAnsi="宋体"/>
          <w:kern w:val="0"/>
          <w:sz w:val="24"/>
          <w:szCs w:val="20"/>
        </w:rPr>
      </w:pPr>
    </w:p>
    <w:p>
      <w:pPr>
        <w:jc w:val="center"/>
        <w:rPr>
          <w:b/>
          <w:bCs/>
          <w:sz w:val="24"/>
          <w:szCs w:val="24"/>
        </w:rPr>
        <w:sectPr>
          <w:pgSz w:w="16838" w:h="11906" w:orient="landscape"/>
          <w:pgMar w:top="1531" w:right="1702" w:bottom="1531" w:left="1702" w:header="851" w:footer="851" w:gutter="0"/>
          <w:cols w:space="425" w:num="1"/>
          <w:docGrid w:type="lines" w:linePitch="312" w:charSpace="0"/>
        </w:sectPr>
      </w:pPr>
      <w:r>
        <w:rPr>
          <w:b/>
          <w:bCs/>
          <w:sz w:val="24"/>
          <w:szCs w:val="24"/>
        </w:rPr>
        <w:t xml:space="preserve">附图2  项目卫星鸟瞰图     </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6" w:hRule="atLeast"/>
        </w:trPr>
        <w:tc>
          <w:tcPr>
            <w:tcW w:w="4530" w:type="dxa"/>
            <w:vAlign w:val="center"/>
          </w:tcPr>
          <w:p>
            <w:pPr>
              <w:pStyle w:val="8"/>
              <w:tabs>
                <w:tab w:val="left" w:pos="5472"/>
              </w:tabs>
              <w:adjustRightInd w:val="0"/>
              <w:snapToGrid w:val="0"/>
              <w:spacing w:beforeAutospacing="0" w:afterAutospacing="0"/>
              <w:jc w:val="center"/>
              <w:outlineLvl w:val="0"/>
              <w:rPr>
                <w:rFonts w:hint="default"/>
              </w:rPr>
            </w:pPr>
            <w:r>
              <w:rPr>
                <w:rFonts w:hint="default"/>
              </w:rPr>
              <w:drawing>
                <wp:inline distT="0" distB="0" distL="0" distR="0">
                  <wp:extent cx="2790190" cy="2094230"/>
                  <wp:effectExtent l="0" t="0" r="0" b="127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816753" cy="2114795"/>
                          </a:xfrm>
                          <a:prstGeom prst="rect">
                            <a:avLst/>
                          </a:prstGeom>
                          <a:noFill/>
                          <a:ln>
                            <a:noFill/>
                          </a:ln>
                        </pic:spPr>
                      </pic:pic>
                    </a:graphicData>
                  </a:graphic>
                </wp:inline>
              </w:drawing>
            </w:r>
          </w:p>
        </w:tc>
        <w:tc>
          <w:tcPr>
            <w:tcW w:w="4530" w:type="dxa"/>
            <w:vAlign w:val="center"/>
          </w:tcPr>
          <w:p>
            <w:pPr>
              <w:pStyle w:val="8"/>
              <w:tabs>
                <w:tab w:val="left" w:pos="5472"/>
              </w:tabs>
              <w:adjustRightInd w:val="0"/>
              <w:snapToGrid w:val="0"/>
              <w:spacing w:beforeAutospacing="0" w:afterAutospacing="0"/>
              <w:jc w:val="center"/>
              <w:outlineLvl w:val="0"/>
              <w:rPr>
                <w:rFonts w:hint="default"/>
              </w:rPr>
            </w:pPr>
            <w:r>
              <w:rPr>
                <w:rFonts w:hint="default"/>
              </w:rPr>
              <w:drawing>
                <wp:inline distT="0" distB="0" distL="0" distR="0">
                  <wp:extent cx="2774315" cy="2082800"/>
                  <wp:effectExtent l="0" t="0" r="698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783141" cy="2089559"/>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4" w:hRule="atLeast"/>
        </w:trPr>
        <w:tc>
          <w:tcPr>
            <w:tcW w:w="4530" w:type="dxa"/>
            <w:vAlign w:val="center"/>
          </w:tcPr>
          <w:p>
            <w:pPr>
              <w:pStyle w:val="8"/>
              <w:tabs>
                <w:tab w:val="left" w:pos="5472"/>
              </w:tabs>
              <w:adjustRightInd w:val="0"/>
              <w:snapToGrid w:val="0"/>
              <w:spacing w:beforeAutospacing="0" w:afterAutospacing="0"/>
              <w:jc w:val="center"/>
              <w:outlineLvl w:val="0"/>
              <w:rPr>
                <w:rFonts w:hint="default"/>
              </w:rPr>
            </w:pPr>
            <w:r>
              <w:t>东侧</w:t>
            </w:r>
          </w:p>
        </w:tc>
        <w:tc>
          <w:tcPr>
            <w:tcW w:w="4530" w:type="dxa"/>
            <w:vAlign w:val="center"/>
          </w:tcPr>
          <w:p>
            <w:pPr>
              <w:pStyle w:val="8"/>
              <w:tabs>
                <w:tab w:val="left" w:pos="5472"/>
              </w:tabs>
              <w:adjustRightInd w:val="0"/>
              <w:snapToGrid w:val="0"/>
              <w:spacing w:beforeAutospacing="0" w:afterAutospacing="0"/>
              <w:jc w:val="center"/>
              <w:outlineLvl w:val="0"/>
              <w:rPr>
                <w:rFonts w:hint="default"/>
              </w:rPr>
            </w:pPr>
            <w:r>
              <w:t>南侧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7" w:hRule="atLeast"/>
        </w:trPr>
        <w:tc>
          <w:tcPr>
            <w:tcW w:w="4530" w:type="dxa"/>
            <w:vAlign w:val="center"/>
          </w:tcPr>
          <w:p>
            <w:pPr>
              <w:pStyle w:val="8"/>
              <w:tabs>
                <w:tab w:val="left" w:pos="5472"/>
              </w:tabs>
              <w:adjustRightInd w:val="0"/>
              <w:snapToGrid w:val="0"/>
              <w:spacing w:beforeAutospacing="0" w:afterAutospacing="0"/>
              <w:jc w:val="center"/>
              <w:outlineLvl w:val="0"/>
              <w:rPr>
                <w:rFonts w:hint="default"/>
              </w:rPr>
            </w:pPr>
            <w:r>
              <w:rPr>
                <w:rFonts w:hint="default"/>
              </w:rPr>
              <w:drawing>
                <wp:inline distT="0" distB="0" distL="0" distR="0">
                  <wp:extent cx="2790190" cy="2094865"/>
                  <wp:effectExtent l="0" t="0" r="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811193" cy="2110621"/>
                          </a:xfrm>
                          <a:prstGeom prst="rect">
                            <a:avLst/>
                          </a:prstGeom>
                          <a:noFill/>
                          <a:ln>
                            <a:noFill/>
                          </a:ln>
                        </pic:spPr>
                      </pic:pic>
                    </a:graphicData>
                  </a:graphic>
                </wp:inline>
              </w:drawing>
            </w:r>
          </w:p>
        </w:tc>
        <w:tc>
          <w:tcPr>
            <w:tcW w:w="4530" w:type="dxa"/>
            <w:vAlign w:val="center"/>
          </w:tcPr>
          <w:p>
            <w:pPr>
              <w:pStyle w:val="8"/>
              <w:tabs>
                <w:tab w:val="left" w:pos="5472"/>
              </w:tabs>
              <w:adjustRightInd w:val="0"/>
              <w:snapToGrid w:val="0"/>
              <w:spacing w:beforeAutospacing="0" w:afterAutospacing="0"/>
              <w:jc w:val="center"/>
              <w:outlineLvl w:val="0"/>
              <w:rPr>
                <w:rFonts w:hint="default"/>
              </w:rPr>
            </w:pPr>
            <w:r>
              <w:rPr>
                <w:rFonts w:hint="default"/>
              </w:rPr>
              <w:drawing>
                <wp:inline distT="0" distB="0" distL="0" distR="0">
                  <wp:extent cx="2790190" cy="2094865"/>
                  <wp:effectExtent l="0" t="0" r="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804493" cy="2105591"/>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2" w:hRule="atLeast"/>
        </w:trPr>
        <w:tc>
          <w:tcPr>
            <w:tcW w:w="4530" w:type="dxa"/>
            <w:vAlign w:val="center"/>
          </w:tcPr>
          <w:p>
            <w:pPr>
              <w:pStyle w:val="8"/>
              <w:tabs>
                <w:tab w:val="left" w:pos="5472"/>
              </w:tabs>
              <w:adjustRightInd w:val="0"/>
              <w:snapToGrid w:val="0"/>
              <w:spacing w:beforeAutospacing="0" w:afterAutospacing="0"/>
              <w:jc w:val="center"/>
              <w:outlineLvl w:val="0"/>
              <w:rPr>
                <w:rFonts w:hint="default"/>
              </w:rPr>
            </w:pPr>
            <w:r>
              <w:t>西侧</w:t>
            </w:r>
          </w:p>
        </w:tc>
        <w:tc>
          <w:tcPr>
            <w:tcW w:w="4530" w:type="dxa"/>
            <w:vAlign w:val="center"/>
          </w:tcPr>
          <w:p>
            <w:pPr>
              <w:pStyle w:val="8"/>
              <w:tabs>
                <w:tab w:val="left" w:pos="5472"/>
              </w:tabs>
              <w:adjustRightInd w:val="0"/>
              <w:snapToGrid w:val="0"/>
              <w:spacing w:beforeAutospacing="0" w:afterAutospacing="0"/>
              <w:jc w:val="center"/>
              <w:outlineLvl w:val="0"/>
              <w:rPr>
                <w:rFonts w:hint="default"/>
              </w:rPr>
            </w:pPr>
            <w:r>
              <w:t>北侧</w:t>
            </w:r>
          </w:p>
        </w:tc>
      </w:tr>
    </w:tbl>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both"/>
        <w:outlineLvl w:val="0"/>
        <w:rPr>
          <w:rFonts w:hint="default"/>
        </w:rPr>
      </w:pPr>
    </w:p>
    <w:p>
      <w:pPr>
        <w:pStyle w:val="8"/>
        <w:tabs>
          <w:tab w:val="left" w:pos="5472"/>
        </w:tabs>
        <w:adjustRightInd w:val="0"/>
        <w:snapToGrid w:val="0"/>
        <w:spacing w:beforeAutospacing="0" w:afterAutospacing="0"/>
        <w:jc w:val="center"/>
        <w:outlineLvl w:val="0"/>
        <w:rPr>
          <w:rFonts w:hint="default" w:ascii="Times New Roman" w:hAnsi="Times New Roman"/>
          <w:b/>
          <w:bCs/>
        </w:rPr>
      </w:pPr>
      <w:r>
        <w:rPr>
          <w:rFonts w:hint="default" w:ascii="Times New Roman" w:hAnsi="Times New Roman"/>
          <w:b/>
          <w:bCs/>
        </w:rPr>
        <w:t>附图3  项目周围环境现状图</w:t>
      </w:r>
    </w:p>
    <w:p>
      <w:pPr>
        <w:sectPr>
          <w:pgSz w:w="11906" w:h="16838"/>
          <w:pgMar w:top="1702" w:right="1531" w:bottom="1702" w:left="1531" w:header="851" w:footer="851" w:gutter="0"/>
          <w:cols w:space="425" w:num="1"/>
          <w:docGrid w:type="lines" w:linePitch="312" w:charSpace="0"/>
        </w:sectPr>
      </w:pPr>
    </w:p>
    <w:p>
      <w:pPr>
        <w:jc w:val="center"/>
      </w:pPr>
      <w:r>
        <w:rPr>
          <w:sz w:val="21"/>
        </w:rPr>
        <mc:AlternateContent>
          <mc:Choice Requires="wps">
            <w:drawing>
              <wp:anchor distT="0" distB="0" distL="114300" distR="114300" simplePos="0" relativeHeight="251702272" behindDoc="0" locked="0" layoutInCell="1" allowOverlap="1">
                <wp:simplePos x="0" y="0"/>
                <wp:positionH relativeFrom="column">
                  <wp:posOffset>3751580</wp:posOffset>
                </wp:positionH>
                <wp:positionV relativeFrom="paragraph">
                  <wp:posOffset>5027295</wp:posOffset>
                </wp:positionV>
                <wp:extent cx="166370" cy="75565"/>
                <wp:effectExtent l="6350" t="6350" r="17780" b="13335"/>
                <wp:wrapNone/>
                <wp:docPr id="19" name="矩形 19"/>
                <wp:cNvGraphicFramePr/>
                <a:graphic xmlns:a="http://schemas.openxmlformats.org/drawingml/2006/main">
                  <a:graphicData uri="http://schemas.microsoft.com/office/word/2010/wordprocessingShape">
                    <wps:wsp>
                      <wps:cNvSpPr/>
                      <wps:spPr>
                        <a:xfrm>
                          <a:off x="0" y="0"/>
                          <a:ext cx="166370" cy="7556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4pt;margin-top:395.85pt;height:5.95pt;width:13.1pt;z-index:251702272;v-text-anchor:middle;mso-width-relative:page;mso-height-relative:page;" filled="f" stroked="t" coordsize="21600,21600" o:gfxdata="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r2tWdsAAAALAQAADwAAAAAAAAABACAAAAAiAAAAZHJzL2Rvd25yZXYu&#10;eG1sUEsBAhQAFAAAAAgAh07iQNhiTHpqAgAAygQAAA4AAAAAAAAAAQAgAAAAKgEAAGRycy9lMm9E&#10;b2MueG1sUEsFBgAAAAAGAAYAWQEAAAYGAAAAAA==&#10;">
                <v:fill on="f" focussize="0,0"/>
                <v:stroke weight="1pt" color="#FF0000 [3204]" miterlimit="8" joinstyle="miter" dashstyle="dash"/>
                <v:imagedata o:title=""/>
                <o:lock v:ext="edit" aspectratio="f"/>
              </v:rect>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3751580</wp:posOffset>
                </wp:positionH>
                <wp:positionV relativeFrom="paragraph">
                  <wp:posOffset>4829175</wp:posOffset>
                </wp:positionV>
                <wp:extent cx="166370" cy="75565"/>
                <wp:effectExtent l="6350" t="6350" r="17780" b="13335"/>
                <wp:wrapNone/>
                <wp:docPr id="15" name="矩形 15"/>
                <wp:cNvGraphicFramePr/>
                <a:graphic xmlns:a="http://schemas.openxmlformats.org/drawingml/2006/main">
                  <a:graphicData uri="http://schemas.microsoft.com/office/word/2010/wordprocessingShape">
                    <wps:wsp>
                      <wps:cNvSpPr/>
                      <wps:spPr>
                        <a:xfrm>
                          <a:off x="4220845" y="5780405"/>
                          <a:ext cx="166370" cy="75565"/>
                        </a:xfrm>
                        <a:prstGeom prst="rect">
                          <a:avLst/>
                        </a:pr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4pt;margin-top:380.25pt;height:5.95pt;width:13.1pt;z-index:251701248;v-text-anchor:middle;mso-width-relative:page;mso-height-relative:page;" filled="f" stroked="t" coordsize="21600,21600" o:gfxdata="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iCi6&#10;69wAAAALAQAADwAAAAAAAAABACAAAAAiAAAAZHJzL2Rvd25yZXYueG1sUEsBAhQAFAAAAAgAh07i&#10;QF9Pm+iQAgAAEAUAAA4AAAAAAAAAAQAgAAAAKwEAAGRycy9lMm9Eb2MueG1sUEsFBgAAAAAGAAYA&#10;WQEAAC0GAAAAAA==&#10;">
                <v:fill on="f" focussize="0,0"/>
                <v:stroke weight="1pt" color="#9DC3E6 [1940]" miterlimit="8" joinstyle="miter"/>
                <v:imagedata o:title=""/>
                <o:lock v:ext="edit" aspectratio="f"/>
              </v:rect>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3780155</wp:posOffset>
                </wp:positionH>
                <wp:positionV relativeFrom="paragraph">
                  <wp:posOffset>4732655</wp:posOffset>
                </wp:positionV>
                <wp:extent cx="881380" cy="523875"/>
                <wp:effectExtent l="0" t="0" r="13970" b="9525"/>
                <wp:wrapNone/>
                <wp:docPr id="24" name="文本框 24"/>
                <wp:cNvGraphicFramePr/>
                <a:graphic xmlns:a="http://schemas.openxmlformats.org/drawingml/2006/main">
                  <a:graphicData uri="http://schemas.microsoft.com/office/word/2010/wordprocessingShape">
                    <wps:wsp>
                      <wps:cNvSpPr txBox="1"/>
                      <wps:spPr>
                        <a:xfrm>
                          <a:off x="4752340" y="5813425"/>
                          <a:ext cx="881380"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 xml:space="preserve">  原有建筑</w:t>
                            </w:r>
                          </w:p>
                          <w:p>
                            <w:pPr>
                              <w:rPr>
                                <w:rFonts w:hint="default"/>
                                <w:lang w:val="en-US" w:eastAsia="zh-CN"/>
                              </w:rPr>
                            </w:pPr>
                            <w:r>
                              <w:rPr>
                                <w:rFonts w:hint="eastAsia"/>
                                <w:lang w:val="en-US" w:eastAsia="zh-CN"/>
                              </w:rPr>
                              <w:t xml:space="preserve">  新建建筑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65pt;margin-top:372.65pt;height:41.25pt;width:69.4pt;z-index:251703296;mso-width-relative:page;mso-height-relative:page;" filled="f" stroked="f" coordsize="21600,21600" o:gfxdata="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O1ivLdAAAACwEAAA8AAAAA&#10;AAAAAQAgAAAAIgAAAGRycy9kb3ducmV2LnhtbFBLAQIUABQAAAAIAIdO4kBTOngFSAIAAHMEAAAO&#10;AAAAAAAAAAEAIAAAACwBAABkcnMvZTJvRG9jLnhtbFBLBQYAAAAABgAGAFkBAADmBQAAAAA=&#10;">
                <v:fill on="f" focussize="0,0"/>
                <v:stroke on="f" weight="0.5pt"/>
                <v:imagedata o:title=""/>
                <o:lock v:ext="edit" aspectratio="f"/>
                <v:textbox>
                  <w:txbxContent>
                    <w:p>
                      <w:pPr>
                        <w:rPr>
                          <w:rFonts w:hint="eastAsia"/>
                          <w:lang w:val="en-US" w:eastAsia="zh-CN"/>
                        </w:rPr>
                      </w:pPr>
                      <w:r>
                        <w:rPr>
                          <w:rFonts w:hint="eastAsia"/>
                          <w:lang w:val="en-US" w:eastAsia="zh-CN"/>
                        </w:rPr>
                        <w:t xml:space="preserve">  原有建筑</w:t>
                      </w:r>
                    </w:p>
                    <w:p>
                      <w:pPr>
                        <w:rPr>
                          <w:rFonts w:hint="default"/>
                          <w:lang w:val="en-US" w:eastAsia="zh-CN"/>
                        </w:rPr>
                      </w:pPr>
                      <w:r>
                        <w:rPr>
                          <w:rFonts w:hint="eastAsia"/>
                          <w:lang w:val="en-US" w:eastAsia="zh-CN"/>
                        </w:rPr>
                        <w:t xml:space="preserve">  新建建筑</w:t>
                      </w:r>
                    </w:p>
                  </w:txbxContent>
                </v:textbox>
              </v:shape>
            </w:pict>
          </mc:Fallback>
        </mc:AlternateContent>
      </w:r>
      <w:r>
        <w:drawing>
          <wp:inline distT="0" distB="0" distL="0" distR="0">
            <wp:extent cx="3752850" cy="520065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752850" cy="5200650"/>
                    </a:xfrm>
                    <a:prstGeom prst="rect">
                      <a:avLst/>
                    </a:prstGeom>
                    <a:noFill/>
                    <a:ln>
                      <a:noFill/>
                    </a:ln>
                  </pic:spPr>
                </pic:pic>
              </a:graphicData>
            </a:graphic>
          </wp:inline>
        </w:drawing>
      </w:r>
    </w:p>
    <w:p/>
    <w:p/>
    <w:p/>
    <w:p/>
    <w:p/>
    <w:p/>
    <w:p/>
    <w:p/>
    <w:p/>
    <w:p/>
    <w:p/>
    <w:p/>
    <w:p/>
    <w:p/>
    <w:p>
      <w:pPr>
        <w:jc w:val="center"/>
        <w:rPr>
          <w:rFonts w:hint="eastAsia"/>
          <w:b/>
          <w:bCs/>
          <w:sz w:val="24"/>
          <w:szCs w:val="24"/>
        </w:rPr>
      </w:pPr>
      <w:r>
        <w:rPr>
          <w:rFonts w:hint="eastAsia"/>
          <w:b/>
          <w:bCs/>
          <w:sz w:val="24"/>
          <w:szCs w:val="24"/>
        </w:rPr>
        <w:t>附图4</w:t>
      </w:r>
      <w:r>
        <w:rPr>
          <w:b/>
          <w:bCs/>
          <w:sz w:val="24"/>
          <w:szCs w:val="24"/>
        </w:rPr>
        <w:t xml:space="preserve">  </w:t>
      </w:r>
      <w:r>
        <w:rPr>
          <w:rFonts w:hint="eastAsia"/>
          <w:b/>
          <w:bCs/>
          <w:sz w:val="24"/>
          <w:szCs w:val="24"/>
        </w:rPr>
        <w:t>项目厂区平面布置图</w:t>
      </w:r>
    </w:p>
    <w:p>
      <w:pPr>
        <w:rPr>
          <w:b/>
          <w:bCs/>
          <w:sz w:val="24"/>
          <w:szCs w:val="24"/>
        </w:rPr>
        <w:sectPr>
          <w:pgSz w:w="11906" w:h="16838"/>
          <w:pgMar w:top="1702" w:right="1531" w:bottom="1702" w:left="1531" w:header="851" w:footer="851" w:gutter="0"/>
          <w:cols w:space="425" w:num="1"/>
          <w:docGrid w:type="lines" w:linePitch="312" w:charSpace="0"/>
        </w:sectPr>
      </w:pPr>
    </w:p>
    <w:p>
      <w:r>
        <mc:AlternateContent>
          <mc:Choice Requires="wps">
            <w:drawing>
              <wp:anchor distT="0" distB="0" distL="114300" distR="114300" simplePos="0" relativeHeight="251704320" behindDoc="0" locked="0" layoutInCell="1" allowOverlap="1">
                <wp:simplePos x="0" y="0"/>
                <wp:positionH relativeFrom="column">
                  <wp:posOffset>7519035</wp:posOffset>
                </wp:positionH>
                <wp:positionV relativeFrom="paragraph">
                  <wp:posOffset>4845050</wp:posOffset>
                </wp:positionV>
                <wp:extent cx="63500" cy="63500"/>
                <wp:effectExtent l="6350" t="6350" r="6350" b="6350"/>
                <wp:wrapNone/>
                <wp:docPr id="25" name="椭圆 25"/>
                <wp:cNvGraphicFramePr/>
                <a:graphic xmlns:a="http://schemas.openxmlformats.org/drawingml/2006/main">
                  <a:graphicData uri="http://schemas.microsoft.com/office/word/2010/wordprocessingShape">
                    <wps:wsp>
                      <wps:cNvSpPr/>
                      <wps:spPr>
                        <a:xfrm>
                          <a:off x="0" y="0"/>
                          <a:ext cx="63500" cy="635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2.05pt;margin-top:381.5pt;height:5pt;width:5pt;z-index:251704320;v-text-anchor:middle;mso-width-relative:page;mso-height-relative:page;" fillcolor="#FF0000" filled="t" stroked="t" coordsize="21600,21600" o:gfxdata="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7XoXNYAAAANAQAADwAAAAAAAAABACAAAAAiAAAAZHJzL2Rvd25yZXYueG1sUEsB&#10;AhQAFAAAAAgAh07iQIXkRWBpAgAA9gQAAA4AAAAAAAAAAQAgAAAAJQEAAGRycy9lMm9Eb2MueG1s&#10;UEsFBgAAAAAGAAYAWQEAAAAGAAAAAA==&#10;">
                <v:fill on="t" focussize="0,0"/>
                <v:stroke weight="1pt" color="#FF0000 [3204]" miterlimit="8" joinstyle="miter"/>
                <v:imagedata o:title=""/>
                <o:lock v:ext="edit" aspectratio="f"/>
              </v:shape>
            </w:pict>
          </mc:Fallback>
        </mc:AlternateContent>
      </w:r>
      <w:r>
        <w:drawing>
          <wp:anchor distT="0" distB="0" distL="114300" distR="114300" simplePos="0" relativeHeight="251662336" behindDoc="0" locked="0" layoutInCell="1" allowOverlap="1">
            <wp:simplePos x="0" y="0"/>
            <wp:positionH relativeFrom="column">
              <wp:posOffset>8196580</wp:posOffset>
            </wp:positionH>
            <wp:positionV relativeFrom="paragraph">
              <wp:posOffset>37465</wp:posOffset>
            </wp:positionV>
            <wp:extent cx="314325" cy="429260"/>
            <wp:effectExtent l="0" t="0" r="9525" b="889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14325" cy="429260"/>
                    </a:xfrm>
                    <a:prstGeom prst="rect">
                      <a:avLst/>
                    </a:prstGeom>
                    <a:noFill/>
                    <a:ln>
                      <a:noFill/>
                    </a:ln>
                  </pic:spPr>
                </pic:pic>
              </a:graphicData>
            </a:graphic>
          </wp:anchor>
        </w:drawing>
      </w:r>
      <w:r>
        <mc:AlternateContent>
          <mc:Choice Requires="wps">
            <w:drawing>
              <wp:anchor distT="0" distB="0" distL="114300" distR="114300" simplePos="0" relativeHeight="251686912" behindDoc="0" locked="0" layoutInCell="1" allowOverlap="1">
                <wp:simplePos x="0" y="0"/>
                <wp:positionH relativeFrom="column">
                  <wp:posOffset>7517130</wp:posOffset>
                </wp:positionH>
                <wp:positionV relativeFrom="paragraph">
                  <wp:posOffset>4834255</wp:posOffset>
                </wp:positionV>
                <wp:extent cx="63500" cy="63500"/>
                <wp:effectExtent l="0" t="0" r="12700" b="12700"/>
                <wp:wrapNone/>
                <wp:docPr id="93" name="椭圆 93"/>
                <wp:cNvGraphicFramePr/>
                <a:graphic xmlns:a="http://schemas.openxmlformats.org/drawingml/2006/main">
                  <a:graphicData uri="http://schemas.microsoft.com/office/word/2010/wordprocessingShape">
                    <wps:wsp>
                      <wps:cNvSpPr/>
                      <wps:spPr>
                        <a:xfrm>
                          <a:off x="0" y="0"/>
                          <a:ext cx="63611" cy="63611"/>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1.9pt;margin-top:380.65pt;height:5pt;width:5pt;z-index:251686912;v-text-anchor:middle;mso-width-relative:page;mso-height-relative:page;" fillcolor="#FF0000" filled="t" stroked="t" coordsize="21600,21600" o:gfxdata="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CUsD/WAAAADQEAAA8AAAAAAAAAAQAgAAAAIgAAAGRycy9kb3ducmV2LnhtbFBL&#10;AQIUABQAAAAIAIdO4kAZmOkOagIAAPYEAAAOAAAAAAAAAAEAIAAAACUBAABkcnMvZTJvRG9jLnht&#10;bFBLBQYAAAAABgAGAFkBAAABBgAAAAA=&#1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7489825</wp:posOffset>
                </wp:positionH>
                <wp:positionV relativeFrom="paragraph">
                  <wp:posOffset>4609465</wp:posOffset>
                </wp:positionV>
                <wp:extent cx="120650" cy="120650"/>
                <wp:effectExtent l="0" t="0" r="12700" b="12700"/>
                <wp:wrapNone/>
                <wp:docPr id="92" name="椭圆 92"/>
                <wp:cNvGraphicFramePr/>
                <a:graphic xmlns:a="http://schemas.openxmlformats.org/drawingml/2006/main">
                  <a:graphicData uri="http://schemas.microsoft.com/office/word/2010/wordprocessingShape">
                    <wps:wsp>
                      <wps:cNvSpPr/>
                      <wps:spPr>
                        <a:xfrm>
                          <a:off x="0" y="0"/>
                          <a:ext cx="120650" cy="12065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3" type="#_x0000_t3" style="position:absolute;left:0pt;margin-left:589.75pt;margin-top:362.95pt;height:9.5pt;width:9.5pt;z-index:251700224;mso-width-relative:page;mso-height-relative:page;" filled="f" stroked="t" coordsize="21600,21600" o:gfxdata="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H+/SCdsAAAANAQAADwAA&#10;AAAAAAABACAAAAAiAAAAZHJzL2Rvd25yZXYueG1sUEsBAhQAFAAAAAgAh07iQPuzqkbaAQAAsgMA&#10;AA4AAAAAAAAAAQAgAAAAKgEAAGRycy9lMm9Eb2MueG1sUEsFBgAAAAAGAAYAWQEAAHYFAAAAAA==&#10;">
                <v:fill on="f" focussize="0,0"/>
                <v:stroke weight="1pt" color="#FFFF00 [3204]" miterlimit="8" joinstyle="miter"/>
                <v:imagedata o:title=""/>
                <o:lock v:ext="edit" aspectratio="f"/>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7465695</wp:posOffset>
                </wp:positionH>
                <wp:positionV relativeFrom="paragraph">
                  <wp:posOffset>4420235</wp:posOffset>
                </wp:positionV>
                <wp:extent cx="163830" cy="120650"/>
                <wp:effectExtent l="0" t="0" r="26670" b="12700"/>
                <wp:wrapNone/>
                <wp:docPr id="91" name="矩形 91"/>
                <wp:cNvGraphicFramePr/>
                <a:graphic xmlns:a="http://schemas.openxmlformats.org/drawingml/2006/main">
                  <a:graphicData uri="http://schemas.microsoft.com/office/word/2010/wordprocessingShape">
                    <wps:wsp>
                      <wps:cNvSpPr/>
                      <wps:spPr>
                        <a:xfrm>
                          <a:off x="0" y="0"/>
                          <a:ext cx="163830" cy="120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_x0000_s1026" o:spid="_x0000_s1026" o:spt="1" style="position:absolute;left:0pt;margin-left:587.85pt;margin-top:348.05pt;height:9.5pt;width:12.9pt;z-index:251699200;mso-width-relative:page;mso-height-relative:page;" filled="f" stroked="t" coordsize="21600,21600" o:gfxdata="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dGHuv9sAAAANAQAA&#10;DwAAAAAAAAABACAAAAAiAAAAZHJzL2Rvd25yZXYueG1sUEsBAhQAFAAAAAgAh07iQBO0nZbdAQAA&#10;rwMAAA4AAAAAAAAAAQAgAAAAKgEAAGRycy9lMm9Eb2MueG1sUEsFBgAAAAAGAAYAWQEAAHkFAAAA&#10;AA==&#10;">
                <v:fill on="f" focussize="0,0"/>
                <v:stroke weight="1pt" color="#FF0000 [3204]" miterlimit="8" joinstyle="miter"/>
                <v:imagedata o:title=""/>
                <o:lock v:ext="edit" aspectratio="f"/>
              </v:rect>
            </w:pict>
          </mc:Fallback>
        </mc:AlternateContent>
      </w:r>
      <w:r>
        <w:rPr>
          <w:b/>
          <w:bCs/>
          <w:szCs w:val="24"/>
        </w:rPr>
        <mc:AlternateContent>
          <mc:Choice Requires="wps">
            <w:drawing>
              <wp:anchor distT="0" distB="0" distL="114300" distR="114300" simplePos="0" relativeHeight="251698176" behindDoc="0" locked="0" layoutInCell="1" allowOverlap="1">
                <wp:simplePos x="0" y="0"/>
                <wp:positionH relativeFrom="column">
                  <wp:posOffset>7393940</wp:posOffset>
                </wp:positionH>
                <wp:positionV relativeFrom="paragraph">
                  <wp:posOffset>3921125</wp:posOffset>
                </wp:positionV>
                <wp:extent cx="1117600" cy="1105535"/>
                <wp:effectExtent l="0" t="0" r="26035" b="19050"/>
                <wp:wrapNone/>
                <wp:docPr id="90" name="文本框 90"/>
                <wp:cNvGraphicFramePr/>
                <a:graphic xmlns:a="http://schemas.openxmlformats.org/drawingml/2006/main">
                  <a:graphicData uri="http://schemas.microsoft.com/office/word/2010/wordprocessingShape">
                    <wps:wsp>
                      <wps:cNvSpPr txBox="1"/>
                      <wps:spPr>
                        <a:xfrm>
                          <a:off x="0" y="0"/>
                          <a:ext cx="1117600" cy="1105535"/>
                        </a:xfrm>
                        <a:prstGeom prst="rect">
                          <a:avLst/>
                        </a:prstGeom>
                        <a:solidFill>
                          <a:srgbClr val="FFFFFF"/>
                        </a:solidFill>
                        <a:ln w="6350">
                          <a:solidFill>
                            <a:prstClr val="black"/>
                          </a:solidFill>
                        </a:ln>
                      </wps:spPr>
                      <wps:txbx>
                        <w:txbxContent>
                          <w:p>
                            <w:pPr>
                              <w:jc w:val="center"/>
                              <w:rPr>
                                <w:sz w:val="18"/>
                                <w:szCs w:val="18"/>
                              </w:rPr>
                            </w:pPr>
                            <w:r>
                              <w:rPr>
                                <w:rFonts w:hint="eastAsia"/>
                                <w:sz w:val="18"/>
                                <w:szCs w:val="18"/>
                              </w:rPr>
                              <w:t>图例</w:t>
                            </w:r>
                          </w:p>
                          <w:p>
                            <w:pPr>
                              <w:rPr>
                                <w:sz w:val="18"/>
                                <w:szCs w:val="18"/>
                              </w:rPr>
                            </w:pPr>
                          </w:p>
                          <w:p>
                            <w:pPr>
                              <w:rPr>
                                <w:sz w:val="18"/>
                                <w:szCs w:val="18"/>
                              </w:rPr>
                            </w:pPr>
                            <w:r>
                              <w:rPr>
                                <w:rFonts w:hint="eastAsia"/>
                                <w:sz w:val="18"/>
                                <w:szCs w:val="18"/>
                              </w:rPr>
                              <w:t xml:space="preserve"> </w:t>
                            </w:r>
                            <w:r>
                              <w:rPr>
                                <w:sz w:val="18"/>
                                <w:szCs w:val="18"/>
                              </w:rPr>
                              <w:t xml:space="preserve">   </w:t>
                            </w:r>
                            <w:r>
                              <w:rPr>
                                <w:rFonts w:hint="eastAsia"/>
                                <w:sz w:val="18"/>
                                <w:szCs w:val="18"/>
                              </w:rPr>
                              <w:t>厂界</w:t>
                            </w:r>
                          </w:p>
                          <w:p>
                            <w:pPr>
                              <w:ind w:firstLine="360" w:firstLineChars="200"/>
                              <w:rPr>
                                <w:sz w:val="18"/>
                                <w:szCs w:val="18"/>
                              </w:rPr>
                            </w:pPr>
                            <w:r>
                              <w:rPr>
                                <w:rFonts w:hint="eastAsia"/>
                                <w:sz w:val="18"/>
                                <w:szCs w:val="18"/>
                              </w:rPr>
                              <w:t>评价范围</w:t>
                            </w:r>
                          </w:p>
                          <w:p>
                            <w:pPr>
                              <w:ind w:firstLine="360" w:firstLineChars="200"/>
                              <w:rPr>
                                <w:rFonts w:hint="eastAsia"/>
                                <w:sz w:val="18"/>
                                <w:szCs w:val="18"/>
                              </w:rPr>
                            </w:pPr>
                            <w:r>
                              <w:rPr>
                                <w:rFonts w:hint="eastAsia"/>
                                <w:sz w:val="18"/>
                                <w:szCs w:val="18"/>
                              </w:rPr>
                              <w:t>最近敏感点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2pt;margin-top:308.75pt;height:87.05pt;width:88pt;z-index:251698176;mso-width-relative:page;mso-height-relative:page;" fillcolor="#FFFFFF" filled="t" stroked="t" coordsize="21600,21600" o:gfxdata="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aLO+w&#10;2AAAAA0BAAAPAAAAAAAAAAEAIAAAACIAAABkcnMvZG93bnJldi54bWxQSwECFAAUAAAACACHTuJA&#10;Xmm1ZVoCAAC6BAAADgAAAAAAAAABACAAAAAnAQAAZHJzL2Uyb0RvYy54bWxQSwUGAAAAAAYABgBZ&#10;AQAA8wUAAAAA&#10;">
                <v:fill on="t" focussize="0,0"/>
                <v:stroke weight="0.5pt" color="#000000" joinstyle="round"/>
                <v:imagedata o:title=""/>
                <o:lock v:ext="edit" aspectratio="f"/>
                <v:textbox>
                  <w:txbxContent>
                    <w:p>
                      <w:pPr>
                        <w:jc w:val="center"/>
                        <w:rPr>
                          <w:sz w:val="18"/>
                          <w:szCs w:val="18"/>
                        </w:rPr>
                      </w:pPr>
                      <w:r>
                        <w:rPr>
                          <w:rFonts w:hint="eastAsia"/>
                          <w:sz w:val="18"/>
                          <w:szCs w:val="18"/>
                        </w:rPr>
                        <w:t>图例</w:t>
                      </w:r>
                    </w:p>
                    <w:p>
                      <w:pPr>
                        <w:rPr>
                          <w:sz w:val="18"/>
                          <w:szCs w:val="18"/>
                        </w:rPr>
                      </w:pPr>
                    </w:p>
                    <w:p>
                      <w:pPr>
                        <w:rPr>
                          <w:sz w:val="18"/>
                          <w:szCs w:val="18"/>
                        </w:rPr>
                      </w:pPr>
                      <w:r>
                        <w:rPr>
                          <w:rFonts w:hint="eastAsia"/>
                          <w:sz w:val="18"/>
                          <w:szCs w:val="18"/>
                        </w:rPr>
                        <w:t xml:space="preserve"> </w:t>
                      </w:r>
                      <w:r>
                        <w:rPr>
                          <w:sz w:val="18"/>
                          <w:szCs w:val="18"/>
                        </w:rPr>
                        <w:t xml:space="preserve">   </w:t>
                      </w:r>
                      <w:r>
                        <w:rPr>
                          <w:rFonts w:hint="eastAsia"/>
                          <w:sz w:val="18"/>
                          <w:szCs w:val="18"/>
                        </w:rPr>
                        <w:t>厂界</w:t>
                      </w:r>
                    </w:p>
                    <w:p>
                      <w:pPr>
                        <w:ind w:firstLine="360" w:firstLineChars="200"/>
                        <w:rPr>
                          <w:sz w:val="18"/>
                          <w:szCs w:val="18"/>
                        </w:rPr>
                      </w:pPr>
                      <w:r>
                        <w:rPr>
                          <w:rFonts w:hint="eastAsia"/>
                          <w:sz w:val="18"/>
                          <w:szCs w:val="18"/>
                        </w:rPr>
                        <w:t>评价范围</w:t>
                      </w:r>
                    </w:p>
                    <w:p>
                      <w:pPr>
                        <w:ind w:firstLine="360" w:firstLineChars="200"/>
                        <w:rPr>
                          <w:rFonts w:hint="eastAsia"/>
                          <w:sz w:val="18"/>
                          <w:szCs w:val="18"/>
                        </w:rPr>
                      </w:pPr>
                      <w:r>
                        <w:rPr>
                          <w:rFonts w:hint="eastAsia"/>
                          <w:sz w:val="18"/>
                          <w:szCs w:val="18"/>
                        </w:rPr>
                        <w:t>最近敏感点</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2429510</wp:posOffset>
                </wp:positionH>
                <wp:positionV relativeFrom="paragraph">
                  <wp:posOffset>4065270</wp:posOffset>
                </wp:positionV>
                <wp:extent cx="63500" cy="63500"/>
                <wp:effectExtent l="0" t="0" r="12700" b="12700"/>
                <wp:wrapNone/>
                <wp:docPr id="87" name="椭圆 87"/>
                <wp:cNvGraphicFramePr/>
                <a:graphic xmlns:a="http://schemas.openxmlformats.org/drawingml/2006/main">
                  <a:graphicData uri="http://schemas.microsoft.com/office/word/2010/wordprocessingShape">
                    <wps:wsp>
                      <wps:cNvSpPr/>
                      <wps:spPr>
                        <a:xfrm>
                          <a:off x="0" y="0"/>
                          <a:ext cx="63611" cy="63611"/>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1.3pt;margin-top:320.1pt;height:5pt;width:5pt;z-index:251697152;v-text-anchor:middle;mso-width-relative:page;mso-height-relative:page;" fillcolor="#FF0000" filled="t" stroked="t" coordsize="21600,21600" o:gfxdata="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i2N6NUAAAALAQAADwAAAAAAAAABACAAAAAiAAAAZHJzL2Rvd25yZXYueG1sUEsB&#10;AhQAFAAAAAgAh07iQDPW81JqAgAA9gQAAA4AAAAAAAAAAQAgAAAAJAEAAGRycy9lMm9Eb2MueG1s&#10;UEsFBgAAAAAGAAYAWQEAAAAGAAAAAA==&#10;">
                <v:fill on="t"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2201545</wp:posOffset>
                </wp:positionH>
                <wp:positionV relativeFrom="paragraph">
                  <wp:posOffset>4135120</wp:posOffset>
                </wp:positionV>
                <wp:extent cx="929640" cy="50228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小河口村</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0.305km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35pt;margin-top:325.6pt;height:39.55pt;width:73.2pt;z-index:251692032;mso-width-relative:page;mso-height-relative:page;" filled="f" stroked="f" coordsize="21600,21600" o:gfxdata="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sa5bdAAAACwEAAA8AAAAAAAAAAQAgAAAAIgAA&#10;AGRycy9kb3ducmV2LnhtbFBLAQIUABQAAAAIAIdO4kC3DANiPAIAAGcEAAAOAAAAAAAAAAEAIAAA&#10;ACwBAABkcnMvZTJvRG9jLnhtbFBLBQYAAAAABgAGAFkBAADaBQAAAAA=&#10;">
                <v:fill on="f" focussize="0,0"/>
                <v:stroke on="f" weight="0.5pt"/>
                <v:imagedata o:title=""/>
                <o:lock v:ext="edit" aspectratio="f"/>
                <v:textbox>
                  <w:txbxContent>
                    <w:p>
                      <w:pPr>
                        <w:adjustRightInd w:val="0"/>
                        <w:snapToGrid w:val="0"/>
                        <w:rPr>
                          <w:b/>
                          <w:bCs/>
                        </w:rPr>
                      </w:pPr>
                      <w:r>
                        <w:rPr>
                          <w:rFonts w:hint="eastAsia"/>
                          <w:b/>
                          <w:bCs/>
                          <w:color w:val="FF0000"/>
                          <w:sz w:val="15"/>
                          <w:szCs w:val="15"/>
                        </w:rPr>
                        <w:t>小河口村</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0.305km</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1582420</wp:posOffset>
                </wp:positionH>
                <wp:positionV relativeFrom="paragraph">
                  <wp:posOffset>3535680</wp:posOffset>
                </wp:positionV>
                <wp:extent cx="797560" cy="579120"/>
                <wp:effectExtent l="0" t="0" r="79375" b="49530"/>
                <wp:wrapNone/>
                <wp:docPr id="86" name="直接箭头连接符 86"/>
                <wp:cNvGraphicFramePr/>
                <a:graphic xmlns:a="http://schemas.openxmlformats.org/drawingml/2006/main">
                  <a:graphicData uri="http://schemas.microsoft.com/office/word/2010/wordprocessingShape">
                    <wps:wsp>
                      <wps:cNvCnPr/>
                      <wps:spPr>
                        <a:xfrm>
                          <a:off x="0" y="0"/>
                          <a:ext cx="797505" cy="579202"/>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24.6pt;margin-top:278.4pt;height:45.6pt;width:62.8pt;z-index:251696128;mso-width-relative:page;mso-height-relative:page;" filled="f" stroked="t" coordsize="21600,21600" o:gfxdata="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mWxZ&#10;8tgAAAALAQAADwAAAAAAAAABACAAAAAiAAAAZHJzL2Rvd25yZXYueG1sUEsBAhQAFAAAAAgAh07i&#10;QHOxr+EiAgAAIQQAAA4AAAAAAAAAAQAgAAAAJwEAAGRycy9lMm9Eb2MueG1sUEsFBgAAAAAGAAYA&#10;WQEAALsFA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1224280</wp:posOffset>
                </wp:positionH>
                <wp:positionV relativeFrom="paragraph">
                  <wp:posOffset>4415155</wp:posOffset>
                </wp:positionV>
                <wp:extent cx="929640" cy="50228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石人河</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0.375km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4pt;margin-top:347.65pt;height:39.55pt;width:73.2pt;z-index:251693056;mso-width-relative:page;mso-height-relative:page;" filled="f" stroked="f" coordsize="21600,21600" o:gfxdata="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bf9C9wAAAALAQAADwAAAAAAAAABACAAAAAiAAAA&#10;ZHJzL2Rvd25yZXYueG1sUEsBAhQAFAAAAAgAh07iQO1zwIo8AgAAZwQAAA4AAAAAAAAAAQAgAAAA&#10;KwEAAGRycy9lMm9Eb2MueG1sUEsFBgAAAAAGAAYAWQEAANkFAAAAAA==&#10;">
                <v:fill on="f" focussize="0,0"/>
                <v:stroke on="f" weight="0.5pt"/>
                <v:imagedata o:title=""/>
                <o:lock v:ext="edit" aspectratio="f"/>
                <v:textbox>
                  <w:txbxContent>
                    <w:p>
                      <w:pPr>
                        <w:adjustRightInd w:val="0"/>
                        <w:snapToGrid w:val="0"/>
                        <w:rPr>
                          <w:b/>
                          <w:bCs/>
                        </w:rPr>
                      </w:pPr>
                      <w:r>
                        <w:rPr>
                          <w:rFonts w:hint="eastAsia"/>
                          <w:b/>
                          <w:bCs/>
                          <w:color w:val="FF0000"/>
                          <w:sz w:val="15"/>
                          <w:szCs w:val="15"/>
                        </w:rPr>
                        <w:t>石人河</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0.375km</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1487170</wp:posOffset>
                </wp:positionH>
                <wp:positionV relativeFrom="paragraph">
                  <wp:posOffset>3535680</wp:posOffset>
                </wp:positionV>
                <wp:extent cx="440055" cy="1071880"/>
                <wp:effectExtent l="0" t="0" r="55880" b="52705"/>
                <wp:wrapNone/>
                <wp:docPr id="85" name="直接箭头连接符 85"/>
                <wp:cNvGraphicFramePr/>
                <a:graphic xmlns:a="http://schemas.openxmlformats.org/drawingml/2006/main">
                  <a:graphicData uri="http://schemas.microsoft.com/office/word/2010/wordprocessingShape">
                    <wps:wsp>
                      <wps:cNvCnPr/>
                      <wps:spPr>
                        <a:xfrm>
                          <a:off x="0" y="0"/>
                          <a:ext cx="439834" cy="1071852"/>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7.1pt;margin-top:278.4pt;height:84.4pt;width:34.65pt;z-index:251695104;mso-width-relative:page;mso-height-relative:page;" filled="f" stroked="t" coordsize="21600,21600" o:gfxdata="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uw&#10;my/YAAAACwEAAA8AAAAAAAAAAQAgAAAAIgAAAGRycy9kb3ducmV2LnhtbFBLAQIUABQAAAAIAIdO&#10;4kB3i3ebIwIAACIEAAAOAAAAAAAAAAEAIAAAACcBAABkcnMvZTJvRG9jLnhtbFBLBQYAAAAABgAG&#10;AFkBAAC8BQ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3282315</wp:posOffset>
                </wp:positionH>
                <wp:positionV relativeFrom="paragraph">
                  <wp:posOffset>2478405</wp:posOffset>
                </wp:positionV>
                <wp:extent cx="1882140" cy="253365"/>
                <wp:effectExtent l="38100" t="0" r="22860" b="90170"/>
                <wp:wrapNone/>
                <wp:docPr id="84" name="直接箭头连接符 84"/>
                <wp:cNvGraphicFramePr/>
                <a:graphic xmlns:a="http://schemas.openxmlformats.org/drawingml/2006/main">
                  <a:graphicData uri="http://schemas.microsoft.com/office/word/2010/wordprocessingShape">
                    <wps:wsp>
                      <wps:cNvCnPr/>
                      <wps:spPr>
                        <a:xfrm flipH="1">
                          <a:off x="0" y="0"/>
                          <a:ext cx="1882195" cy="253089"/>
                        </a:xfrm>
                        <a:prstGeom prst="straightConnector1">
                          <a:avLst/>
                        </a:prstGeom>
                        <a:ln w="1270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8.45pt;margin-top:195.15pt;height:19.95pt;width:148.2pt;z-index:251694080;mso-width-relative:page;mso-height-relative:page;" filled="f" stroked="t" coordsize="21600,21600" o:gfxdata="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L4VDPZAAAACwEAAA8AAAAAAAAAAQAgAAAAIgAAAGRycy9kb3ducmV2LnhtbFBLAQIU&#10;ABQAAAAIAIdO4kARk4qoKwIAACwEAAAOAAAAAAAAAAEAIAAAACgBAABkcnMvZTJvRG9jLnhtbFBL&#10;BQYAAAAABgAGAFkBAADFBQAAAAA=&#10;">
                <v:fill on="f" focussize="0,0"/>
                <v:stroke weight="1pt" color="#FF0000 [3204]" miterlimit="8" joinstyle="miter" endarrow="open"/>
                <v:imagedata o:title=""/>
                <o:lock v:ext="edit" aspectratio="f"/>
              </v:shape>
            </w:pict>
          </mc:Fallback>
        </mc:AlternateContent>
      </w:r>
      <w:r>
        <w:drawing>
          <wp:anchor distT="0" distB="0" distL="114300" distR="114300" simplePos="0" relativeHeight="251689984" behindDoc="0" locked="0" layoutInCell="1" allowOverlap="1">
            <wp:simplePos x="0" y="0"/>
            <wp:positionH relativeFrom="column">
              <wp:posOffset>81915</wp:posOffset>
            </wp:positionH>
            <wp:positionV relativeFrom="paragraph">
              <wp:posOffset>2504440</wp:posOffset>
            </wp:positionV>
            <wp:extent cx="3081655" cy="2447925"/>
            <wp:effectExtent l="95250" t="95250" r="100330" b="85725"/>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081496" cy="2447925"/>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anchor>
        </w:drawing>
      </w:r>
      <w:r>
        <mc:AlternateContent>
          <mc:Choice Requires="wps">
            <w:drawing>
              <wp:anchor distT="0" distB="0" distL="114300" distR="114300" simplePos="0" relativeHeight="251691008" behindDoc="0" locked="0" layoutInCell="1" allowOverlap="1">
                <wp:simplePos x="0" y="0"/>
                <wp:positionH relativeFrom="column">
                  <wp:posOffset>4671695</wp:posOffset>
                </wp:positionH>
                <wp:positionV relativeFrom="paragraph">
                  <wp:posOffset>1180465</wp:posOffset>
                </wp:positionV>
                <wp:extent cx="523875" cy="1171575"/>
                <wp:effectExtent l="38100" t="38100" r="28575" b="28575"/>
                <wp:wrapNone/>
                <wp:docPr id="82" name="直接箭头连接符 82"/>
                <wp:cNvGraphicFramePr/>
                <a:graphic xmlns:a="http://schemas.openxmlformats.org/drawingml/2006/main">
                  <a:graphicData uri="http://schemas.microsoft.com/office/word/2010/wordprocessingShape">
                    <wps:wsp>
                      <wps:cNvCnPr/>
                      <wps:spPr>
                        <a:xfrm flipH="1" flipV="1">
                          <a:off x="0" y="0"/>
                          <a:ext cx="523875" cy="1171575"/>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67.85pt;margin-top:92.95pt;height:92.25pt;width:41.25pt;z-index:251691008;mso-width-relative:page;mso-height-relative:page;" filled="f" stroked="t" coordsize="21600,21600" o:gfxdata="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ATefQbaAAAACwEAAA8AAAAAAAAAAQAgAAAAIgAAAGRycy9kb3ducmV2LnhtbFBL&#10;AQIUABQAAAAIAIdO4kD3zefGLQIAADYEAAAOAAAAAAAAAAEAIAAAACkBAABkcnMvZTJvRG9jLnht&#10;bFBLBQYAAAAABgAGAFkBAADIBQ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4157980</wp:posOffset>
                </wp:positionH>
                <wp:positionV relativeFrom="paragraph">
                  <wp:posOffset>1980565</wp:posOffset>
                </wp:positionV>
                <wp:extent cx="971550" cy="447675"/>
                <wp:effectExtent l="38100" t="38100" r="19050" b="28575"/>
                <wp:wrapNone/>
                <wp:docPr id="81" name="直接箭头连接符 81"/>
                <wp:cNvGraphicFramePr/>
                <a:graphic xmlns:a="http://schemas.openxmlformats.org/drawingml/2006/main">
                  <a:graphicData uri="http://schemas.microsoft.com/office/word/2010/wordprocessingShape">
                    <wps:wsp>
                      <wps:cNvCnPr/>
                      <wps:spPr>
                        <a:xfrm flipH="1" flipV="1">
                          <a:off x="0" y="0"/>
                          <a:ext cx="971550" cy="447675"/>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27.4pt;margin-top:155.95pt;height:35.25pt;width:76.5pt;z-index:251688960;mso-width-relative:page;mso-height-relative:page;" filled="f" stroked="t" coordsize="21600,21600" o:gfxdata="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2cOE4NkAAAALAQAADwAAAAAAAAABACAAAAAiAAAAZHJzL2Rvd25yZXYueG1sUEsB&#10;AhQAFAAAAAgAh07iQKGYZyEtAgAANQQAAA4AAAAAAAAAAQAgAAAAKAEAAGRycy9lMm9Eb2MueG1s&#10;UEsFBgAAAAAGAAYAWQEAAMcFA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5272405</wp:posOffset>
                </wp:positionH>
                <wp:positionV relativeFrom="paragraph">
                  <wp:posOffset>2580640</wp:posOffset>
                </wp:positionV>
                <wp:extent cx="548005" cy="1057275"/>
                <wp:effectExtent l="0" t="0" r="61595" b="66675"/>
                <wp:wrapNone/>
                <wp:docPr id="80" name="直接箭头连接符 80"/>
                <wp:cNvGraphicFramePr/>
                <a:graphic xmlns:a="http://schemas.openxmlformats.org/drawingml/2006/main">
                  <a:graphicData uri="http://schemas.microsoft.com/office/word/2010/wordprocessingShape">
                    <wps:wsp>
                      <wps:cNvCnPr/>
                      <wps:spPr>
                        <a:xfrm>
                          <a:off x="0" y="0"/>
                          <a:ext cx="548005" cy="1057275"/>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5.15pt;margin-top:203.2pt;height:83.25pt;width:43.15pt;z-index:251687936;mso-width-relative:page;mso-height-relative:page;" filled="f" stroked="t" coordsize="21600,21600" o:gfxdata="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WyQOZ&#10;2AAAAAsBAAAPAAAAAAAAAAEAIAAAACIAAABkcnMvZG93bnJldi54bWxQSwECFAAUAAAACACHTuJA&#10;n514dyECAAAiBAAADgAAAAAAAAABACAAAAAnAQAAZHJzL2Uyb0RvYy54bWxQSwUGAAAAAAYABgBZ&#10;AQAAugU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5281930</wp:posOffset>
                </wp:positionH>
                <wp:positionV relativeFrom="paragraph">
                  <wp:posOffset>2533015</wp:posOffset>
                </wp:positionV>
                <wp:extent cx="857250" cy="781050"/>
                <wp:effectExtent l="0" t="0" r="76200" b="57150"/>
                <wp:wrapNone/>
                <wp:docPr id="79" name="直接箭头连接符 79"/>
                <wp:cNvGraphicFramePr/>
                <a:graphic xmlns:a="http://schemas.openxmlformats.org/drawingml/2006/main">
                  <a:graphicData uri="http://schemas.microsoft.com/office/word/2010/wordprocessingShape">
                    <wps:wsp>
                      <wps:cNvCnPr/>
                      <wps:spPr>
                        <a:xfrm>
                          <a:off x="0" y="0"/>
                          <a:ext cx="857250" cy="781050"/>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5.9pt;margin-top:199.45pt;height:61.5pt;width:67.5pt;z-index:251685888;mso-width-relative:page;mso-height-relative:page;" filled="f" stroked="t" coordsize="21600,21600" o:gfxdata="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6C7hTY&#10;AAAACwEAAA8AAAAAAAAAAQAgAAAAIgAAAGRycy9kb3ducmV2LnhtbFBLAQIUABQAAAAIAIdO4kD6&#10;g6DyIAIAACEEAAAOAAAAAAAAAAEAIAAAACcBAABkcnMvZTJvRG9jLnhtbFBLBQYAAAAABgAGAFkB&#10;AAC5BQ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5281295</wp:posOffset>
                </wp:positionH>
                <wp:positionV relativeFrom="paragraph">
                  <wp:posOffset>2504440</wp:posOffset>
                </wp:positionV>
                <wp:extent cx="1057275" cy="360680"/>
                <wp:effectExtent l="0" t="0" r="47625" b="77470"/>
                <wp:wrapNone/>
                <wp:docPr id="78" name="直接箭头连接符 78"/>
                <wp:cNvGraphicFramePr/>
                <a:graphic xmlns:a="http://schemas.openxmlformats.org/drawingml/2006/main">
                  <a:graphicData uri="http://schemas.microsoft.com/office/word/2010/wordprocessingShape">
                    <wps:wsp>
                      <wps:cNvCnPr/>
                      <wps:spPr>
                        <a:xfrm>
                          <a:off x="0" y="0"/>
                          <a:ext cx="1057275" cy="360680"/>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5.85pt;margin-top:197.2pt;height:28.4pt;width:83.25pt;z-index:251684864;mso-width-relative:page;mso-height-relative:page;" filled="f" stroked="t" coordsize="21600,21600" o:gfxdata="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7SM&#10;TtgAAAALAQAADwAAAAAAAAABACAAAAAiAAAAZHJzL2Rvd25yZXYueG1sUEsBAhQAFAAAAAgAh07i&#10;QG93UTciAgAAIgQAAA4AAAAAAAAAAQAgAAAAJwEAAGRycy9lMm9Eb2MueG1sUEsFBgAAAAAGAAYA&#10;WQEAALsFA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4672330</wp:posOffset>
                </wp:positionH>
                <wp:positionV relativeFrom="paragraph">
                  <wp:posOffset>2609215</wp:posOffset>
                </wp:positionV>
                <wp:extent cx="819150" cy="5334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819150" cy="533400"/>
                        </a:xfrm>
                        <a:prstGeom prst="rect">
                          <a:avLst/>
                        </a:prstGeom>
                        <a:noFill/>
                        <a:ln w="6350">
                          <a:noFill/>
                        </a:ln>
                      </wps:spPr>
                      <wps:txbx>
                        <w:txbxContent>
                          <w:p>
                            <w:pPr>
                              <w:adjustRightInd w:val="0"/>
                              <w:snapToGrid w:val="0"/>
                              <w:rPr>
                                <w:b/>
                                <w:bCs/>
                              </w:rPr>
                            </w:pPr>
                            <w:r>
                              <w:rPr>
                                <w:rFonts w:hint="eastAsia"/>
                                <w:b/>
                                <w:bCs/>
                                <w:color w:val="FF0000"/>
                                <w:sz w:val="15"/>
                                <w:szCs w:val="15"/>
                              </w:rPr>
                              <w:t>安乐屯</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西南侧0</w:t>
                            </w:r>
                            <w:r>
                              <w:rPr>
                                <w:b/>
                                <w:bCs/>
                                <w:color w:val="FFFF00"/>
                                <w:sz w:val="13"/>
                                <w:szCs w:val="13"/>
                              </w:rPr>
                              <w:t>.748km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9pt;margin-top:205.45pt;height:42pt;width:64.5pt;z-index:251664384;mso-width-relative:page;mso-height-relative:page;" filled="f" stroked="f" coordsize="21600,21600" o:gfxdata="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trebrbAAAACwEAAA8AAAAAAAAAAQAgAAAAIgAAAGRy&#10;cy9kb3ducmV2LnhtbFBLAQIUABQAAAAIAIdO4kBPyAT5OwIAAGcEAAAOAAAAAAAAAAEAIAAAACoB&#10;AABkcnMvZTJvRG9jLnhtbFBLBQYAAAAABgAGAFkBAADXBQAAAAA=&#10;">
                <v:fill on="f" focussize="0,0"/>
                <v:stroke on="f" weight="0.5pt"/>
                <v:imagedata o:title=""/>
                <o:lock v:ext="edit" aspectratio="f"/>
                <v:textbox>
                  <w:txbxContent>
                    <w:p>
                      <w:pPr>
                        <w:adjustRightInd w:val="0"/>
                        <w:snapToGrid w:val="0"/>
                        <w:rPr>
                          <w:b/>
                          <w:bCs/>
                        </w:rPr>
                      </w:pPr>
                      <w:r>
                        <w:rPr>
                          <w:rFonts w:hint="eastAsia"/>
                          <w:b/>
                          <w:bCs/>
                          <w:color w:val="FF0000"/>
                          <w:sz w:val="15"/>
                          <w:szCs w:val="15"/>
                        </w:rPr>
                        <w:t>安乐屯</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西南侧0</w:t>
                      </w:r>
                      <w:r>
                        <w:rPr>
                          <w:b/>
                          <w:bCs/>
                          <w:color w:val="FFFF00"/>
                          <w:sz w:val="13"/>
                          <w:szCs w:val="13"/>
                        </w:rPr>
                        <w:t>.748km</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5285740</wp:posOffset>
                </wp:positionH>
                <wp:positionV relativeFrom="paragraph">
                  <wp:posOffset>2401570</wp:posOffset>
                </wp:positionV>
                <wp:extent cx="1005205" cy="45720"/>
                <wp:effectExtent l="0" t="76200" r="4445" b="69215"/>
                <wp:wrapNone/>
                <wp:docPr id="77" name="直接箭头连接符 77"/>
                <wp:cNvGraphicFramePr/>
                <a:graphic xmlns:a="http://schemas.openxmlformats.org/drawingml/2006/main">
                  <a:graphicData uri="http://schemas.microsoft.com/office/word/2010/wordprocessingShape">
                    <wps:wsp>
                      <wps:cNvCnPr/>
                      <wps:spPr>
                        <a:xfrm flipV="1">
                          <a:off x="0" y="0"/>
                          <a:ext cx="1005205" cy="45719"/>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16.2pt;margin-top:189.1pt;height:3.6pt;width:79.15pt;z-index:251681792;mso-width-relative:page;mso-height-relative:page;" filled="f" stroked="t" coordsize="21600,21600" o:gfxdata="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Anwm/YAAAACwEAAA8AAAAAAAAAAQAgAAAAIgAAAGRycy9kb3ducmV2LnhtbFBLAQIUABQA&#10;AAAIAIdO4kCqKF/kKQIAACsEAAAOAAAAAAAAAAEAIAAAACcBAABkcnMvZTJvRG9jLnhtbFBLBQYA&#10;AAAABgAGAFkBAADCBQAAAAA=&#10;">
                <v:fill on="f" focussize="0,0"/>
                <v:stroke weight="1pt" color="#FFFF00 [3204]" miterlimit="8" joinstyle="miter" endarrow="open"/>
                <v:imagedata o:title=""/>
                <o:lock v:ext="edit" aspectratio="f"/>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5612130</wp:posOffset>
                </wp:positionH>
                <wp:positionV relativeFrom="paragraph">
                  <wp:posOffset>3681730</wp:posOffset>
                </wp:positionV>
                <wp:extent cx="929640" cy="50228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大石人镇</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2.42km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1.9pt;margin-top:289.9pt;height:39.55pt;width:73.2pt;z-index:251675648;mso-width-relative:page;mso-height-relative:page;" filled="f" stroked="f" coordsize="21600,21600" o:gfxdata="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OMp2E3QAAAAwBAAAPAAAAAAAAAAEAIAAAACIA&#10;AABkcnMvZG93bnJldi54bWxQSwECFAAUAAAACACHTuJAqAUbfT0CAABnBAAADgAAAAAAAAABACAA&#10;AAAsAQAAZHJzL2Uyb0RvYy54bWxQSwUGAAAAAAYABgBZAQAA2wUAAAAA&#10;">
                <v:fill on="f" focussize="0,0"/>
                <v:stroke on="f" weight="0.5pt"/>
                <v:imagedata o:title=""/>
                <o:lock v:ext="edit" aspectratio="f"/>
                <v:textbox>
                  <w:txbxContent>
                    <w:p>
                      <w:pPr>
                        <w:adjustRightInd w:val="0"/>
                        <w:snapToGrid w:val="0"/>
                        <w:rPr>
                          <w:b/>
                          <w:bCs/>
                        </w:rPr>
                      </w:pPr>
                      <w:r>
                        <w:rPr>
                          <w:rFonts w:hint="eastAsia"/>
                          <w:b/>
                          <w:bCs/>
                          <w:color w:val="FF0000"/>
                          <w:sz w:val="15"/>
                          <w:szCs w:val="15"/>
                        </w:rPr>
                        <w:t>大石人镇</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2.42km</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6309995</wp:posOffset>
                </wp:positionH>
                <wp:positionV relativeFrom="paragraph">
                  <wp:posOffset>2797175</wp:posOffset>
                </wp:positionV>
                <wp:extent cx="929640" cy="50228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牛奶房子</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2.19km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85pt;margin-top:220.25pt;height:39.55pt;width:73.2pt;z-index:251668480;mso-width-relative:page;mso-height-relative:page;" filled="f" stroked="f" coordsize="21600,21600" o:gfxdata="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aEC990AAAAMAQAADwAAAAAAAAABACAAAAAiAAAA&#10;ZHJzL2Rvd25yZXYueG1sUEsBAhQAFAAAAAgAh07iQEL09Gg7AgAAZwQAAA4AAAAAAAAAAQAgAAAA&#10;LAEAAGRycy9lMm9Eb2MueG1sUEsFBgAAAAAGAAYAWQEAANkFAAAAAA==&#10;">
                <v:fill on="f" focussize="0,0"/>
                <v:stroke on="f" weight="0.5pt"/>
                <v:imagedata o:title=""/>
                <o:lock v:ext="edit" aspectratio="f"/>
                <v:textbox>
                  <w:txbxContent>
                    <w:p>
                      <w:pPr>
                        <w:adjustRightInd w:val="0"/>
                        <w:snapToGrid w:val="0"/>
                        <w:rPr>
                          <w:b/>
                          <w:bCs/>
                        </w:rPr>
                      </w:pPr>
                      <w:r>
                        <w:rPr>
                          <w:rFonts w:hint="eastAsia"/>
                          <w:b/>
                          <w:bCs/>
                          <w:color w:val="FF0000"/>
                          <w:sz w:val="15"/>
                          <w:szCs w:val="15"/>
                        </w:rPr>
                        <w:t>牛奶房子</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2.19km</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6043930</wp:posOffset>
                </wp:positionH>
                <wp:positionV relativeFrom="paragraph">
                  <wp:posOffset>3289300</wp:posOffset>
                </wp:positionV>
                <wp:extent cx="929640" cy="50228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光环村</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2.15km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5.9pt;margin-top:259pt;height:39.55pt;width:73.2pt;z-index:251672576;mso-width-relative:page;mso-height-relative:page;" filled="f" stroked="f" coordsize="21600,21600" o:gfxdata="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EY0PNsAAAAMAQAADwAAAAAAAAABACAAAAAiAAAA&#10;ZHJzL2Rvd25yZXYueG1sUEsBAhQAFAAAAAgAh07iQAeCL589AgAAZwQAAA4AAAAAAAAAAQAgAAAA&#10;KgEAAGRycy9lMm9Eb2MueG1sUEsFBgAAAAAGAAYAWQEAANkFAAAAAA==&#10;">
                <v:fill on="f" focussize="0,0"/>
                <v:stroke on="f" weight="0.5pt"/>
                <v:imagedata o:title=""/>
                <o:lock v:ext="edit" aspectratio="f"/>
                <v:textbox>
                  <w:txbxContent>
                    <w:p>
                      <w:pPr>
                        <w:adjustRightInd w:val="0"/>
                        <w:snapToGrid w:val="0"/>
                        <w:rPr>
                          <w:b/>
                          <w:bCs/>
                        </w:rPr>
                      </w:pPr>
                      <w:r>
                        <w:rPr>
                          <w:rFonts w:hint="eastAsia"/>
                          <w:b/>
                          <w:bCs/>
                          <w:color w:val="FF0000"/>
                          <w:sz w:val="15"/>
                          <w:szCs w:val="15"/>
                        </w:rPr>
                        <w:t>光环村</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东南侧</w:t>
                      </w:r>
                      <w:r>
                        <w:rPr>
                          <w:b/>
                          <w:bCs/>
                          <w:color w:val="FFFF00"/>
                          <w:sz w:val="13"/>
                          <w:szCs w:val="13"/>
                        </w:rPr>
                        <w:t>2.15km</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4279265</wp:posOffset>
                </wp:positionH>
                <wp:positionV relativeFrom="paragraph">
                  <wp:posOffset>926465</wp:posOffset>
                </wp:positionV>
                <wp:extent cx="1195705" cy="25654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195754" cy="256233"/>
                        </a:xfrm>
                        <a:prstGeom prst="rect">
                          <a:avLst/>
                        </a:prstGeom>
                        <a:noFill/>
                        <a:ln w="6350">
                          <a:noFill/>
                        </a:ln>
                      </wps:spPr>
                      <wps:txbx>
                        <w:txbxContent>
                          <w:p>
                            <w:pPr>
                              <w:rPr>
                                <w:rFonts w:hint="eastAsia"/>
                                <w:b/>
                                <w:bCs/>
                              </w:rPr>
                            </w:pPr>
                            <w:r>
                              <w:rPr>
                                <w:rFonts w:hint="eastAsia"/>
                                <w:b/>
                                <w:bCs/>
                                <w:color w:val="FF0000"/>
                                <w:sz w:val="15"/>
                                <w:szCs w:val="15"/>
                              </w:rPr>
                              <w:t>赵家沟</w:t>
                            </w:r>
                            <w:r>
                              <w:rPr>
                                <w:rFonts w:hint="eastAsia"/>
                                <w:b/>
                                <w:bCs/>
                              </w:rPr>
                              <w:t xml:space="preserve"> </w:t>
                            </w:r>
                            <w:r>
                              <w:rPr>
                                <w:b/>
                                <w:bCs/>
                              </w:rPr>
                              <w:t xml:space="preserve"> </w:t>
                            </w:r>
                            <w:r>
                              <w:rPr>
                                <w:rFonts w:hint="eastAsia"/>
                                <w:b/>
                                <w:bCs/>
                                <w:color w:val="FFFF00"/>
                                <w:sz w:val="13"/>
                                <w:szCs w:val="13"/>
                              </w:rPr>
                              <w:t>西北侧</w:t>
                            </w:r>
                            <w:r>
                              <w:rPr>
                                <w:b/>
                                <w:bCs/>
                                <w:color w:val="FFFF00"/>
                                <w:sz w:val="13"/>
                                <w:szCs w:val="13"/>
                              </w:rPr>
                              <w:t>2.39km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95pt;margin-top:72.95pt;height:20.2pt;width:94.15pt;z-index:251667456;mso-width-relative:page;mso-height-relative:page;" filled="f" stroked="f" coordsize="21600,21600" o:gfxdata="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keETq2wAAAAsBAAAPAAAAAAAAAAEAIAAAACIAAABk&#10;cnMvZG93bnJldi54bWxQSwECFAAUAAAACACHTuJAQ11AwTwCAABoBAAADgAAAAAAAAABACAAAAAq&#10;AQAAZHJzL2Uyb0RvYy54bWxQSwUGAAAAAAYABgBZAQAA2AUAAAAA&#10;">
                <v:fill on="f" focussize="0,0"/>
                <v:stroke on="f" weight="0.5pt"/>
                <v:imagedata o:title=""/>
                <o:lock v:ext="edit" aspectratio="f"/>
                <v:textbox>
                  <w:txbxContent>
                    <w:p>
                      <w:pPr>
                        <w:rPr>
                          <w:rFonts w:hint="eastAsia"/>
                          <w:b/>
                          <w:bCs/>
                        </w:rPr>
                      </w:pPr>
                      <w:r>
                        <w:rPr>
                          <w:rFonts w:hint="eastAsia"/>
                          <w:b/>
                          <w:bCs/>
                          <w:color w:val="FF0000"/>
                          <w:sz w:val="15"/>
                          <w:szCs w:val="15"/>
                        </w:rPr>
                        <w:t>赵家沟</w:t>
                      </w:r>
                      <w:r>
                        <w:rPr>
                          <w:rFonts w:hint="eastAsia"/>
                          <w:b/>
                          <w:bCs/>
                        </w:rPr>
                        <w:t xml:space="preserve"> </w:t>
                      </w:r>
                      <w:r>
                        <w:rPr>
                          <w:b/>
                          <w:bCs/>
                        </w:rPr>
                        <w:t xml:space="preserve"> </w:t>
                      </w:r>
                      <w:r>
                        <w:rPr>
                          <w:rFonts w:hint="eastAsia"/>
                          <w:b/>
                          <w:bCs/>
                          <w:color w:val="FFFF00"/>
                          <w:sz w:val="13"/>
                          <w:szCs w:val="13"/>
                        </w:rPr>
                        <w:t>西北侧</w:t>
                      </w:r>
                      <w:r>
                        <w:rPr>
                          <w:b/>
                          <w:bCs/>
                          <w:color w:val="FFFF00"/>
                          <w:sz w:val="13"/>
                          <w:szCs w:val="13"/>
                        </w:rPr>
                        <w:t>2.39km</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3810000</wp:posOffset>
                </wp:positionH>
                <wp:positionV relativeFrom="paragraph">
                  <wp:posOffset>1727835</wp:posOffset>
                </wp:positionV>
                <wp:extent cx="1195705" cy="25654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195754" cy="256233"/>
                        </a:xfrm>
                        <a:prstGeom prst="rect">
                          <a:avLst/>
                        </a:prstGeom>
                        <a:noFill/>
                        <a:ln w="6350">
                          <a:noFill/>
                        </a:ln>
                      </wps:spPr>
                      <wps:txbx>
                        <w:txbxContent>
                          <w:p>
                            <w:pPr>
                              <w:rPr>
                                <w:rFonts w:hint="eastAsia"/>
                                <w:b/>
                                <w:bCs/>
                              </w:rPr>
                            </w:pPr>
                            <w:r>
                              <w:rPr>
                                <w:rFonts w:hint="eastAsia"/>
                                <w:b/>
                                <w:bCs/>
                                <w:color w:val="FF0000"/>
                                <w:sz w:val="15"/>
                                <w:szCs w:val="15"/>
                              </w:rPr>
                              <w:t>长岗</w:t>
                            </w:r>
                            <w:r>
                              <w:rPr>
                                <w:rFonts w:hint="eastAsia"/>
                                <w:b/>
                                <w:bCs/>
                              </w:rPr>
                              <w:t xml:space="preserve"> </w:t>
                            </w:r>
                            <w:r>
                              <w:rPr>
                                <w:b/>
                                <w:bCs/>
                              </w:rPr>
                              <w:t xml:space="preserve"> </w:t>
                            </w:r>
                            <w:r>
                              <w:rPr>
                                <w:rFonts w:hint="eastAsia"/>
                                <w:b/>
                                <w:bCs/>
                                <w:color w:val="FFFF00"/>
                                <w:sz w:val="13"/>
                                <w:szCs w:val="13"/>
                              </w:rPr>
                              <w:t>西北侧</w:t>
                            </w:r>
                            <w:r>
                              <w:rPr>
                                <w:b/>
                                <w:bCs/>
                                <w:color w:val="FFFF00"/>
                                <w:sz w:val="13"/>
                                <w:szCs w:val="13"/>
                              </w:rPr>
                              <w:t>1.84km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pt;margin-top:136.05pt;height:20.2pt;width:94.15pt;z-index:251666432;mso-width-relative:page;mso-height-relative:page;" filled="f" stroked="f" coordsize="21600,21600" o:gfxdata="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PX3JdwAAAALAQAADwAAAAAAAAABACAAAAAiAAAA&#10;ZHJzL2Rvd25yZXYueG1sUEsBAhQAFAAAAAgAh07iQNYmFko8AgAAaAQAAA4AAAAAAAAAAQAgAAAA&#10;KwEAAGRycy9lMm9Eb2MueG1sUEsFBgAAAAAGAAYAWQEAANkFAAAAAA==&#10;">
                <v:fill on="f" focussize="0,0"/>
                <v:stroke on="f" weight="0.5pt"/>
                <v:imagedata o:title=""/>
                <o:lock v:ext="edit" aspectratio="f"/>
                <v:textbox>
                  <w:txbxContent>
                    <w:p>
                      <w:pPr>
                        <w:rPr>
                          <w:rFonts w:hint="eastAsia"/>
                          <w:b/>
                          <w:bCs/>
                        </w:rPr>
                      </w:pPr>
                      <w:r>
                        <w:rPr>
                          <w:rFonts w:hint="eastAsia"/>
                          <w:b/>
                          <w:bCs/>
                          <w:color w:val="FF0000"/>
                          <w:sz w:val="15"/>
                          <w:szCs w:val="15"/>
                        </w:rPr>
                        <w:t>长岗</w:t>
                      </w:r>
                      <w:r>
                        <w:rPr>
                          <w:rFonts w:hint="eastAsia"/>
                          <w:b/>
                          <w:bCs/>
                        </w:rPr>
                        <w:t xml:space="preserve"> </w:t>
                      </w:r>
                      <w:r>
                        <w:rPr>
                          <w:b/>
                          <w:bCs/>
                        </w:rPr>
                        <w:t xml:space="preserve"> </w:t>
                      </w:r>
                      <w:r>
                        <w:rPr>
                          <w:rFonts w:hint="eastAsia"/>
                          <w:b/>
                          <w:bCs/>
                          <w:color w:val="FFFF00"/>
                          <w:sz w:val="13"/>
                          <w:szCs w:val="13"/>
                        </w:rPr>
                        <w:t>西北侧</w:t>
                      </w:r>
                      <w:r>
                        <w:rPr>
                          <w:b/>
                          <w:bCs/>
                          <w:color w:val="FFFF00"/>
                          <w:sz w:val="13"/>
                          <w:szCs w:val="13"/>
                        </w:rPr>
                        <w:t>1.84km</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6254115</wp:posOffset>
                </wp:positionH>
                <wp:positionV relativeFrom="paragraph">
                  <wp:posOffset>2258060</wp:posOffset>
                </wp:positionV>
                <wp:extent cx="929640" cy="50228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929472" cy="502418"/>
                        </a:xfrm>
                        <a:prstGeom prst="rect">
                          <a:avLst/>
                        </a:prstGeom>
                        <a:noFill/>
                        <a:ln w="6350">
                          <a:noFill/>
                        </a:ln>
                      </wps:spPr>
                      <wps:txbx>
                        <w:txbxContent>
                          <w:p>
                            <w:pPr>
                              <w:adjustRightInd w:val="0"/>
                              <w:snapToGrid w:val="0"/>
                              <w:rPr>
                                <w:b/>
                                <w:bCs/>
                              </w:rPr>
                            </w:pPr>
                            <w:r>
                              <w:rPr>
                                <w:rFonts w:hint="eastAsia"/>
                                <w:b/>
                                <w:bCs/>
                                <w:color w:val="FF0000"/>
                                <w:sz w:val="15"/>
                                <w:szCs w:val="15"/>
                              </w:rPr>
                              <w:t>石人镇</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东侧</w:t>
                            </w:r>
                            <w:r>
                              <w:rPr>
                                <w:b/>
                                <w:bCs/>
                                <w:color w:val="FFFF00"/>
                                <w:sz w:val="13"/>
                                <w:szCs w:val="13"/>
                              </w:rPr>
                              <w:t>2.0km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2.45pt;margin-top:177.8pt;height:39.55pt;width:73.2pt;z-index:251665408;mso-width-relative:page;mso-height-relative:page;" filled="f" stroked="f" coordsize="21600,21600" o:gfxdata="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FDlmbdAAAADAEAAA8AAAAAAAAAAQAgAAAAIgAA&#10;AGRycy9kb3ducmV2LnhtbFBLAQIUABQAAAAIAIdO4kBnAY4ePAIAAGcEAAAOAAAAAAAAAAEAIAAA&#10;ACwBAABkcnMvZTJvRG9jLnhtbFBLBQYAAAAABgAGAFkBAADaBQAAAAA=&#10;">
                <v:fill on="f" focussize="0,0"/>
                <v:stroke on="f" weight="0.5pt"/>
                <v:imagedata o:title=""/>
                <o:lock v:ext="edit" aspectratio="f"/>
                <v:textbox>
                  <w:txbxContent>
                    <w:p>
                      <w:pPr>
                        <w:adjustRightInd w:val="0"/>
                        <w:snapToGrid w:val="0"/>
                        <w:rPr>
                          <w:b/>
                          <w:bCs/>
                        </w:rPr>
                      </w:pPr>
                      <w:r>
                        <w:rPr>
                          <w:rFonts w:hint="eastAsia"/>
                          <w:b/>
                          <w:bCs/>
                          <w:color w:val="FF0000"/>
                          <w:sz w:val="15"/>
                          <w:szCs w:val="15"/>
                        </w:rPr>
                        <w:t>石人镇</w:t>
                      </w:r>
                      <w:r>
                        <w:rPr>
                          <w:rFonts w:hint="eastAsia"/>
                          <w:b/>
                          <w:bCs/>
                        </w:rPr>
                        <w:t xml:space="preserve"> </w:t>
                      </w:r>
                      <w:r>
                        <w:rPr>
                          <w:b/>
                          <w:bCs/>
                        </w:rPr>
                        <w:t xml:space="preserve"> </w:t>
                      </w:r>
                    </w:p>
                    <w:p>
                      <w:pPr>
                        <w:adjustRightInd w:val="0"/>
                        <w:snapToGrid w:val="0"/>
                        <w:rPr>
                          <w:rFonts w:hint="eastAsia"/>
                          <w:b/>
                          <w:bCs/>
                        </w:rPr>
                      </w:pPr>
                      <w:r>
                        <w:rPr>
                          <w:rFonts w:hint="eastAsia"/>
                          <w:b/>
                          <w:bCs/>
                          <w:color w:val="FFFF00"/>
                          <w:sz w:val="13"/>
                          <w:szCs w:val="13"/>
                        </w:rPr>
                        <w:t>东侧</w:t>
                      </w:r>
                      <w:r>
                        <w:rPr>
                          <w:b/>
                          <w:bCs/>
                          <w:color w:val="FFFF00"/>
                          <w:sz w:val="13"/>
                          <w:szCs w:val="13"/>
                        </w:rPr>
                        <w:t>2.0km</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4958080</wp:posOffset>
                </wp:positionH>
                <wp:positionV relativeFrom="paragraph">
                  <wp:posOffset>2523490</wp:posOffset>
                </wp:positionV>
                <wp:extent cx="204470" cy="161925"/>
                <wp:effectExtent l="38100" t="0" r="24130" b="47625"/>
                <wp:wrapNone/>
                <wp:docPr id="64" name="直接箭头连接符 64"/>
                <wp:cNvGraphicFramePr/>
                <a:graphic xmlns:a="http://schemas.openxmlformats.org/drawingml/2006/main">
                  <a:graphicData uri="http://schemas.microsoft.com/office/word/2010/wordprocessingShape">
                    <wps:wsp>
                      <wps:cNvCnPr/>
                      <wps:spPr>
                        <a:xfrm flipH="1">
                          <a:off x="0" y="0"/>
                          <a:ext cx="204470" cy="161925"/>
                        </a:xfrm>
                        <a:prstGeom prst="straightConnector1">
                          <a:avLst/>
                        </a:prstGeom>
                        <a:ln w="12700">
                          <a:solidFill>
                            <a:srgbClr val="FFFF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90.4pt;margin-top:198.7pt;height:12.75pt;width:16.1pt;z-index:251663360;mso-width-relative:page;mso-height-relative:page;" filled="f" stroked="t" coordsize="21600,21600" o:gfxdata="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8w8fj9gAAAALAQAADwAAAAAAAAABACAAAAAiAAAAZHJzL2Rvd25yZXYueG1sUEsBAhQAFAAA&#10;AAgAh07iQNmJx+goAgAAKwQAAA4AAAAAAAAAAQAgAAAAJwEAAGRycy9lMm9Eb2MueG1sUEsFBgAA&#10;AAAGAAYAWQEAAMEFAAAAAA==&#10;">
                <v:fill on="f" focussize="0,0"/>
                <v:stroke weight="1pt" color="#FFFF00 [3204]" miterlimit="8" joinstyle="miter" endarrow="open"/>
                <v:imagedata o:title=""/>
                <o:lock v:ext="edit" aspectratio="f"/>
              </v:shape>
            </w:pict>
          </mc:Fallback>
        </mc:AlternateContent>
      </w:r>
      <w:r>
        <w:rPr>
          <w:b/>
          <w:bCs/>
          <w:sz w:val="24"/>
          <w:szCs w:val="24"/>
        </w:rPr>
        <w:drawing>
          <wp:inline distT="0" distB="0" distL="0" distR="0">
            <wp:extent cx="8530590" cy="4944110"/>
            <wp:effectExtent l="0" t="0" r="3810" b="889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8530590" cy="4944110"/>
                    </a:xfrm>
                    <a:prstGeom prst="rect">
                      <a:avLst/>
                    </a:prstGeom>
                    <a:noFill/>
                    <a:ln>
                      <a:noFill/>
                    </a:ln>
                  </pic:spPr>
                </pic:pic>
              </a:graphicData>
            </a:graphic>
          </wp:inline>
        </w:drawing>
      </w:r>
    </w:p>
    <w:p>
      <w:pPr>
        <w:rPr>
          <w:rFonts w:hint="eastAsia"/>
          <w:b/>
          <w:bCs/>
          <w:sz w:val="24"/>
          <w:szCs w:val="24"/>
        </w:rPr>
      </w:pPr>
    </w:p>
    <w:p>
      <w:pPr>
        <w:jc w:val="center"/>
        <w:rPr>
          <w:rFonts w:hint="eastAsia"/>
          <w:b/>
          <w:bCs/>
          <w:sz w:val="24"/>
          <w:szCs w:val="24"/>
        </w:rPr>
      </w:pPr>
      <w:r>
        <w:rPr>
          <w:rFonts w:hint="eastAsia"/>
          <w:b/>
          <w:bCs/>
          <w:sz w:val="24"/>
          <w:szCs w:val="24"/>
        </w:rPr>
        <w:t>附图5</w:t>
      </w:r>
      <w:r>
        <w:rPr>
          <w:b/>
          <w:bCs/>
          <w:sz w:val="24"/>
          <w:szCs w:val="24"/>
        </w:rPr>
        <w:t xml:space="preserve">  </w:t>
      </w:r>
      <w:r>
        <w:rPr>
          <w:rFonts w:hint="eastAsia"/>
          <w:b/>
          <w:bCs/>
          <w:sz w:val="24"/>
          <w:szCs w:val="24"/>
        </w:rPr>
        <w:t>项目周边环境敏感点示意图</w:t>
      </w:r>
    </w:p>
    <w:p>
      <w:pPr>
        <w:rPr>
          <w:rFonts w:hint="eastAsia"/>
          <w:b/>
          <w:bCs/>
          <w:sz w:val="24"/>
          <w:szCs w:val="24"/>
        </w:rPr>
        <w:sectPr>
          <w:pgSz w:w="16838" w:h="11906" w:orient="landscape"/>
          <w:pgMar w:top="1531" w:right="1702" w:bottom="1531" w:left="1702" w:header="851" w:footer="851" w:gutter="0"/>
          <w:cols w:space="425" w:num="1"/>
          <w:docGrid w:type="lines" w:linePitch="312" w:charSpace="0"/>
        </w:sectPr>
      </w:pPr>
    </w:p>
    <w:p>
      <w:pPr>
        <w:pStyle w:val="8"/>
        <w:tabs>
          <w:tab w:val="left" w:pos="5472"/>
        </w:tabs>
        <w:adjustRightInd w:val="0"/>
        <w:snapToGrid w:val="0"/>
        <w:spacing w:beforeAutospacing="0" w:afterAutospacing="0"/>
        <w:jc w:val="both"/>
        <w:outlineLvl w:val="0"/>
        <w:rPr>
          <w:rFonts w:hint="default"/>
        </w:rPr>
      </w:pPr>
      <w:r>
        <w:rPr>
          <w:sz w:val="24"/>
        </w:rPr>
        <w:drawing>
          <wp:inline distT="0" distB="0" distL="114300" distR="114300">
            <wp:extent cx="8523605" cy="4723765"/>
            <wp:effectExtent l="0" t="0" r="10795" b="635"/>
            <wp:docPr id="31" name="图片 31" descr="162472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24725238(1)"/>
                    <pic:cNvPicPr>
                      <a:picLocks noChangeAspect="1"/>
                    </pic:cNvPicPr>
                  </pic:nvPicPr>
                  <pic:blipFill>
                    <a:blip r:embed="rId27"/>
                    <a:stretch>
                      <a:fillRect/>
                    </a:stretch>
                  </pic:blipFill>
                  <pic:spPr>
                    <a:xfrm>
                      <a:off x="0" y="0"/>
                      <a:ext cx="8523605" cy="4723765"/>
                    </a:xfrm>
                    <a:prstGeom prst="rect">
                      <a:avLst/>
                    </a:prstGeom>
                  </pic:spPr>
                </pic:pic>
              </a:graphicData>
            </a:graphic>
          </wp:inline>
        </w:drawing>
      </w:r>
      <w:r>
        <w:rPr>
          <w:sz w:val="24"/>
        </w:rPr>
        <mc:AlternateContent>
          <mc:Choice Requires="wpg">
            <w:drawing>
              <wp:anchor distT="0" distB="0" distL="114300" distR="114300" simplePos="0" relativeHeight="251705344" behindDoc="0" locked="0" layoutInCell="1" allowOverlap="1">
                <wp:simplePos x="0" y="0"/>
                <wp:positionH relativeFrom="column">
                  <wp:posOffset>7226935</wp:posOffset>
                </wp:positionH>
                <wp:positionV relativeFrom="paragraph">
                  <wp:posOffset>3677920</wp:posOffset>
                </wp:positionV>
                <wp:extent cx="1174115" cy="931545"/>
                <wp:effectExtent l="4445" t="4445" r="21590" b="16510"/>
                <wp:wrapNone/>
                <wp:docPr id="29" name="组合 29"/>
                <wp:cNvGraphicFramePr/>
                <a:graphic xmlns:a="http://schemas.openxmlformats.org/drawingml/2006/main">
                  <a:graphicData uri="http://schemas.microsoft.com/office/word/2010/wordprocessingGroup">
                    <wpg:wgp>
                      <wpg:cNvGrpSpPr/>
                      <wpg:grpSpPr>
                        <a:xfrm>
                          <a:off x="0" y="0"/>
                          <a:ext cx="1174115" cy="931545"/>
                          <a:chOff x="16146" y="963176"/>
                          <a:chExt cx="1998" cy="2104"/>
                        </a:xfrm>
                      </wpg:grpSpPr>
                      <wps:wsp>
                        <wps:cNvPr id="32" name="文本框 32"/>
                        <wps:cNvSpPr txBox="1"/>
                        <wps:spPr>
                          <a:xfrm>
                            <a:off x="16146" y="963176"/>
                            <a:ext cx="1998" cy="2104"/>
                          </a:xfrm>
                          <a:prstGeom prst="rect">
                            <a:avLst/>
                          </a:prstGeom>
                          <a:solidFill>
                            <a:srgbClr val="FFFFFF"/>
                          </a:solidFill>
                          <a:ln w="6350">
                            <a:solidFill>
                              <a:prstClr val="black"/>
                            </a:solidFill>
                          </a:ln>
                        </wps:spPr>
                        <wps:txbx>
                          <w:txbxContent>
                            <w:p>
                              <w:pPr>
                                <w:adjustRightInd w:val="0"/>
                                <w:snapToGrid w:val="0"/>
                                <w:jc w:val="center"/>
                                <w:rPr>
                                  <w:sz w:val="18"/>
                                  <w:szCs w:val="18"/>
                                </w:rPr>
                              </w:pPr>
                              <w:r>
                                <w:rPr>
                                  <w:rFonts w:hint="eastAsia"/>
                                  <w:sz w:val="18"/>
                                  <w:szCs w:val="18"/>
                                </w:rPr>
                                <w:t>图例</w:t>
                              </w:r>
                            </w:p>
                            <w:p>
                              <w:pPr>
                                <w:adjustRightInd w:val="0"/>
                                <w:snapToGrid w:val="0"/>
                                <w:rPr>
                                  <w:sz w:val="18"/>
                                  <w:szCs w:val="18"/>
                                </w:rPr>
                              </w:pPr>
                            </w:p>
                            <w:p>
                              <w:pPr>
                                <w:adjustRightInd w:val="0"/>
                                <w:snapToGrid w:val="0"/>
                                <w:ind w:firstLine="360" w:firstLineChars="200"/>
                                <w:rPr>
                                  <w:sz w:val="18"/>
                                  <w:szCs w:val="18"/>
                                </w:rPr>
                              </w:pPr>
                              <w:r>
                                <w:rPr>
                                  <w:rFonts w:hint="eastAsia"/>
                                  <w:sz w:val="18"/>
                                  <w:szCs w:val="18"/>
                                </w:rPr>
                                <w:t>大气监测点位</w:t>
                              </w:r>
                            </w:p>
                            <w:p>
                              <w:pPr>
                                <w:adjustRightInd w:val="0"/>
                                <w:snapToGrid w:val="0"/>
                                <w:ind w:firstLine="360" w:firstLineChars="200"/>
                                <w:rPr>
                                  <w:sz w:val="18"/>
                                  <w:szCs w:val="18"/>
                                </w:rPr>
                              </w:pPr>
                              <w:r>
                                <w:rPr>
                                  <w:rFonts w:hint="eastAsia"/>
                                  <w:sz w:val="18"/>
                                  <w:szCs w:val="18"/>
                                </w:rPr>
                                <w:t>噪声监测点位</w:t>
                              </w:r>
                            </w:p>
                            <w:p>
                              <w:pPr>
                                <w:adjustRightInd w:val="0"/>
                                <w:snapToGrid w:val="0"/>
                                <w:ind w:firstLine="360" w:firstLineChars="200"/>
                                <w:rPr>
                                  <w:rFonts w:hint="eastAsia"/>
                                  <w:sz w:val="18"/>
                                  <w:szCs w:val="18"/>
                                </w:rPr>
                              </w:pPr>
                              <w:r>
                                <w:rPr>
                                  <w:rFonts w:hint="eastAsia"/>
                                  <w:sz w:val="18"/>
                                  <w:szCs w:val="18"/>
                                </w:rPr>
                                <w:t>土壤监测点位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矩形 28"/>
                        <wps:cNvSpPr/>
                        <wps:spPr>
                          <a:xfrm flipH="1" flipV="1">
                            <a:off x="16353" y="964024"/>
                            <a:ext cx="188" cy="12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 name="矩形 27"/>
                        <wps:cNvSpPr/>
                        <wps:spPr>
                          <a:xfrm flipH="1" flipV="1">
                            <a:off x="16355" y="964358"/>
                            <a:ext cx="188" cy="12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 name="矩形 26"/>
                        <wps:cNvSpPr/>
                        <wps:spPr>
                          <a:xfrm flipH="1" flipV="1">
                            <a:off x="16368" y="964745"/>
                            <a:ext cx="187" cy="12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9.05pt;margin-top:289.6pt;height:73.35pt;width:92.45pt;z-index:251705344;mso-width-relative:page;mso-height-relative:page;" coordorigin="16146,963176" coordsize="1998,2104" o:gfxdata="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">
                <o:lock v:ext="edit" aspectratio="f"/>
                <v:shape id="_x0000_s1026" o:spid="_x0000_s1026" o:spt="202" type="#_x0000_t202" style="position:absolute;left:16146;top:963176;height:2104;width:1998;" fillcolor="#FFFFFF" filled="t" stroked="t" coordsize="21600,21600" o:gfxdata="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jf5aq2AAAA2wAAAA8A&#10;AAAAAAAAAQAgAAAAIgAAAGRycy9kb3ducmV2LnhtbFBLAQIUABQAAAAIAIdO4kAzLwWeOwAAADkA&#10;AAAQAAAAAAAAAAEAIAAAAAUBAABkcnMvc2hhcGV4bWwueG1sUEsFBgAAAAAGAAYAWwEAAK8DAAAA&#10;AA==&#10;">
                  <v:fill on="t" focussize="0,0"/>
                  <v:stroke weight="0.5pt" color="#000000" joinstyle="round"/>
                  <v:imagedata o:title=""/>
                  <o:lock v:ext="edit" aspectratio="f"/>
                  <v:textbox>
                    <w:txbxContent>
                      <w:p>
                        <w:pPr>
                          <w:adjustRightInd w:val="0"/>
                          <w:snapToGrid w:val="0"/>
                          <w:jc w:val="center"/>
                          <w:rPr>
                            <w:sz w:val="18"/>
                            <w:szCs w:val="18"/>
                          </w:rPr>
                        </w:pPr>
                        <w:r>
                          <w:rPr>
                            <w:rFonts w:hint="eastAsia"/>
                            <w:sz w:val="18"/>
                            <w:szCs w:val="18"/>
                          </w:rPr>
                          <w:t>图例</w:t>
                        </w:r>
                      </w:p>
                      <w:p>
                        <w:pPr>
                          <w:adjustRightInd w:val="0"/>
                          <w:snapToGrid w:val="0"/>
                          <w:rPr>
                            <w:sz w:val="18"/>
                            <w:szCs w:val="18"/>
                          </w:rPr>
                        </w:pPr>
                      </w:p>
                      <w:p>
                        <w:pPr>
                          <w:adjustRightInd w:val="0"/>
                          <w:snapToGrid w:val="0"/>
                          <w:ind w:firstLine="360" w:firstLineChars="200"/>
                          <w:rPr>
                            <w:sz w:val="18"/>
                            <w:szCs w:val="18"/>
                          </w:rPr>
                        </w:pPr>
                        <w:r>
                          <w:rPr>
                            <w:rFonts w:hint="eastAsia"/>
                            <w:sz w:val="18"/>
                            <w:szCs w:val="18"/>
                          </w:rPr>
                          <w:t>大气监测点位</w:t>
                        </w:r>
                      </w:p>
                      <w:p>
                        <w:pPr>
                          <w:adjustRightInd w:val="0"/>
                          <w:snapToGrid w:val="0"/>
                          <w:ind w:firstLine="360" w:firstLineChars="200"/>
                          <w:rPr>
                            <w:sz w:val="18"/>
                            <w:szCs w:val="18"/>
                          </w:rPr>
                        </w:pPr>
                        <w:r>
                          <w:rPr>
                            <w:rFonts w:hint="eastAsia"/>
                            <w:sz w:val="18"/>
                            <w:szCs w:val="18"/>
                          </w:rPr>
                          <w:t>噪声监测点位</w:t>
                        </w:r>
                      </w:p>
                      <w:p>
                        <w:pPr>
                          <w:adjustRightInd w:val="0"/>
                          <w:snapToGrid w:val="0"/>
                          <w:ind w:firstLine="360" w:firstLineChars="200"/>
                          <w:rPr>
                            <w:rFonts w:hint="eastAsia"/>
                            <w:sz w:val="18"/>
                            <w:szCs w:val="18"/>
                          </w:rPr>
                        </w:pPr>
                        <w:r>
                          <w:rPr>
                            <w:rFonts w:hint="eastAsia"/>
                            <w:sz w:val="18"/>
                            <w:szCs w:val="18"/>
                          </w:rPr>
                          <w:t>土壤监测点位</w:t>
                        </w:r>
                      </w:p>
                    </w:txbxContent>
                  </v:textbox>
                </v:shape>
                <v:rect id="_x0000_s1026" o:spid="_x0000_s1026" o:spt="1" style="position:absolute;left:16353;top:964024;flip:x y;height:125;width:188;v-text-anchor:middle;" fillcolor="#BFBFBF [2412]" filled="t" stroked="f" coordsize="21600,21600" o:gfxdata="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xxSl7sAAADb&#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rect>
                <v:rect id="_x0000_s1026" o:spid="_x0000_s1026" o:spt="1" style="position:absolute;left:16355;top:964358;flip:x y;height:125;width:188;v-text-anchor:middle;" fillcolor="#FFFF00" filled="t" stroked="f" coordsize="21600,21600" o:gfxdata="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r0nN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rect id="_x0000_s1026" o:spid="_x0000_s1026" o:spt="1" style="position:absolute;left:16368;top:964745;flip:x y;height:125;width:187;v-text-anchor:middle;" fillcolor="#00B0F0" filled="t" stroked="f" coordsize="21600,21600" o:gfxdata="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wXXG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drawing>
          <wp:anchor distT="0" distB="0" distL="114300" distR="114300" simplePos="0" relativeHeight="251659264" behindDoc="0" locked="0" layoutInCell="1" allowOverlap="1">
            <wp:simplePos x="0" y="0"/>
            <wp:positionH relativeFrom="column">
              <wp:posOffset>8084185</wp:posOffset>
            </wp:positionH>
            <wp:positionV relativeFrom="paragraph">
              <wp:posOffset>53975</wp:posOffset>
            </wp:positionV>
            <wp:extent cx="314325" cy="429260"/>
            <wp:effectExtent l="0" t="0" r="9525" b="889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14325" cy="429260"/>
                    </a:xfrm>
                    <a:prstGeom prst="rect">
                      <a:avLst/>
                    </a:prstGeom>
                    <a:noFill/>
                    <a:ln>
                      <a:noFill/>
                    </a:ln>
                  </pic:spPr>
                </pic:pic>
              </a:graphicData>
            </a:graphic>
          </wp:anchor>
        </w:drawing>
      </w:r>
      <w:r>
        <w:rPr>
          <w:b/>
          <w:bCs/>
          <w:szCs w:val="24"/>
        </w:rPr>
        <mc:AlternateContent>
          <mc:Choice Requires="wps">
            <w:drawing>
              <wp:anchor distT="0" distB="0" distL="114300" distR="114300" simplePos="0" relativeHeight="251661312" behindDoc="0" locked="0" layoutInCell="1" allowOverlap="1">
                <wp:simplePos x="0" y="0"/>
                <wp:positionH relativeFrom="column">
                  <wp:posOffset>7265035</wp:posOffset>
                </wp:positionH>
                <wp:positionV relativeFrom="paragraph">
                  <wp:posOffset>3942080</wp:posOffset>
                </wp:positionV>
                <wp:extent cx="119380" cy="79375"/>
                <wp:effectExtent l="0" t="0" r="0" b="0"/>
                <wp:wrapNone/>
                <wp:docPr id="36" name="矩形 36"/>
                <wp:cNvGraphicFramePr/>
                <a:graphic xmlns:a="http://schemas.openxmlformats.org/drawingml/2006/main">
                  <a:graphicData uri="http://schemas.microsoft.com/office/word/2010/wordprocessingShape">
                    <wps:wsp>
                      <wps:cNvSpPr/>
                      <wps:spPr>
                        <a:xfrm flipH="1" flipV="1">
                          <a:off x="0" y="0"/>
                          <a:ext cx="119380" cy="7937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 y;margin-left:572.05pt;margin-top:310.4pt;height:6.25pt;width:9.4pt;z-index:251661312;v-text-anchor:middle;mso-width-relative:page;mso-height-relative:page;" fillcolor="#00B0F0" filled="t" stroked="f" coordsize="21600,21600" o:gfxdata="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JhMbh2gAAAA0BAAAPAAAAAAAAAAEAIAAAACIAAABk&#10;cnMvZG93bnJldi54bWxQSwECFAAUAAAACACHTuJAa4VSZ3YCAADfBAAADgAAAAAAAAABACAAAAAp&#10;AQAAZHJzL2Uyb0RvYy54bWxQSwUGAAAAAAYABgBZAQAAEQYAAAAA&#10;">
                <v:fill on="t" focussize="0,0"/>
                <v:stroke on="f" weight="1pt" miterlimit="8" joinstyle="miter"/>
                <v:imagedata o:title=""/>
                <o:lock v:ext="edit" aspectratio="f"/>
              </v:rect>
            </w:pict>
          </mc:Fallback>
        </mc:AlternateContent>
      </w:r>
      <w:r>
        <w:rPr>
          <w:b/>
          <w:bCs/>
          <w:szCs w:val="24"/>
        </w:rPr>
        <mc:AlternateContent>
          <mc:Choice Requires="wps">
            <w:drawing>
              <wp:anchor distT="0" distB="0" distL="114300" distR="114300" simplePos="0" relativeHeight="251660288" behindDoc="0" locked="0" layoutInCell="1" allowOverlap="1">
                <wp:simplePos x="0" y="0"/>
                <wp:positionH relativeFrom="column">
                  <wp:posOffset>7257415</wp:posOffset>
                </wp:positionH>
                <wp:positionV relativeFrom="paragraph">
                  <wp:posOffset>3772535</wp:posOffset>
                </wp:positionV>
                <wp:extent cx="119380" cy="79375"/>
                <wp:effectExtent l="0" t="0" r="0" b="0"/>
                <wp:wrapNone/>
                <wp:docPr id="35" name="矩形 35"/>
                <wp:cNvGraphicFramePr/>
                <a:graphic xmlns:a="http://schemas.openxmlformats.org/drawingml/2006/main">
                  <a:graphicData uri="http://schemas.microsoft.com/office/word/2010/wordprocessingShape">
                    <wps:wsp>
                      <wps:cNvSpPr/>
                      <wps:spPr>
                        <a:xfrm flipH="1" flipV="1">
                          <a:off x="0" y="0"/>
                          <a:ext cx="119380" cy="7937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 y;margin-left:571.45pt;margin-top:297.05pt;height:6.25pt;width:9.4pt;z-index:251660288;v-text-anchor:middle;mso-width-relative:page;mso-height-relative:page;" fillcolor="#FFFF00" filled="t" stroked="f" coordsize="21600,21600" o:gfxdata="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I1zpf9sAAAANAQAADwAAAAAAAAABACAAAAAiAAAA&#10;ZHJzL2Rvd25yZXYueG1sUEsBAhQAFAAAAAgAh07iQHLYHcR2AgAA3wQAAA4AAAAAAAAAAQAgAAAA&#10;KgEAAGRycy9lMm9Eb2MueG1sUEsFBgAAAAAGAAYAWQEAABIGAAAAAA==&#10;">
                <v:fill on="t" focussize="0,0"/>
                <v:stroke on="f" weight="1pt" miterlimit="8" joinstyle="miter"/>
                <v:imagedata o:title=""/>
                <o:lock v:ext="edit" aspectratio="f"/>
              </v:rect>
            </w:pict>
          </mc:Fallback>
        </mc:AlternateContent>
      </w:r>
    </w:p>
    <w:p>
      <w:pPr>
        <w:rPr>
          <w:rFonts w:ascii="宋体" w:hAnsi="宋体"/>
          <w:kern w:val="0"/>
          <w:sz w:val="24"/>
          <w:szCs w:val="20"/>
        </w:rPr>
      </w:pPr>
    </w:p>
    <w:p>
      <w:pPr>
        <w:rPr>
          <w:rFonts w:ascii="宋体" w:hAnsi="宋体"/>
          <w:kern w:val="0"/>
          <w:sz w:val="24"/>
          <w:szCs w:val="20"/>
        </w:rPr>
      </w:pPr>
    </w:p>
    <w:p>
      <w:pPr>
        <w:jc w:val="center"/>
        <w:rPr>
          <w:b/>
          <w:bCs/>
          <w:sz w:val="24"/>
          <w:szCs w:val="24"/>
        </w:rPr>
        <w:sectPr>
          <w:pgSz w:w="16838" w:h="11906" w:orient="landscape"/>
          <w:pgMar w:top="1531" w:right="1702" w:bottom="1531" w:left="1702" w:header="851" w:footer="851" w:gutter="0"/>
          <w:cols w:space="425" w:num="1"/>
          <w:docGrid w:type="lines" w:linePitch="312" w:charSpace="0"/>
        </w:sectPr>
      </w:pPr>
      <w:r>
        <w:rPr>
          <w:rFonts w:hint="eastAsia"/>
          <w:b/>
          <w:bCs/>
          <w:sz w:val="24"/>
          <w:szCs w:val="24"/>
        </w:rPr>
        <w:t>附图</w:t>
      </w:r>
      <w:r>
        <w:rPr>
          <w:b/>
          <w:bCs/>
          <w:sz w:val="24"/>
          <w:szCs w:val="24"/>
        </w:rPr>
        <w:t xml:space="preserve">6  </w:t>
      </w:r>
      <w:r>
        <w:rPr>
          <w:rFonts w:hint="eastAsia"/>
          <w:b/>
          <w:bCs/>
          <w:sz w:val="24"/>
          <w:szCs w:val="24"/>
        </w:rPr>
        <w:t>监测点位示意图</w:t>
      </w:r>
      <w:r>
        <w:rPr>
          <w:b/>
          <w:bCs/>
          <w:sz w:val="24"/>
          <w:szCs w:val="24"/>
        </w:rPr>
        <w:t xml:space="preserve">    </w:t>
      </w:r>
    </w:p>
    <w:p>
      <w:pPr>
        <w:pStyle w:val="8"/>
        <w:tabs>
          <w:tab w:val="left" w:pos="5472"/>
        </w:tabs>
        <w:adjustRightInd w:val="0"/>
        <w:snapToGrid w:val="0"/>
        <w:spacing w:beforeAutospacing="0" w:afterAutospacing="0"/>
        <w:jc w:val="both"/>
        <w:outlineLvl w:val="0"/>
        <w:rPr>
          <w:rFonts w:hint="default"/>
        </w:rPr>
      </w:pPr>
      <w:r>
        <w:rPr>
          <w:rFonts w:hint="default"/>
        </w:rPr>
        <w:drawing>
          <wp:inline distT="0" distB="0" distL="0" distR="0">
            <wp:extent cx="5605780" cy="74739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05780" cy="7473950"/>
                    </a:xfrm>
                    <a:prstGeom prst="rect">
                      <a:avLst/>
                    </a:prstGeom>
                    <a:noFill/>
                    <a:ln>
                      <a:noFill/>
                    </a:ln>
                  </pic:spPr>
                </pic:pic>
              </a:graphicData>
            </a:graphic>
          </wp:inline>
        </w:drawing>
      </w:r>
    </w:p>
    <w:p>
      <w:pPr>
        <w:pStyle w:val="8"/>
        <w:tabs>
          <w:tab w:val="left" w:pos="5472"/>
        </w:tabs>
        <w:adjustRightInd w:val="0"/>
        <w:snapToGrid w:val="0"/>
        <w:spacing w:beforeAutospacing="0" w:afterAutospacing="0"/>
        <w:ind w:firstLine="480" w:firstLineChars="200"/>
        <w:jc w:val="both"/>
        <w:outlineLvl w:val="0"/>
        <w:rPr>
          <w:rFonts w:hint="default"/>
        </w:rPr>
      </w:pPr>
    </w:p>
    <w:p>
      <w:pPr>
        <w:pStyle w:val="8"/>
        <w:tabs>
          <w:tab w:val="left" w:pos="5472"/>
        </w:tabs>
        <w:adjustRightInd w:val="0"/>
        <w:snapToGrid w:val="0"/>
        <w:spacing w:beforeAutospacing="0" w:afterAutospacing="0"/>
        <w:ind w:firstLine="480" w:firstLineChars="200"/>
        <w:jc w:val="both"/>
        <w:outlineLvl w:val="0"/>
      </w:pPr>
    </w:p>
    <w:p>
      <w:pPr>
        <w:pStyle w:val="8"/>
        <w:tabs>
          <w:tab w:val="left" w:pos="5472"/>
        </w:tabs>
        <w:adjustRightInd w:val="0"/>
        <w:snapToGrid w:val="0"/>
        <w:spacing w:beforeAutospacing="0" w:afterAutospacing="0"/>
        <w:ind w:firstLine="480" w:firstLineChars="200"/>
        <w:jc w:val="both"/>
        <w:outlineLvl w:val="0"/>
        <w:sectPr>
          <w:pgSz w:w="11906" w:h="16838"/>
          <w:pgMar w:top="1702" w:right="1531" w:bottom="1702" w:left="1531" w:header="851" w:footer="851" w:gutter="0"/>
          <w:cols w:space="425" w:num="1"/>
          <w:docGrid w:type="lines" w:linePitch="312" w:charSpace="0"/>
        </w:sectPr>
      </w:pPr>
    </w:p>
    <w:p>
      <w:pPr>
        <w:pStyle w:val="8"/>
        <w:tabs>
          <w:tab w:val="left" w:pos="5472"/>
        </w:tabs>
        <w:adjustRightInd w:val="0"/>
        <w:snapToGrid w:val="0"/>
        <w:spacing w:beforeAutospacing="0" w:afterAutospacing="0"/>
        <w:jc w:val="both"/>
        <w:outlineLvl w:val="0"/>
      </w:pPr>
      <w:r>
        <w:rPr>
          <w:rFonts w:hint="default"/>
        </w:rPr>
        <w:drawing>
          <wp:inline distT="0" distB="0" distL="0" distR="0">
            <wp:extent cx="5613400" cy="7720965"/>
            <wp:effectExtent l="0" t="0" r="635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613400" cy="7720965"/>
                    </a:xfrm>
                    <a:prstGeom prst="rect">
                      <a:avLst/>
                    </a:prstGeom>
                    <a:noFill/>
                    <a:ln>
                      <a:noFill/>
                    </a:ln>
                  </pic:spPr>
                </pic:pic>
              </a:graphicData>
            </a:graphic>
          </wp:inline>
        </w:drawing>
      </w:r>
    </w:p>
    <w:p>
      <w:pPr>
        <w:pStyle w:val="8"/>
        <w:tabs>
          <w:tab w:val="left" w:pos="5472"/>
        </w:tabs>
        <w:adjustRightInd w:val="0"/>
        <w:snapToGrid w:val="0"/>
        <w:spacing w:beforeAutospacing="0" w:afterAutospacing="0"/>
        <w:ind w:firstLine="480" w:firstLineChars="200"/>
        <w:jc w:val="both"/>
        <w:outlineLvl w:val="0"/>
        <w:rPr>
          <w:rFonts w:hint="default"/>
        </w:rPr>
      </w:pPr>
    </w:p>
    <w:p>
      <w:pPr>
        <w:pStyle w:val="8"/>
        <w:tabs>
          <w:tab w:val="left" w:pos="5472"/>
        </w:tabs>
        <w:adjustRightInd w:val="0"/>
        <w:snapToGrid w:val="0"/>
        <w:spacing w:beforeAutospacing="0" w:afterAutospacing="0"/>
        <w:jc w:val="both"/>
        <w:outlineLvl w:val="0"/>
        <w:sectPr>
          <w:pgSz w:w="11906" w:h="16838"/>
          <w:pgMar w:top="1702" w:right="1531" w:bottom="1702" w:left="1531" w:header="851" w:footer="851" w:gutter="0"/>
          <w:cols w:space="425" w:num="1"/>
          <w:docGrid w:type="lines" w:linePitch="312" w:charSpace="0"/>
        </w:sectPr>
      </w:pPr>
    </w:p>
    <w:p>
      <w:pPr>
        <w:pStyle w:val="8"/>
        <w:tabs>
          <w:tab w:val="left" w:pos="5472"/>
        </w:tabs>
        <w:adjustRightInd w:val="0"/>
        <w:snapToGrid w:val="0"/>
        <w:spacing w:beforeAutospacing="0" w:afterAutospacing="0"/>
        <w:jc w:val="both"/>
        <w:outlineLvl w:val="0"/>
        <w:rPr>
          <w:rFonts w:hint="default"/>
        </w:rPr>
        <w:sectPr>
          <w:pgSz w:w="11906" w:h="16838"/>
          <w:pgMar w:top="1702" w:right="1531" w:bottom="1702" w:left="1531" w:header="851" w:footer="851" w:gutter="0"/>
          <w:cols w:space="425" w:num="1"/>
          <w:docGrid w:type="lines" w:linePitch="312" w:charSpace="0"/>
        </w:sectPr>
      </w:pPr>
      <w:r>
        <w:rPr>
          <w:rFonts w:hint="default"/>
        </w:rPr>
        <w:drawing>
          <wp:inline distT="0" distB="0" distL="0" distR="0">
            <wp:extent cx="5613400" cy="7720965"/>
            <wp:effectExtent l="0" t="0" r="635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613400" cy="7720965"/>
                    </a:xfrm>
                    <a:prstGeom prst="rect">
                      <a:avLst/>
                    </a:prstGeom>
                    <a:noFill/>
                    <a:ln>
                      <a:noFill/>
                    </a:ln>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334000" cy="7496175"/>
            <wp:effectExtent l="0" t="0" r="0" b="9525"/>
            <wp:docPr id="33" name="图片 33" descr="1624725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624725334(1)"/>
                    <pic:cNvPicPr>
                      <a:picLocks noChangeAspect="1"/>
                    </pic:cNvPicPr>
                  </pic:nvPicPr>
                  <pic:blipFill>
                    <a:blip r:embed="rId31"/>
                    <a:stretch>
                      <a:fillRect/>
                    </a:stretch>
                  </pic:blipFill>
                  <pic:spPr>
                    <a:xfrm>
                      <a:off x="0" y="0"/>
                      <a:ext cx="5334000" cy="7496175"/>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286375" cy="7439025"/>
            <wp:effectExtent l="0" t="0" r="9525" b="9525"/>
            <wp:docPr id="34" name="图片 34" descr="1624725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24725342(1)"/>
                    <pic:cNvPicPr>
                      <a:picLocks noChangeAspect="1"/>
                    </pic:cNvPicPr>
                  </pic:nvPicPr>
                  <pic:blipFill>
                    <a:blip r:embed="rId32"/>
                    <a:stretch>
                      <a:fillRect/>
                    </a:stretch>
                  </pic:blipFill>
                  <pic:spPr>
                    <a:xfrm>
                      <a:off x="0" y="0"/>
                      <a:ext cx="5286375" cy="7439025"/>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286375" cy="7439025"/>
            <wp:effectExtent l="0" t="0" r="9525" b="9525"/>
            <wp:docPr id="37" name="图片 37" descr="1624725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624725349(1)"/>
                    <pic:cNvPicPr>
                      <a:picLocks noChangeAspect="1"/>
                    </pic:cNvPicPr>
                  </pic:nvPicPr>
                  <pic:blipFill>
                    <a:blip r:embed="rId33"/>
                    <a:stretch>
                      <a:fillRect/>
                    </a:stretch>
                  </pic:blipFill>
                  <pic:spPr>
                    <a:xfrm>
                      <a:off x="0" y="0"/>
                      <a:ext cx="5286375" cy="7439025"/>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295900" cy="7410450"/>
            <wp:effectExtent l="0" t="0" r="0" b="0"/>
            <wp:docPr id="38" name="图片 38" descr="1624725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624725356(1)"/>
                    <pic:cNvPicPr>
                      <a:picLocks noChangeAspect="1"/>
                    </pic:cNvPicPr>
                  </pic:nvPicPr>
                  <pic:blipFill>
                    <a:blip r:embed="rId34"/>
                    <a:stretch>
                      <a:fillRect/>
                    </a:stretch>
                  </pic:blipFill>
                  <pic:spPr>
                    <a:xfrm>
                      <a:off x="0" y="0"/>
                      <a:ext cx="5295900" cy="7410450"/>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267325" cy="7486650"/>
            <wp:effectExtent l="0" t="0" r="9525" b="0"/>
            <wp:docPr id="39" name="图片 39" descr="1624725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24725362(1)"/>
                    <pic:cNvPicPr>
                      <a:picLocks noChangeAspect="1"/>
                    </pic:cNvPicPr>
                  </pic:nvPicPr>
                  <pic:blipFill>
                    <a:blip r:embed="rId35"/>
                    <a:stretch>
                      <a:fillRect/>
                    </a:stretch>
                  </pic:blipFill>
                  <pic:spPr>
                    <a:xfrm>
                      <a:off x="0" y="0"/>
                      <a:ext cx="5267325" cy="7486650"/>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314950" cy="7439025"/>
            <wp:effectExtent l="0" t="0" r="0" b="9525"/>
            <wp:docPr id="40" name="图片 40" descr="1624725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24725368(1)"/>
                    <pic:cNvPicPr>
                      <a:picLocks noChangeAspect="1"/>
                    </pic:cNvPicPr>
                  </pic:nvPicPr>
                  <pic:blipFill>
                    <a:blip r:embed="rId36"/>
                    <a:stretch>
                      <a:fillRect/>
                    </a:stretch>
                  </pic:blipFill>
                  <pic:spPr>
                    <a:xfrm>
                      <a:off x="0" y="0"/>
                      <a:ext cx="5314950" cy="7439025"/>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582285" cy="8520430"/>
            <wp:effectExtent l="0" t="0" r="18415" b="13970"/>
            <wp:docPr id="42" name="图片 42" descr="微信图片_2021062700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10627003848"/>
                    <pic:cNvPicPr>
                      <a:picLocks noChangeAspect="1"/>
                    </pic:cNvPicPr>
                  </pic:nvPicPr>
                  <pic:blipFill>
                    <a:blip r:embed="rId37"/>
                    <a:stretch>
                      <a:fillRect/>
                    </a:stretch>
                  </pic:blipFill>
                  <pic:spPr>
                    <a:xfrm>
                      <a:off x="0" y="0"/>
                      <a:ext cx="5582285" cy="8520430"/>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sectPr>
          <w:pgSz w:w="11906" w:h="16838"/>
          <w:pgMar w:top="1702" w:right="1531" w:bottom="1702" w:left="1531" w:header="851" w:footer="851" w:gutter="0"/>
          <w:cols w:space="425" w:num="1"/>
          <w:docGrid w:type="lines" w:linePitch="312" w:charSpace="0"/>
        </w:sectPr>
      </w:pPr>
      <w:r>
        <w:rPr>
          <w:rFonts w:hint="eastAsia" w:eastAsia="宋体"/>
          <w:lang w:eastAsia="zh-CN"/>
        </w:rPr>
        <w:drawing>
          <wp:inline distT="0" distB="0" distL="114300" distR="114300">
            <wp:extent cx="5606415" cy="8004810"/>
            <wp:effectExtent l="0" t="0" r="13335" b="15240"/>
            <wp:docPr id="41" name="图片 41" descr="微信图片_2021062700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10627003833"/>
                    <pic:cNvPicPr>
                      <a:picLocks noChangeAspect="1"/>
                    </pic:cNvPicPr>
                  </pic:nvPicPr>
                  <pic:blipFill>
                    <a:blip r:embed="rId38"/>
                    <a:stretch>
                      <a:fillRect/>
                    </a:stretch>
                  </pic:blipFill>
                  <pic:spPr>
                    <a:xfrm>
                      <a:off x="0" y="0"/>
                      <a:ext cx="5606415" cy="8004810"/>
                    </a:xfrm>
                    <a:prstGeom prst="rect">
                      <a:avLst/>
                    </a:prstGeom>
                  </pic:spPr>
                </pic:pic>
              </a:graphicData>
            </a:graphic>
          </wp:inline>
        </w:drawing>
      </w:r>
    </w:p>
    <w:p>
      <w:pPr>
        <w:pStyle w:val="8"/>
        <w:tabs>
          <w:tab w:val="left" w:pos="5472"/>
        </w:tabs>
        <w:adjustRightInd w:val="0"/>
        <w:snapToGrid w:val="0"/>
        <w:spacing w:beforeAutospacing="0" w:afterAutospacing="0"/>
        <w:jc w:val="both"/>
        <w:outlineLvl w:val="0"/>
        <w:rPr>
          <w:rFonts w:hint="eastAsia" w:eastAsia="宋体"/>
          <w:lang w:eastAsia="zh-CN"/>
        </w:rPr>
      </w:pPr>
      <w:r>
        <w:rPr>
          <w:rFonts w:hint="eastAsia" w:eastAsia="宋体"/>
          <w:lang w:eastAsia="zh-CN"/>
        </w:rPr>
        <w:drawing>
          <wp:inline distT="0" distB="0" distL="114300" distR="114300">
            <wp:extent cx="5606415" cy="7978775"/>
            <wp:effectExtent l="0" t="0" r="13335" b="3175"/>
            <wp:docPr id="43" name="图片 43" descr="微信图片_2021062700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10627003852"/>
                    <pic:cNvPicPr>
                      <a:picLocks noChangeAspect="1"/>
                    </pic:cNvPicPr>
                  </pic:nvPicPr>
                  <pic:blipFill>
                    <a:blip r:embed="rId39"/>
                    <a:stretch>
                      <a:fillRect/>
                    </a:stretch>
                  </pic:blipFill>
                  <pic:spPr>
                    <a:xfrm>
                      <a:off x="0" y="0"/>
                      <a:ext cx="5606415" cy="7978775"/>
                    </a:xfrm>
                    <a:prstGeom prst="rect">
                      <a:avLst/>
                    </a:prstGeom>
                  </pic:spPr>
                </pic:pic>
              </a:graphicData>
            </a:graphic>
          </wp:inline>
        </w:drawing>
      </w:r>
    </w:p>
    <w:sectPr>
      <w:pgSz w:w="11906" w:h="16838"/>
      <w:pgMar w:top="1702" w:right="1531" w:bottom="1702" w:left="1531" w:header="851" w:footer="851"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decorative"/>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18C507"/>
    <w:multiLevelType w:val="singleLevel"/>
    <w:tmpl w:val="8218C507"/>
    <w:lvl w:ilvl="0" w:tentative="0">
      <w:start w:val="1"/>
      <w:numFmt w:val="decimal"/>
      <w:suff w:val="nothing"/>
      <w:lvlText w:val="%1、"/>
      <w:lvlJc w:val="left"/>
    </w:lvl>
  </w:abstractNum>
  <w:abstractNum w:abstractNumId="1">
    <w:nsid w:val="6E35ABE3"/>
    <w:multiLevelType w:val="singleLevel"/>
    <w:tmpl w:val="6E35ABE3"/>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0626"/>
    <w:rsid w:val="0000661A"/>
    <w:rsid w:val="000134AB"/>
    <w:rsid w:val="00016034"/>
    <w:rsid w:val="0004346E"/>
    <w:rsid w:val="00054768"/>
    <w:rsid w:val="00054E26"/>
    <w:rsid w:val="00065831"/>
    <w:rsid w:val="0008330C"/>
    <w:rsid w:val="00096270"/>
    <w:rsid w:val="00096646"/>
    <w:rsid w:val="000D2F85"/>
    <w:rsid w:val="000D409B"/>
    <w:rsid w:val="000D582C"/>
    <w:rsid w:val="000D6D6F"/>
    <w:rsid w:val="00100ABB"/>
    <w:rsid w:val="00147CE2"/>
    <w:rsid w:val="001514D7"/>
    <w:rsid w:val="00152A52"/>
    <w:rsid w:val="0015305A"/>
    <w:rsid w:val="00153E14"/>
    <w:rsid w:val="00173FAF"/>
    <w:rsid w:val="001816E3"/>
    <w:rsid w:val="001B4B13"/>
    <w:rsid w:val="001D317A"/>
    <w:rsid w:val="001E203B"/>
    <w:rsid w:val="001E2C6F"/>
    <w:rsid w:val="001F5A90"/>
    <w:rsid w:val="00212C4F"/>
    <w:rsid w:val="00256211"/>
    <w:rsid w:val="00256C38"/>
    <w:rsid w:val="002571E0"/>
    <w:rsid w:val="00262735"/>
    <w:rsid w:val="0027279E"/>
    <w:rsid w:val="002751C7"/>
    <w:rsid w:val="00285E0B"/>
    <w:rsid w:val="002B1C94"/>
    <w:rsid w:val="002C2DAE"/>
    <w:rsid w:val="002C4B6E"/>
    <w:rsid w:val="002C6EFA"/>
    <w:rsid w:val="002D3B53"/>
    <w:rsid w:val="002D4E66"/>
    <w:rsid w:val="002E30F8"/>
    <w:rsid w:val="002E3E91"/>
    <w:rsid w:val="002E4F05"/>
    <w:rsid w:val="002F7FCF"/>
    <w:rsid w:val="00300464"/>
    <w:rsid w:val="003059D2"/>
    <w:rsid w:val="00312C2F"/>
    <w:rsid w:val="003370EE"/>
    <w:rsid w:val="0035699D"/>
    <w:rsid w:val="0035750E"/>
    <w:rsid w:val="00364992"/>
    <w:rsid w:val="003656DF"/>
    <w:rsid w:val="00371096"/>
    <w:rsid w:val="003742AD"/>
    <w:rsid w:val="00374E67"/>
    <w:rsid w:val="003779C7"/>
    <w:rsid w:val="00383BF8"/>
    <w:rsid w:val="003B506D"/>
    <w:rsid w:val="003B6477"/>
    <w:rsid w:val="003C0670"/>
    <w:rsid w:val="003C10B4"/>
    <w:rsid w:val="003D029D"/>
    <w:rsid w:val="003E1E0D"/>
    <w:rsid w:val="00404F40"/>
    <w:rsid w:val="0040727B"/>
    <w:rsid w:val="00421F7F"/>
    <w:rsid w:val="00426974"/>
    <w:rsid w:val="004435BE"/>
    <w:rsid w:val="00452EDA"/>
    <w:rsid w:val="00464EDA"/>
    <w:rsid w:val="0046797B"/>
    <w:rsid w:val="00472718"/>
    <w:rsid w:val="004842C7"/>
    <w:rsid w:val="00484D7D"/>
    <w:rsid w:val="00486C5C"/>
    <w:rsid w:val="004B0301"/>
    <w:rsid w:val="004B2A03"/>
    <w:rsid w:val="004C277A"/>
    <w:rsid w:val="004E56C9"/>
    <w:rsid w:val="004F1855"/>
    <w:rsid w:val="004F4E74"/>
    <w:rsid w:val="004F5269"/>
    <w:rsid w:val="0051463B"/>
    <w:rsid w:val="005248DE"/>
    <w:rsid w:val="00535228"/>
    <w:rsid w:val="005401CB"/>
    <w:rsid w:val="00565322"/>
    <w:rsid w:val="00587884"/>
    <w:rsid w:val="005A5224"/>
    <w:rsid w:val="005A7220"/>
    <w:rsid w:val="005D635C"/>
    <w:rsid w:val="005E0479"/>
    <w:rsid w:val="005E0A9E"/>
    <w:rsid w:val="005E28FC"/>
    <w:rsid w:val="005F3284"/>
    <w:rsid w:val="00601E58"/>
    <w:rsid w:val="006050D9"/>
    <w:rsid w:val="00615EE5"/>
    <w:rsid w:val="006178FB"/>
    <w:rsid w:val="00626579"/>
    <w:rsid w:val="0063773C"/>
    <w:rsid w:val="00645389"/>
    <w:rsid w:val="00654EB0"/>
    <w:rsid w:val="00663EBA"/>
    <w:rsid w:val="00664111"/>
    <w:rsid w:val="006A561E"/>
    <w:rsid w:val="006B6FC6"/>
    <w:rsid w:val="006C1765"/>
    <w:rsid w:val="006D36CC"/>
    <w:rsid w:val="006D5480"/>
    <w:rsid w:val="006E5EAE"/>
    <w:rsid w:val="006F03D7"/>
    <w:rsid w:val="006F1922"/>
    <w:rsid w:val="00714E9A"/>
    <w:rsid w:val="007355DE"/>
    <w:rsid w:val="00735ED8"/>
    <w:rsid w:val="00747A2C"/>
    <w:rsid w:val="00751CE0"/>
    <w:rsid w:val="00752DAE"/>
    <w:rsid w:val="00761DFB"/>
    <w:rsid w:val="00786DB7"/>
    <w:rsid w:val="00786EFF"/>
    <w:rsid w:val="007A14BB"/>
    <w:rsid w:val="007B0DA0"/>
    <w:rsid w:val="007C50B3"/>
    <w:rsid w:val="007E040F"/>
    <w:rsid w:val="008065AA"/>
    <w:rsid w:val="008066A0"/>
    <w:rsid w:val="00812E81"/>
    <w:rsid w:val="0081771A"/>
    <w:rsid w:val="00826544"/>
    <w:rsid w:val="008342E1"/>
    <w:rsid w:val="008343F8"/>
    <w:rsid w:val="00840792"/>
    <w:rsid w:val="00850AF4"/>
    <w:rsid w:val="00867284"/>
    <w:rsid w:val="00891C70"/>
    <w:rsid w:val="00891D75"/>
    <w:rsid w:val="00891DC4"/>
    <w:rsid w:val="008C0EAD"/>
    <w:rsid w:val="008C2E03"/>
    <w:rsid w:val="008D07C8"/>
    <w:rsid w:val="008D088F"/>
    <w:rsid w:val="008D7751"/>
    <w:rsid w:val="008D7E91"/>
    <w:rsid w:val="008F19F8"/>
    <w:rsid w:val="009043CE"/>
    <w:rsid w:val="0090491E"/>
    <w:rsid w:val="009076E3"/>
    <w:rsid w:val="00915961"/>
    <w:rsid w:val="009337EE"/>
    <w:rsid w:val="00936979"/>
    <w:rsid w:val="009721E6"/>
    <w:rsid w:val="009729CC"/>
    <w:rsid w:val="009739A9"/>
    <w:rsid w:val="00981612"/>
    <w:rsid w:val="009870A7"/>
    <w:rsid w:val="009A30D0"/>
    <w:rsid w:val="009A68F8"/>
    <w:rsid w:val="009B5D92"/>
    <w:rsid w:val="009E7AFB"/>
    <w:rsid w:val="00A00626"/>
    <w:rsid w:val="00A031DD"/>
    <w:rsid w:val="00A17765"/>
    <w:rsid w:val="00A21AB4"/>
    <w:rsid w:val="00A31A23"/>
    <w:rsid w:val="00A45A69"/>
    <w:rsid w:val="00A46A05"/>
    <w:rsid w:val="00A50FDA"/>
    <w:rsid w:val="00A52C33"/>
    <w:rsid w:val="00A81D6B"/>
    <w:rsid w:val="00A84557"/>
    <w:rsid w:val="00A970DB"/>
    <w:rsid w:val="00AA13C8"/>
    <w:rsid w:val="00AA6E1A"/>
    <w:rsid w:val="00AA7F01"/>
    <w:rsid w:val="00AB5AE3"/>
    <w:rsid w:val="00AD3081"/>
    <w:rsid w:val="00AD50A7"/>
    <w:rsid w:val="00AD59E8"/>
    <w:rsid w:val="00AD6D6A"/>
    <w:rsid w:val="00AE28A4"/>
    <w:rsid w:val="00AF3E13"/>
    <w:rsid w:val="00B00E04"/>
    <w:rsid w:val="00B219C7"/>
    <w:rsid w:val="00B231A6"/>
    <w:rsid w:val="00B30E05"/>
    <w:rsid w:val="00B40303"/>
    <w:rsid w:val="00B4056F"/>
    <w:rsid w:val="00B51A7B"/>
    <w:rsid w:val="00B61D96"/>
    <w:rsid w:val="00B8133D"/>
    <w:rsid w:val="00B95C13"/>
    <w:rsid w:val="00B96E08"/>
    <w:rsid w:val="00BB0281"/>
    <w:rsid w:val="00BB57E0"/>
    <w:rsid w:val="00BC5A49"/>
    <w:rsid w:val="00BD219D"/>
    <w:rsid w:val="00BE4612"/>
    <w:rsid w:val="00C010E9"/>
    <w:rsid w:val="00C379A8"/>
    <w:rsid w:val="00C43853"/>
    <w:rsid w:val="00C512DD"/>
    <w:rsid w:val="00C53DE4"/>
    <w:rsid w:val="00C57C9D"/>
    <w:rsid w:val="00C67D4E"/>
    <w:rsid w:val="00C70E86"/>
    <w:rsid w:val="00CB68E7"/>
    <w:rsid w:val="00CB78F3"/>
    <w:rsid w:val="00CB7B4B"/>
    <w:rsid w:val="00CC3743"/>
    <w:rsid w:val="00CC6D6A"/>
    <w:rsid w:val="00D20E69"/>
    <w:rsid w:val="00D23EF3"/>
    <w:rsid w:val="00D33026"/>
    <w:rsid w:val="00D41A2B"/>
    <w:rsid w:val="00D46031"/>
    <w:rsid w:val="00D51CAB"/>
    <w:rsid w:val="00D60FEB"/>
    <w:rsid w:val="00D6611D"/>
    <w:rsid w:val="00D67B8B"/>
    <w:rsid w:val="00D706F6"/>
    <w:rsid w:val="00D73E0B"/>
    <w:rsid w:val="00DB327A"/>
    <w:rsid w:val="00DB5F61"/>
    <w:rsid w:val="00DC3185"/>
    <w:rsid w:val="00DE03D5"/>
    <w:rsid w:val="00DF4F7D"/>
    <w:rsid w:val="00DF61AB"/>
    <w:rsid w:val="00E02DC3"/>
    <w:rsid w:val="00E06E46"/>
    <w:rsid w:val="00E155CC"/>
    <w:rsid w:val="00E161B5"/>
    <w:rsid w:val="00E25710"/>
    <w:rsid w:val="00E267D3"/>
    <w:rsid w:val="00E26ADE"/>
    <w:rsid w:val="00E3083D"/>
    <w:rsid w:val="00E32D52"/>
    <w:rsid w:val="00E3422D"/>
    <w:rsid w:val="00E35019"/>
    <w:rsid w:val="00E55D19"/>
    <w:rsid w:val="00E56739"/>
    <w:rsid w:val="00E779A8"/>
    <w:rsid w:val="00E80AFF"/>
    <w:rsid w:val="00EA3138"/>
    <w:rsid w:val="00EA4FBE"/>
    <w:rsid w:val="00EB25BE"/>
    <w:rsid w:val="00EC5CAC"/>
    <w:rsid w:val="00EC6A06"/>
    <w:rsid w:val="00EE0214"/>
    <w:rsid w:val="00EF190D"/>
    <w:rsid w:val="00EF3556"/>
    <w:rsid w:val="00EF7B3A"/>
    <w:rsid w:val="00F33BAD"/>
    <w:rsid w:val="00F42171"/>
    <w:rsid w:val="00F439BF"/>
    <w:rsid w:val="00F54E46"/>
    <w:rsid w:val="00F7721A"/>
    <w:rsid w:val="00F7770B"/>
    <w:rsid w:val="00F81FE4"/>
    <w:rsid w:val="00FA0C87"/>
    <w:rsid w:val="00FA3648"/>
    <w:rsid w:val="00FB3177"/>
    <w:rsid w:val="00FC75A3"/>
    <w:rsid w:val="00FD0BE6"/>
    <w:rsid w:val="00FD1A67"/>
    <w:rsid w:val="00FD1D78"/>
    <w:rsid w:val="00FD6A93"/>
    <w:rsid w:val="00FE13A8"/>
    <w:rsid w:val="00FE7B95"/>
    <w:rsid w:val="014013AC"/>
    <w:rsid w:val="0167110B"/>
    <w:rsid w:val="017C1420"/>
    <w:rsid w:val="01E119B9"/>
    <w:rsid w:val="022C00B1"/>
    <w:rsid w:val="03185CBD"/>
    <w:rsid w:val="034877EC"/>
    <w:rsid w:val="03D60A7D"/>
    <w:rsid w:val="04983654"/>
    <w:rsid w:val="05102B08"/>
    <w:rsid w:val="051A785F"/>
    <w:rsid w:val="056F010F"/>
    <w:rsid w:val="05BF0F15"/>
    <w:rsid w:val="06B51DB3"/>
    <w:rsid w:val="070A77B3"/>
    <w:rsid w:val="0775531F"/>
    <w:rsid w:val="07986F87"/>
    <w:rsid w:val="07BE74B7"/>
    <w:rsid w:val="08452784"/>
    <w:rsid w:val="08A94A4B"/>
    <w:rsid w:val="095B0440"/>
    <w:rsid w:val="0965452D"/>
    <w:rsid w:val="098E15CF"/>
    <w:rsid w:val="09B52692"/>
    <w:rsid w:val="09C468F9"/>
    <w:rsid w:val="0A9924D4"/>
    <w:rsid w:val="0ABD6C69"/>
    <w:rsid w:val="0B637469"/>
    <w:rsid w:val="0D316427"/>
    <w:rsid w:val="0D406593"/>
    <w:rsid w:val="0E525C41"/>
    <w:rsid w:val="0E8765E1"/>
    <w:rsid w:val="0F0668B9"/>
    <w:rsid w:val="0F5F2CF9"/>
    <w:rsid w:val="0FA63FD2"/>
    <w:rsid w:val="0FC7184C"/>
    <w:rsid w:val="104C79DB"/>
    <w:rsid w:val="106C467D"/>
    <w:rsid w:val="10DF759E"/>
    <w:rsid w:val="111E29FC"/>
    <w:rsid w:val="112A62E6"/>
    <w:rsid w:val="120104E8"/>
    <w:rsid w:val="120960D3"/>
    <w:rsid w:val="12103466"/>
    <w:rsid w:val="12912209"/>
    <w:rsid w:val="1318512E"/>
    <w:rsid w:val="13374FDD"/>
    <w:rsid w:val="134F241A"/>
    <w:rsid w:val="14165467"/>
    <w:rsid w:val="15452B85"/>
    <w:rsid w:val="15A16547"/>
    <w:rsid w:val="15C86C55"/>
    <w:rsid w:val="15E95AF9"/>
    <w:rsid w:val="169A2486"/>
    <w:rsid w:val="16B0526B"/>
    <w:rsid w:val="17164799"/>
    <w:rsid w:val="176473E7"/>
    <w:rsid w:val="17930699"/>
    <w:rsid w:val="179E1A8D"/>
    <w:rsid w:val="17AE030B"/>
    <w:rsid w:val="17DB522B"/>
    <w:rsid w:val="187272D8"/>
    <w:rsid w:val="1882078B"/>
    <w:rsid w:val="18B30C5D"/>
    <w:rsid w:val="18F6705E"/>
    <w:rsid w:val="196B4779"/>
    <w:rsid w:val="19A36F76"/>
    <w:rsid w:val="19F70590"/>
    <w:rsid w:val="1A2E5B02"/>
    <w:rsid w:val="1B177EC0"/>
    <w:rsid w:val="1B350D85"/>
    <w:rsid w:val="1B505800"/>
    <w:rsid w:val="1B636316"/>
    <w:rsid w:val="1B9A792D"/>
    <w:rsid w:val="1BAA07B5"/>
    <w:rsid w:val="1BC174C1"/>
    <w:rsid w:val="1C5647D9"/>
    <w:rsid w:val="1CF21E81"/>
    <w:rsid w:val="1DD230CA"/>
    <w:rsid w:val="1DD66733"/>
    <w:rsid w:val="1DDE2F4A"/>
    <w:rsid w:val="1E0029DE"/>
    <w:rsid w:val="1E5019CA"/>
    <w:rsid w:val="1F7C648D"/>
    <w:rsid w:val="203A28CD"/>
    <w:rsid w:val="21B53D66"/>
    <w:rsid w:val="22876138"/>
    <w:rsid w:val="22A90A8C"/>
    <w:rsid w:val="23093D61"/>
    <w:rsid w:val="23DE19EA"/>
    <w:rsid w:val="2453370F"/>
    <w:rsid w:val="251915FF"/>
    <w:rsid w:val="25895BA8"/>
    <w:rsid w:val="25B240DA"/>
    <w:rsid w:val="262445F0"/>
    <w:rsid w:val="266F4B0B"/>
    <w:rsid w:val="267E6E64"/>
    <w:rsid w:val="27A77DDA"/>
    <w:rsid w:val="27FE0A2E"/>
    <w:rsid w:val="281640E9"/>
    <w:rsid w:val="28245CBE"/>
    <w:rsid w:val="29050834"/>
    <w:rsid w:val="29904C21"/>
    <w:rsid w:val="2AB971D3"/>
    <w:rsid w:val="2AE13B4A"/>
    <w:rsid w:val="2B27013B"/>
    <w:rsid w:val="2B422A9F"/>
    <w:rsid w:val="2B905AAA"/>
    <w:rsid w:val="2CF1361D"/>
    <w:rsid w:val="2D0A76D3"/>
    <w:rsid w:val="2DBF6BEC"/>
    <w:rsid w:val="2E5845C3"/>
    <w:rsid w:val="2F943061"/>
    <w:rsid w:val="31746707"/>
    <w:rsid w:val="3220020C"/>
    <w:rsid w:val="32852ADC"/>
    <w:rsid w:val="32ED18EA"/>
    <w:rsid w:val="336C1248"/>
    <w:rsid w:val="344619FB"/>
    <w:rsid w:val="34E830DD"/>
    <w:rsid w:val="3509352A"/>
    <w:rsid w:val="359E1E73"/>
    <w:rsid w:val="360E362F"/>
    <w:rsid w:val="3617019C"/>
    <w:rsid w:val="366A79C5"/>
    <w:rsid w:val="386576ED"/>
    <w:rsid w:val="3A1F370D"/>
    <w:rsid w:val="3B0F093C"/>
    <w:rsid w:val="3B22433E"/>
    <w:rsid w:val="3C333522"/>
    <w:rsid w:val="3D067A83"/>
    <w:rsid w:val="3D0830C9"/>
    <w:rsid w:val="3D233168"/>
    <w:rsid w:val="3D376117"/>
    <w:rsid w:val="3DBE44E7"/>
    <w:rsid w:val="3E1B17CF"/>
    <w:rsid w:val="3E1D53F6"/>
    <w:rsid w:val="3E6C09D0"/>
    <w:rsid w:val="3FC7475B"/>
    <w:rsid w:val="408951B9"/>
    <w:rsid w:val="41071830"/>
    <w:rsid w:val="41095987"/>
    <w:rsid w:val="413D6912"/>
    <w:rsid w:val="41416382"/>
    <w:rsid w:val="41711E27"/>
    <w:rsid w:val="41AA1792"/>
    <w:rsid w:val="42693564"/>
    <w:rsid w:val="429A7A55"/>
    <w:rsid w:val="430876B1"/>
    <w:rsid w:val="44452A25"/>
    <w:rsid w:val="448F5F26"/>
    <w:rsid w:val="44A26756"/>
    <w:rsid w:val="44B13BC6"/>
    <w:rsid w:val="44E77DED"/>
    <w:rsid w:val="451140A8"/>
    <w:rsid w:val="45127D8E"/>
    <w:rsid w:val="453D4B62"/>
    <w:rsid w:val="45AA6790"/>
    <w:rsid w:val="46E46624"/>
    <w:rsid w:val="474F68B5"/>
    <w:rsid w:val="476D7A53"/>
    <w:rsid w:val="47CB37DF"/>
    <w:rsid w:val="489F4982"/>
    <w:rsid w:val="496F1D52"/>
    <w:rsid w:val="498B0945"/>
    <w:rsid w:val="49BE40A0"/>
    <w:rsid w:val="49C3076F"/>
    <w:rsid w:val="49E06F4C"/>
    <w:rsid w:val="4B5C54D6"/>
    <w:rsid w:val="4B7A7B4E"/>
    <w:rsid w:val="4BA07BEA"/>
    <w:rsid w:val="4BF170F9"/>
    <w:rsid w:val="4C43087D"/>
    <w:rsid w:val="4C930F86"/>
    <w:rsid w:val="4CA82960"/>
    <w:rsid w:val="4CB2295F"/>
    <w:rsid w:val="4D195AAD"/>
    <w:rsid w:val="4E383B86"/>
    <w:rsid w:val="4E523C4D"/>
    <w:rsid w:val="4E7206DD"/>
    <w:rsid w:val="4EAF515B"/>
    <w:rsid w:val="4EDA6A95"/>
    <w:rsid w:val="4EEB4CF2"/>
    <w:rsid w:val="50277522"/>
    <w:rsid w:val="508F2C35"/>
    <w:rsid w:val="509F3EB1"/>
    <w:rsid w:val="518E3216"/>
    <w:rsid w:val="51CE2C87"/>
    <w:rsid w:val="52B87792"/>
    <w:rsid w:val="5307694F"/>
    <w:rsid w:val="53811EDC"/>
    <w:rsid w:val="53916F32"/>
    <w:rsid w:val="53FB7516"/>
    <w:rsid w:val="546544A5"/>
    <w:rsid w:val="54BC3FCF"/>
    <w:rsid w:val="55396FEF"/>
    <w:rsid w:val="55A11016"/>
    <w:rsid w:val="55D00E58"/>
    <w:rsid w:val="55D22194"/>
    <w:rsid w:val="564B092D"/>
    <w:rsid w:val="56503312"/>
    <w:rsid w:val="574C3FEA"/>
    <w:rsid w:val="58200434"/>
    <w:rsid w:val="58376A76"/>
    <w:rsid w:val="5861221A"/>
    <w:rsid w:val="58CB1BA1"/>
    <w:rsid w:val="58E460E8"/>
    <w:rsid w:val="58EF2D3E"/>
    <w:rsid w:val="5A044C0B"/>
    <w:rsid w:val="5AC26B46"/>
    <w:rsid w:val="5B865E8C"/>
    <w:rsid w:val="5BB46ADB"/>
    <w:rsid w:val="5C436CAD"/>
    <w:rsid w:val="5C8453F4"/>
    <w:rsid w:val="5CB51EE5"/>
    <w:rsid w:val="5CD37C12"/>
    <w:rsid w:val="5CF6198A"/>
    <w:rsid w:val="5D04498B"/>
    <w:rsid w:val="5D347880"/>
    <w:rsid w:val="5D3F15CC"/>
    <w:rsid w:val="5D7A0E95"/>
    <w:rsid w:val="5E4F3672"/>
    <w:rsid w:val="5E5142AD"/>
    <w:rsid w:val="5E556A67"/>
    <w:rsid w:val="5F3C44AA"/>
    <w:rsid w:val="5F530E3B"/>
    <w:rsid w:val="6112051D"/>
    <w:rsid w:val="61C123F5"/>
    <w:rsid w:val="621D4857"/>
    <w:rsid w:val="62724889"/>
    <w:rsid w:val="630E3903"/>
    <w:rsid w:val="636B5073"/>
    <w:rsid w:val="64132EC8"/>
    <w:rsid w:val="647B42D4"/>
    <w:rsid w:val="65AE7A25"/>
    <w:rsid w:val="66A26BAD"/>
    <w:rsid w:val="677951C2"/>
    <w:rsid w:val="679B46AD"/>
    <w:rsid w:val="68495A05"/>
    <w:rsid w:val="684F7E19"/>
    <w:rsid w:val="687D6834"/>
    <w:rsid w:val="68C05386"/>
    <w:rsid w:val="68F3792F"/>
    <w:rsid w:val="69CD0FB0"/>
    <w:rsid w:val="6A193C1D"/>
    <w:rsid w:val="6A911991"/>
    <w:rsid w:val="6ADD30CD"/>
    <w:rsid w:val="6B8319D9"/>
    <w:rsid w:val="6CF25938"/>
    <w:rsid w:val="6D3F4ABF"/>
    <w:rsid w:val="6F50294C"/>
    <w:rsid w:val="6F57422D"/>
    <w:rsid w:val="706D17D9"/>
    <w:rsid w:val="713B2F7F"/>
    <w:rsid w:val="71946B28"/>
    <w:rsid w:val="71ED5E8D"/>
    <w:rsid w:val="7210368F"/>
    <w:rsid w:val="722A26EE"/>
    <w:rsid w:val="7279582E"/>
    <w:rsid w:val="72DE3ED9"/>
    <w:rsid w:val="73480D4E"/>
    <w:rsid w:val="73C07B5F"/>
    <w:rsid w:val="749F6999"/>
    <w:rsid w:val="751D7CDE"/>
    <w:rsid w:val="77243CEC"/>
    <w:rsid w:val="77493EB1"/>
    <w:rsid w:val="7797413F"/>
    <w:rsid w:val="79D154A2"/>
    <w:rsid w:val="7AC260C2"/>
    <w:rsid w:val="7C553455"/>
    <w:rsid w:val="7D1A7BD5"/>
    <w:rsid w:val="7EBF6547"/>
    <w:rsid w:val="7ECE70A0"/>
    <w:rsid w:val="7F2F06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99" w:semiHidden="0" w:name="Table Grid"/>
    <w:lsdException w:uiPriority="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character" w:default="1" w:styleId="12">
    <w:name w:val="Default Paragraph Font"/>
    <w:semiHidden/>
    <w:unhideWhenUsed/>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styleId="2">
    <w:name w:val="annotation text"/>
    <w:basedOn w:val="1"/>
    <w:uiPriority w:val="0"/>
    <w:pPr>
      <w:jc w:val="left"/>
    </w:pPr>
  </w:style>
  <w:style w:type="paragraph" w:styleId="3">
    <w:name w:val="Body Text"/>
    <w:basedOn w:val="1"/>
    <w:qFormat/>
    <w:uiPriority w:val="1"/>
    <w:rPr>
      <w:rFonts w:ascii="宋体" w:hAnsi="宋体" w:cs="宋体"/>
      <w:sz w:val="24"/>
      <w:lang w:val="zh-CN" w:bidi="zh-CN"/>
    </w:rPr>
  </w:style>
  <w:style w:type="paragraph" w:styleId="4">
    <w:name w:val="Body Text Indent"/>
    <w:basedOn w:val="1"/>
    <w:next w:val="5"/>
    <w:qFormat/>
    <w:uiPriority w:val="0"/>
    <w:pPr>
      <w:spacing w:after="120"/>
      <w:ind w:left="420" w:leftChars="200"/>
    </w:pPr>
  </w:style>
  <w:style w:type="paragraph" w:styleId="5">
    <w:name w:val="Body Text First Indent"/>
    <w:basedOn w:val="3"/>
    <w:next w:val="1"/>
    <w:qFormat/>
    <w:uiPriority w:val="0"/>
    <w:pPr>
      <w:ind w:firstLine="420" w:firstLineChars="100"/>
    </w:pPr>
  </w:style>
  <w:style w:type="paragraph" w:styleId="6">
    <w:name w:val="footer"/>
    <w:basedOn w:val="1"/>
    <w:link w:val="18"/>
    <w:qFormat/>
    <w:uiPriority w:val="0"/>
    <w:pPr>
      <w:tabs>
        <w:tab w:val="center" w:pos="4153"/>
        <w:tab w:val="right" w:pos="8306"/>
      </w:tabs>
      <w:snapToGrid w:val="0"/>
      <w:jc w:val="left"/>
    </w:pPr>
    <w:rPr>
      <w:sz w:val="18"/>
    </w:rPr>
  </w:style>
  <w:style w:type="paragraph" w:styleId="7">
    <w:name w:val="header"/>
    <w:basedOn w:val="1"/>
    <w:link w:val="22"/>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link w:val="15"/>
    <w:qFormat/>
    <w:uiPriority w:val="0"/>
    <w:pPr>
      <w:widowControl/>
      <w:spacing w:beforeAutospacing="1" w:afterAutospacing="1"/>
      <w:jc w:val="left"/>
    </w:pPr>
    <w:rPr>
      <w:rFonts w:hint="eastAsia" w:ascii="宋体" w:hAnsi="宋体"/>
      <w:kern w:val="0"/>
      <w:sz w:val="24"/>
      <w:szCs w:val="20"/>
    </w:rPr>
  </w:style>
  <w:style w:type="paragraph" w:styleId="9">
    <w:name w:val="Body Text First Indent 2"/>
    <w:basedOn w:val="4"/>
    <w:next w:val="1"/>
    <w:qFormat/>
    <w:uiPriority w:val="0"/>
    <w:pPr>
      <w:ind w:firstLine="420" w:firstLineChars="200"/>
    </w:pPr>
  </w:style>
  <w:style w:type="table" w:styleId="11">
    <w:name w:val="Table Grid"/>
    <w:basedOn w:val="10"/>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正文格式"/>
    <w:basedOn w:val="1"/>
    <w:qFormat/>
    <w:uiPriority w:val="0"/>
    <w:pPr>
      <w:ind w:firstLine="482"/>
    </w:pPr>
  </w:style>
  <w:style w:type="character" w:customStyle="1" w:styleId="14">
    <w:name w:val="页脚 Char"/>
    <w:basedOn w:val="12"/>
    <w:qFormat/>
    <w:uiPriority w:val="0"/>
    <w:rPr>
      <w:sz w:val="18"/>
    </w:rPr>
  </w:style>
  <w:style w:type="character" w:customStyle="1" w:styleId="15">
    <w:name w:val="普通(网站) 字符"/>
    <w:basedOn w:val="12"/>
    <w:link w:val="8"/>
    <w:qFormat/>
    <w:uiPriority w:val="0"/>
    <w:rPr>
      <w:rFonts w:hint="eastAsia" w:ascii="宋体" w:hAnsi="宋体" w:eastAsia="宋体" w:cs="宋体"/>
      <w:sz w:val="24"/>
    </w:rPr>
  </w:style>
  <w:style w:type="character" w:customStyle="1" w:styleId="16">
    <w:name w:val="表格 Char"/>
    <w:basedOn w:val="12"/>
    <w:link w:val="17"/>
    <w:qFormat/>
    <w:uiPriority w:val="0"/>
    <w:rPr>
      <w:rFonts w:hint="eastAsia" w:ascii="宋体" w:hAnsi="宋体" w:eastAsia="宋体" w:cs="宋体"/>
      <w:sz w:val="21"/>
    </w:rPr>
  </w:style>
  <w:style w:type="paragraph" w:customStyle="1" w:styleId="17">
    <w:name w:val="表格"/>
    <w:basedOn w:val="1"/>
    <w:next w:val="1"/>
    <w:link w:val="16"/>
    <w:qFormat/>
    <w:uiPriority w:val="0"/>
    <w:pPr>
      <w:adjustRightInd w:val="0"/>
      <w:snapToGrid w:val="0"/>
      <w:spacing w:beforeLines="10" w:line="256" w:lineRule="auto"/>
      <w:jc w:val="center"/>
    </w:pPr>
    <w:rPr>
      <w:rFonts w:hint="eastAsia" w:ascii="宋体"/>
      <w:kern w:val="0"/>
      <w:szCs w:val="20"/>
    </w:rPr>
  </w:style>
  <w:style w:type="character" w:customStyle="1" w:styleId="18">
    <w:name w:val="页脚 字符"/>
    <w:basedOn w:val="12"/>
    <w:link w:val="6"/>
    <w:qFormat/>
    <w:uiPriority w:val="0"/>
    <w:rPr>
      <w:kern w:val="2"/>
      <w:sz w:val="18"/>
      <w:szCs w:val="18"/>
    </w:rPr>
  </w:style>
  <w:style w:type="paragraph" w:styleId="19">
    <w:name w:val="No Spacing"/>
    <w:qFormat/>
    <w:uiPriority w:val="0"/>
    <w:pPr>
      <w:widowControl w:val="0"/>
      <w:jc w:val="center"/>
    </w:pPr>
    <w:rPr>
      <w:rFonts w:ascii="Times New Roman" w:hAnsi="Times New Roman" w:eastAsia="宋体" w:cs="Times New Roman"/>
      <w:kern w:val="2"/>
      <w:sz w:val="24"/>
      <w:szCs w:val="22"/>
      <w:lang w:val="en-US" w:eastAsia="zh-CN" w:bidi="ar-SA"/>
    </w:rPr>
  </w:style>
  <w:style w:type="paragraph" w:customStyle="1" w:styleId="20">
    <w:name w:val="表内容"/>
    <w:basedOn w:val="1"/>
    <w:next w:val="1"/>
    <w:qFormat/>
    <w:uiPriority w:val="0"/>
    <w:pPr>
      <w:spacing w:line="320" w:lineRule="exact"/>
      <w:jc w:val="center"/>
    </w:pPr>
    <w:rPr>
      <w:rFonts w:ascii="Calibri" w:hAnsi="Calibri"/>
      <w:szCs w:val="22"/>
    </w:rPr>
  </w:style>
  <w:style w:type="paragraph" w:customStyle="1" w:styleId="21">
    <w:name w:val="雷丹正文"/>
    <w:basedOn w:val="1"/>
    <w:qFormat/>
    <w:uiPriority w:val="0"/>
    <w:pPr>
      <w:adjustRightInd w:val="0"/>
      <w:snapToGrid w:val="0"/>
    </w:pPr>
  </w:style>
  <w:style w:type="character" w:customStyle="1" w:styleId="22">
    <w:name w:val="页眉 字符"/>
    <w:basedOn w:val="12"/>
    <w:link w:val="7"/>
    <w:qFormat/>
    <w:uiPriority w:val="0"/>
    <w:rPr>
      <w:rFonts w:asciiTheme="minorHAnsi" w:hAnsiTheme="minorHAnsi" w:eastAsiaTheme="minorEastAsia" w:cstheme="minorBidi"/>
      <w:kern w:val="2"/>
      <w:sz w:val="18"/>
      <w:szCs w:val="18"/>
    </w:rPr>
  </w:style>
  <w:style w:type="character" w:styleId="23">
    <w:name w:val="Placeholder Text"/>
    <w:basedOn w:val="12"/>
    <w:semiHidden/>
    <w:qFormat/>
    <w:uiPriority w:val="99"/>
    <w:rPr>
      <w:color w:val="808080"/>
    </w:rPr>
  </w:style>
  <w:style w:type="paragraph" w:customStyle="1" w:styleId="24">
    <w:name w:val="中文报告书样式"/>
    <w:basedOn w:val="1"/>
    <w:qFormat/>
    <w:uiPriority w:val="0"/>
    <w:pPr>
      <w:adjustRightInd w:val="0"/>
      <w:spacing w:line="480" w:lineRule="atLeast"/>
      <w:ind w:firstLine="482"/>
      <w:textAlignment w:val="baseline"/>
    </w:pPr>
    <w:rPr>
      <w:kern w:val="24"/>
      <w:sz w:val="24"/>
    </w:rPr>
  </w:style>
  <w:style w:type="paragraph" w:customStyle="1" w:styleId="25">
    <w:name w:val="表格文字"/>
    <w:basedOn w:val="1"/>
    <w:qFormat/>
    <w:uiPriority w:val="0"/>
    <w:pPr>
      <w:adjustRightInd w:val="0"/>
      <w:snapToGrid w:val="0"/>
      <w:jc w:val="center"/>
    </w:pPr>
    <w:rPr>
      <w:rFonts w:ascii="Calibri" w:hAnsi="Calibri"/>
    </w:rPr>
  </w:style>
  <w:style w:type="paragraph" w:customStyle="1" w:styleId="26">
    <w:name w:val="Table Paragraph"/>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31010</Words>
  <Characters>11084</Characters>
  <Lines>92</Lines>
  <Paragraphs>84</Paragraphs>
  <TotalTime>9</TotalTime>
  <ScaleCrop>false</ScaleCrop>
  <LinksUpToDate>false</LinksUpToDate>
  <CharactersWithSpaces>42010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2021-06-03T02:05:00Z</dcterms:created>
  <dc:creator>Administrator</dc:creator>
  <cp:lastModifiedBy>Administrator</cp:lastModifiedBy>
  <dcterms:modified xsi:type="dcterms:W3CDTF">2022-03-02T00:47:25Z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DD813C69EC774D558245DC93E4367A6E</vt:lpwstr>
  </property>
</Properties>
</file>