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A2FA4">
      <w:pPr>
        <w:ind w:firstLine="880" w:firstLineChars="20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检查频次：同一医疗机构原则上一年检查不超过四次暨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90天内不重复检查同一医疗机构（上级部门或其他部门移交线索、专项检查、上级部门飞行检查不在此频次范围内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2025-07-23T01:00:11Z</dcterms:created>
  <dc:creator>Administrator</dc:creator>
  <cp:lastModifiedBy>Administrator</cp:lastModifiedBy>
  <dcterms:modified xsi:type="dcterms:W3CDTF">2025-07-23T01:02:18Z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eyJoZGlkIjoiNDgzYjFiNjlhMjE3ZTU3MzFhZjc2ZmQzYjY3ZGFhOTkifQ==</vt:lpwstr>
  </property>
  <property fmtid="{D5CDD505-2E9C-101B-9397-08002B2CF9AE}" pid="4" name="ICV">
    <vt:lpwstr>6A27B6BDA76D4AC7992100757841CB47_12</vt:lpwstr>
  </property>
</Properties>
</file>